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24E7F" w14:textId="01CA46F2" w:rsidR="00D27263" w:rsidRDefault="00C627AA" w:rsidP="00D27263">
      <w:pPr>
        <w:spacing w:after="0"/>
        <w:rPr>
          <w:sz w:val="48"/>
        </w:rPr>
      </w:pPr>
      <w:r>
        <w:rPr>
          <w:b/>
          <w:noProof/>
          <w:lang w:val="fr-CH" w:eastAsia="fr-CH"/>
        </w:rPr>
        <w:drawing>
          <wp:inline distT="0" distB="0" distL="0" distR="0" wp14:anchorId="0B2DE986" wp14:editId="7B645D6B">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sidRPr="00323738">
        <w:rPr>
          <w:sz w:val="40"/>
          <w:lang w:val="fr"/>
        </w:rPr>
        <w:t xml:space="preserve">IPHMI </w:t>
      </w:r>
      <w:proofErr w:type="spellStart"/>
      <w:r w:rsidR="00D27263" w:rsidRPr="00323738">
        <w:rPr>
          <w:sz w:val="40"/>
          <w:lang w:val="fr"/>
        </w:rPr>
        <w:t>Literature</w:t>
      </w:r>
      <w:proofErr w:type="spellEnd"/>
      <w:r w:rsidR="00D27263" w:rsidRPr="00323738">
        <w:rPr>
          <w:sz w:val="40"/>
          <w:lang w:val="fr"/>
        </w:rPr>
        <w:t xml:space="preserve"> </w:t>
      </w:r>
      <w:proofErr w:type="spellStart"/>
      <w:r w:rsidR="00D27263" w:rsidRPr="00323738">
        <w:rPr>
          <w:sz w:val="40"/>
          <w:lang w:val="fr"/>
        </w:rPr>
        <w:t>Review</w:t>
      </w:r>
      <w:proofErr w:type="spellEnd"/>
      <w:r w:rsidR="00D27263" w:rsidRPr="00323738">
        <w:rPr>
          <w:sz w:val="40"/>
          <w:lang w:val="fr"/>
        </w:rPr>
        <w:t xml:space="preserve"> (en)</w:t>
      </w:r>
      <w:r w:rsidR="00D27263">
        <w:rPr>
          <w:b/>
          <w:noProof/>
          <w:lang w:val="fr-CH" w:eastAsia="fr-CH"/>
        </w:rPr>
        <w:drawing>
          <wp:inline distT="0" distB="0" distL="0" distR="0" wp14:anchorId="5460C45C" wp14:editId="1F59EC3E">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14:paraId="2EEA35CE" w14:textId="77777777" w:rsidR="00D27263" w:rsidRPr="00323738" w:rsidRDefault="00D27263" w:rsidP="00D27263">
      <w:pPr>
        <w:jc w:val="center"/>
        <w:rPr>
          <w:sz w:val="28"/>
          <w:szCs w:val="28"/>
        </w:rPr>
      </w:pPr>
      <w:r>
        <w:rPr>
          <w:sz w:val="28"/>
          <w:szCs w:val="28"/>
          <w:lang w:val="fr"/>
        </w:rPr>
        <w:t>Vous tenir au courant de la littérature et des études actuelles du SME</w:t>
      </w:r>
    </w:p>
    <w:p w14:paraId="6A1EE73E" w14:textId="77777777" w:rsidR="00D27263" w:rsidRDefault="00046471" w:rsidP="00D27263">
      <w:pPr>
        <w:ind w:left="2160" w:firstLine="720"/>
      </w:pPr>
      <w:r>
        <w:rPr>
          <w:sz w:val="48"/>
          <w:lang w:val="fr"/>
        </w:rPr>
        <w:t>Dans</w:t>
      </w:r>
      <w:r w:rsidR="00E06170">
        <w:rPr>
          <w:sz w:val="48"/>
          <w:lang w:val="fr"/>
        </w:rPr>
        <w:t>ol</w:t>
      </w:r>
      <w:r>
        <w:rPr>
          <w:sz w:val="48"/>
          <w:lang w:val="fr"/>
        </w:rPr>
        <w:t>.</w:t>
      </w:r>
      <w:r>
        <w:rPr>
          <w:lang w:val="fr"/>
        </w:rPr>
        <w:t xml:space="preserve"> </w:t>
      </w:r>
      <w:r w:rsidR="008E2104">
        <w:rPr>
          <w:sz w:val="48"/>
          <w:lang w:val="fr"/>
        </w:rPr>
        <w:t>2</w:t>
      </w:r>
      <w:r w:rsidR="004B7EE3">
        <w:rPr>
          <w:sz w:val="48"/>
          <w:lang w:val="fr"/>
        </w:rPr>
        <w:t>.</w:t>
      </w:r>
      <w:r>
        <w:rPr>
          <w:lang w:val="fr"/>
        </w:rPr>
        <w:t xml:space="preserve"> </w:t>
      </w:r>
      <w:r w:rsidR="00B50275">
        <w:rPr>
          <w:sz w:val="48"/>
          <w:lang w:val="fr"/>
        </w:rPr>
        <w:t>2, 201</w:t>
      </w:r>
    </w:p>
    <w:p w14:paraId="3E9A1356" w14:textId="30E6491B" w:rsidR="00F04F34" w:rsidRPr="00F04F34" w:rsidRDefault="00DB3A89" w:rsidP="003A551F">
      <w:pPr>
        <w:pStyle w:val="Paragraphedeliste"/>
        <w:numPr>
          <w:ilvl w:val="0"/>
          <w:numId w:val="1"/>
        </w:numPr>
        <w:spacing w:before="100" w:beforeAutospacing="1" w:after="100" w:afterAutospacing="1"/>
        <w:rPr>
          <w:rFonts w:eastAsia="Times New Roman" w:cstheme="minorHAnsi"/>
          <w:b/>
          <w:color w:val="000000" w:themeColor="text1"/>
        </w:rPr>
      </w:pPr>
      <w:hyperlink r:id="rId10" w:history="1">
        <w:r w:rsidR="00F04F34" w:rsidRPr="00F04F34">
          <w:rPr>
            <w:b/>
            <w:bCs/>
            <w:color w:val="000000" w:themeColor="text1"/>
            <w:lang w:val="fr"/>
          </w:rPr>
          <w:t>Produit</w:t>
        </w:r>
        <w:r w:rsidR="003A551F">
          <w:rPr>
            <w:b/>
            <w:bCs/>
            <w:color w:val="000000" w:themeColor="text1"/>
            <w:lang w:val="fr"/>
          </w:rPr>
          <w:t>s</w:t>
        </w:r>
        <w:r w:rsidR="00F04F34" w:rsidRPr="00F04F34">
          <w:rPr>
            <w:b/>
            <w:bCs/>
            <w:color w:val="000000" w:themeColor="text1"/>
            <w:lang w:val="fr"/>
          </w:rPr>
          <w:t xml:space="preserve"> sanguin</w:t>
        </w:r>
        <w:r w:rsidR="003A551F">
          <w:rPr>
            <w:b/>
            <w:bCs/>
            <w:color w:val="000000" w:themeColor="text1"/>
            <w:lang w:val="fr"/>
          </w:rPr>
          <w:t>s en</w:t>
        </w:r>
        <w:r w:rsidR="00F04F34" w:rsidRPr="00F04F34">
          <w:rPr>
            <w:b/>
            <w:bCs/>
            <w:color w:val="000000" w:themeColor="text1"/>
            <w:lang w:val="fr"/>
          </w:rPr>
          <w:t xml:space="preserve"> </w:t>
        </w:r>
        <w:proofErr w:type="spellStart"/>
        <w:r w:rsidR="00F04F34" w:rsidRPr="00F04F34">
          <w:rPr>
            <w:b/>
            <w:bCs/>
            <w:color w:val="000000" w:themeColor="text1"/>
            <w:lang w:val="fr"/>
          </w:rPr>
          <w:t>préhospitalier</w:t>
        </w:r>
        <w:proofErr w:type="spellEnd"/>
      </w:hyperlink>
      <w:hyperlink r:id="rId11" w:history="1">
        <w:r w:rsidR="003A551F">
          <w:rPr>
            <w:b/>
            <w:bCs/>
            <w:color w:val="000000" w:themeColor="text1"/>
            <w:lang w:val="fr"/>
          </w:rPr>
          <w:t xml:space="preserve"> versus</w:t>
        </w:r>
        <w:r w:rsidR="00F04F34" w:rsidRPr="00F04F34">
          <w:rPr>
            <w:b/>
            <w:bCs/>
            <w:color w:val="000000" w:themeColor="text1"/>
            <w:lang w:val="fr"/>
          </w:rPr>
          <w:t xml:space="preserve"> </w:t>
        </w:r>
      </w:hyperlink>
      <w:hyperlink r:id="rId12" w:history="1">
        <w:r w:rsidR="00F04F34" w:rsidRPr="00F04F34">
          <w:rPr>
            <w:b/>
            <w:bCs/>
            <w:color w:val="000000" w:themeColor="text1"/>
            <w:lang w:val="fr"/>
          </w:rPr>
          <w:t xml:space="preserve">réanimation </w:t>
        </w:r>
        <w:r w:rsidR="003A551F">
          <w:rPr>
            <w:b/>
            <w:bCs/>
            <w:color w:val="000000" w:themeColor="text1"/>
            <w:lang w:val="fr"/>
          </w:rPr>
          <w:t xml:space="preserve">avec </w:t>
        </w:r>
        <w:r w:rsidR="00F04F34" w:rsidRPr="00F04F34">
          <w:rPr>
            <w:b/>
            <w:bCs/>
            <w:color w:val="000000" w:themeColor="text1"/>
            <w:lang w:val="fr"/>
          </w:rPr>
          <w:t>cristalloïde</w:t>
        </w:r>
        <w:r w:rsidR="003A551F">
          <w:rPr>
            <w:b/>
            <w:bCs/>
            <w:color w:val="000000" w:themeColor="text1"/>
            <w:lang w:val="fr"/>
          </w:rPr>
          <w:t>s,</w:t>
        </w:r>
        <w:r w:rsidR="00F04F34" w:rsidRPr="00F04F34">
          <w:rPr>
            <w:b/>
            <w:bCs/>
            <w:color w:val="000000" w:themeColor="text1"/>
            <w:lang w:val="fr"/>
          </w:rPr>
          <w:t xml:space="preserve"> chez le patient grièvement blessé : U</w:t>
        </w:r>
        <w:r w:rsidR="003A551F">
          <w:rPr>
            <w:b/>
            <w:bCs/>
            <w:color w:val="000000" w:themeColor="text1"/>
            <w:lang w:val="fr"/>
          </w:rPr>
          <w:t>ne analyse secondaire de l'étude</w:t>
        </w:r>
        <w:r w:rsidR="00F04F34" w:rsidRPr="00F04F34">
          <w:rPr>
            <w:b/>
            <w:bCs/>
            <w:color w:val="000000" w:themeColor="text1"/>
            <w:lang w:val="fr"/>
          </w:rPr>
          <w:t xml:space="preserve"> </w:t>
        </w:r>
      </w:hyperlink>
      <w:r w:rsidR="003A551F" w:rsidRPr="003A551F">
        <w:t xml:space="preserve"> </w:t>
      </w:r>
      <w:proofErr w:type="spellStart"/>
      <w:r w:rsidR="003A551F" w:rsidRPr="003A551F">
        <w:rPr>
          <w:b/>
          <w:bCs/>
          <w:color w:val="000000" w:themeColor="text1"/>
          <w:lang w:val="fr"/>
        </w:rPr>
        <w:t>Prehospital</w:t>
      </w:r>
      <w:proofErr w:type="spellEnd"/>
      <w:r w:rsidR="003A551F" w:rsidRPr="003A551F">
        <w:rPr>
          <w:b/>
          <w:bCs/>
          <w:color w:val="000000" w:themeColor="text1"/>
          <w:lang w:val="fr"/>
        </w:rPr>
        <w:t xml:space="preserve"> Air </w:t>
      </w:r>
      <w:proofErr w:type="spellStart"/>
      <w:r w:rsidR="003A551F" w:rsidRPr="003A551F">
        <w:rPr>
          <w:b/>
          <w:bCs/>
          <w:color w:val="000000" w:themeColor="text1"/>
          <w:lang w:val="fr"/>
        </w:rPr>
        <w:t>Medical</w:t>
      </w:r>
      <w:proofErr w:type="spellEnd"/>
      <w:r w:rsidR="003A551F" w:rsidRPr="003A551F">
        <w:rPr>
          <w:b/>
          <w:bCs/>
          <w:color w:val="000000" w:themeColor="text1"/>
          <w:lang w:val="fr"/>
        </w:rPr>
        <w:t xml:space="preserve"> Plasma</w:t>
      </w:r>
      <w:r w:rsidR="00CF2E82">
        <w:rPr>
          <w:lang w:val="fr"/>
        </w:rPr>
        <w:t>.</w:t>
      </w:r>
      <w:hyperlink r:id="rId13" w:history="1">
        <w:r w:rsidR="00F04F34" w:rsidRPr="00F04F34">
          <w:rPr>
            <w:b/>
            <w:bCs/>
            <w:color w:val="000000" w:themeColor="text1"/>
            <w:lang w:val="fr"/>
          </w:rPr>
          <w:t xml:space="preserve"> </w:t>
        </w:r>
      </w:hyperlink>
      <w:r w:rsidR="00CF2E82">
        <w:rPr>
          <w:lang w:val="fr"/>
        </w:rPr>
        <w:t xml:space="preserve"> </w:t>
      </w:r>
      <w:proofErr w:type="spellStart"/>
      <w:r w:rsidR="00F04F34" w:rsidRPr="00F04F34">
        <w:rPr>
          <w:b/>
          <w:lang w:val="fr"/>
        </w:rPr>
        <w:t>Guyette</w:t>
      </w:r>
      <w:proofErr w:type="spellEnd"/>
      <w:r w:rsidR="00F04F34" w:rsidRPr="00F04F34">
        <w:rPr>
          <w:b/>
          <w:lang w:val="fr"/>
        </w:rPr>
        <w:t xml:space="preserve"> FX, Sperry JL, </w:t>
      </w:r>
      <w:proofErr w:type="spellStart"/>
      <w:r w:rsidR="00F04F34" w:rsidRPr="00F04F34">
        <w:rPr>
          <w:b/>
          <w:lang w:val="fr"/>
        </w:rPr>
        <w:t>Peitzman</w:t>
      </w:r>
      <w:proofErr w:type="spellEnd"/>
      <w:r w:rsidR="00F04F34" w:rsidRPr="00F04F34">
        <w:rPr>
          <w:b/>
          <w:lang w:val="fr"/>
        </w:rPr>
        <w:t xml:space="preserve"> AB,</w:t>
      </w:r>
      <w:r w:rsidR="00CF2E82">
        <w:rPr>
          <w:lang w:val="fr"/>
        </w:rPr>
        <w:t xml:space="preserve"> </w:t>
      </w:r>
      <w:r w:rsidR="00DC1BDF">
        <w:rPr>
          <w:b/>
          <w:lang w:val="fr"/>
        </w:rPr>
        <w:t xml:space="preserve"> et coll.</w:t>
      </w:r>
      <w:r w:rsidR="00CF2E82">
        <w:rPr>
          <w:lang w:val="fr"/>
        </w:rPr>
        <w:t xml:space="preserve"> </w:t>
      </w:r>
      <w:r w:rsidR="00F04F34" w:rsidRPr="00F04F34">
        <w:rPr>
          <w:b/>
          <w:lang w:val="fr"/>
        </w:rPr>
        <w:t>Ann Surg. 2019 13 avril doi: 10.1097/SLA.000000000000003324. [Epub en avance sur l'impression]</w:t>
      </w:r>
    </w:p>
    <w:p w14:paraId="37E48D9B" w14:textId="20934CE6" w:rsidR="00281AA8" w:rsidRPr="00281AA8" w:rsidRDefault="00281AA8" w:rsidP="00281AA8">
      <w:pPr>
        <w:pStyle w:val="Paragraphedeliste"/>
        <w:numPr>
          <w:ilvl w:val="0"/>
          <w:numId w:val="1"/>
        </w:numPr>
        <w:spacing w:after="0"/>
        <w:rPr>
          <w:rFonts w:eastAsia="Times New Roman" w:cstheme="minorHAnsi"/>
          <w:b/>
        </w:rPr>
      </w:pPr>
      <w:r w:rsidRPr="00281AA8">
        <w:rPr>
          <w:b/>
          <w:lang w:val="fr"/>
        </w:rPr>
        <w:t>Évaluation comparative randomisée de trois dispositif</w:t>
      </w:r>
      <w:r w:rsidR="00987228">
        <w:rPr>
          <w:b/>
          <w:lang w:val="fr"/>
        </w:rPr>
        <w:t xml:space="preserve">s chirurgicaux de </w:t>
      </w:r>
      <w:proofErr w:type="spellStart"/>
      <w:r w:rsidR="00987228">
        <w:rPr>
          <w:b/>
          <w:lang w:val="fr"/>
        </w:rPr>
        <w:t>Cricothyrotomie</w:t>
      </w:r>
      <w:proofErr w:type="spellEnd"/>
      <w:r w:rsidRPr="00281AA8">
        <w:rPr>
          <w:b/>
          <w:lang w:val="fr"/>
        </w:rPr>
        <w:t xml:space="preserve"> sur</w:t>
      </w:r>
      <w:r w:rsidR="00987228">
        <w:rPr>
          <w:b/>
          <w:lang w:val="fr"/>
        </w:rPr>
        <w:t xml:space="preserve"> des mannequins</w:t>
      </w:r>
      <w:r w:rsidRPr="00281AA8">
        <w:rPr>
          <w:b/>
          <w:lang w:val="fr"/>
        </w:rPr>
        <w:t xml:space="preserve">.  Dorsam J, Cornelius S, McLean J, et coll.  Soins d'urgence préhospitaliers, </w:t>
      </w:r>
      <w:r>
        <w:rPr>
          <w:b/>
          <w:lang w:val="fr"/>
        </w:rPr>
        <w:t>2019 :</w:t>
      </w:r>
      <w:r w:rsidRPr="00281AA8">
        <w:rPr>
          <w:b/>
          <w:lang w:val="fr"/>
        </w:rPr>
        <w:t>23</w:t>
      </w:r>
      <w:r>
        <w:rPr>
          <w:b/>
          <w:lang w:val="fr"/>
        </w:rPr>
        <w:t>;</w:t>
      </w:r>
      <w:r>
        <w:rPr>
          <w:lang w:val="fr"/>
        </w:rPr>
        <w:t xml:space="preserve"> </w:t>
      </w:r>
      <w:r w:rsidRPr="00281AA8">
        <w:rPr>
          <w:b/>
          <w:lang w:val="fr"/>
        </w:rPr>
        <w:t>411-419</w:t>
      </w:r>
      <w:r>
        <w:rPr>
          <w:b/>
          <w:lang w:val="fr"/>
        </w:rPr>
        <w:t>.</w:t>
      </w:r>
    </w:p>
    <w:p w14:paraId="56193219" w14:textId="66674E36" w:rsidR="00657100" w:rsidRPr="00657100" w:rsidRDefault="003E5A40" w:rsidP="00281AA8">
      <w:pPr>
        <w:pStyle w:val="Paragraphedeliste"/>
        <w:numPr>
          <w:ilvl w:val="0"/>
          <w:numId w:val="1"/>
        </w:numPr>
        <w:spacing w:after="0"/>
        <w:rPr>
          <w:rFonts w:eastAsia="Times New Roman" w:cstheme="minorHAnsi"/>
          <w:b/>
        </w:rPr>
      </w:pPr>
      <w:r>
        <w:rPr>
          <w:b/>
          <w:lang w:val="fr"/>
        </w:rPr>
        <w:t>Les é</w:t>
      </w:r>
      <w:r w:rsidR="00657100" w:rsidRPr="00657100">
        <w:rPr>
          <w:b/>
          <w:lang w:val="fr"/>
        </w:rPr>
        <w:t>quipement</w:t>
      </w:r>
      <w:r>
        <w:rPr>
          <w:b/>
          <w:lang w:val="fr"/>
        </w:rPr>
        <w:t>s</w:t>
      </w:r>
      <w:r w:rsidR="00657100" w:rsidRPr="00657100">
        <w:rPr>
          <w:b/>
          <w:lang w:val="fr"/>
        </w:rPr>
        <w:t xml:space="preserve"> d'oxygène des services</w:t>
      </w:r>
      <w:r>
        <w:rPr>
          <w:b/>
          <w:lang w:val="fr"/>
        </w:rPr>
        <w:t xml:space="preserve"> médicaux d'urgence : un vecteur</w:t>
      </w:r>
      <w:r w:rsidR="00657100" w:rsidRPr="00657100">
        <w:rPr>
          <w:b/>
          <w:lang w:val="fr"/>
        </w:rPr>
        <w:t xml:space="preserve"> pour la transmission du SARM?  Gibson, CV</w:t>
      </w:r>
      <w:r w:rsidR="00657100">
        <w:rPr>
          <w:b/>
          <w:lang w:val="fr"/>
        </w:rPr>
        <w:t>.</w:t>
      </w:r>
      <w:r w:rsidR="00657100">
        <w:rPr>
          <w:lang w:val="fr"/>
        </w:rPr>
        <w:t xml:space="preserve"> </w:t>
      </w:r>
      <w:proofErr w:type="spellStart"/>
      <w:r w:rsidR="00657100" w:rsidRPr="00657100">
        <w:rPr>
          <w:b/>
          <w:lang w:val="fr"/>
        </w:rPr>
        <w:t>Emerg</w:t>
      </w:r>
      <w:proofErr w:type="spellEnd"/>
      <w:r w:rsidR="00657100" w:rsidRPr="00657100">
        <w:rPr>
          <w:b/>
          <w:lang w:val="fr"/>
        </w:rPr>
        <w:t xml:space="preserve"> Med J 2019:36. doi:10.1136/emermed-2018-207758 [</w:t>
      </w:r>
      <w:proofErr w:type="spellStart"/>
      <w:r w:rsidR="00657100" w:rsidRPr="00657100">
        <w:rPr>
          <w:b/>
          <w:lang w:val="fr"/>
        </w:rPr>
        <w:t>Epub</w:t>
      </w:r>
      <w:proofErr w:type="spellEnd"/>
      <w:r w:rsidR="00657100" w:rsidRPr="00657100">
        <w:rPr>
          <w:b/>
          <w:lang w:val="fr"/>
        </w:rPr>
        <w:t xml:space="preserve"> en avance sur la presse. 1er décembre 2018]</w:t>
      </w:r>
    </w:p>
    <w:p w14:paraId="1FA3CB2A" w14:textId="239E2510" w:rsidR="00657100" w:rsidRPr="00657100" w:rsidRDefault="00DB3A89" w:rsidP="00391318">
      <w:pPr>
        <w:pStyle w:val="Paragraphedeliste"/>
        <w:numPr>
          <w:ilvl w:val="0"/>
          <w:numId w:val="1"/>
        </w:numPr>
        <w:rPr>
          <w:b/>
        </w:rPr>
      </w:pPr>
      <w:r>
        <w:rPr>
          <w:b/>
          <w:lang w:val="fr"/>
        </w:rPr>
        <w:t>Une revue</w:t>
      </w:r>
      <w:r w:rsidR="00391318" w:rsidRPr="00391318">
        <w:rPr>
          <w:b/>
          <w:lang w:val="fr"/>
        </w:rPr>
        <w:t xml:space="preserve"> sys</w:t>
      </w:r>
      <w:r>
        <w:rPr>
          <w:b/>
          <w:lang w:val="fr"/>
        </w:rPr>
        <w:t>tématique et une méta-analyse portant sur</w:t>
      </w:r>
      <w:r w:rsidR="00391318" w:rsidRPr="00391318">
        <w:rPr>
          <w:b/>
          <w:lang w:val="fr"/>
        </w:rPr>
        <w:t xml:space="preserve"> la kétamine comme alternative aux opioïdes pour la prise en charge de la douleur aigue, au service des urgences</w:t>
      </w:r>
      <w:r w:rsidR="00657100" w:rsidRPr="00657100">
        <w:rPr>
          <w:b/>
          <w:lang w:val="fr"/>
        </w:rPr>
        <w:t xml:space="preserve">.  </w:t>
      </w:r>
      <w:proofErr w:type="spellStart"/>
      <w:r w:rsidR="00657100" w:rsidRPr="008B13F0">
        <w:rPr>
          <w:b/>
          <w:lang w:val="de-DE"/>
        </w:rPr>
        <w:t>Karlow,N</w:t>
      </w:r>
      <w:proofErr w:type="spellEnd"/>
      <w:r w:rsidR="00657100" w:rsidRPr="008B13F0">
        <w:rPr>
          <w:b/>
          <w:lang w:val="de-DE"/>
        </w:rPr>
        <w:t xml:space="preserve">, </w:t>
      </w:r>
      <w:proofErr w:type="spellStart"/>
      <w:r w:rsidR="00657100" w:rsidRPr="008B13F0">
        <w:rPr>
          <w:b/>
          <w:lang w:val="de-DE"/>
        </w:rPr>
        <w:t>Schlaepfer,C</w:t>
      </w:r>
      <w:proofErr w:type="spellEnd"/>
      <w:r w:rsidR="00657100" w:rsidRPr="008B13F0">
        <w:rPr>
          <w:b/>
          <w:lang w:val="de-DE"/>
        </w:rPr>
        <w:t xml:space="preserve">, </w:t>
      </w:r>
      <w:proofErr w:type="spellStart"/>
      <w:r w:rsidR="00657100" w:rsidRPr="008B13F0">
        <w:rPr>
          <w:b/>
          <w:lang w:val="de-DE"/>
        </w:rPr>
        <w:t>Stoll,C</w:t>
      </w:r>
      <w:proofErr w:type="spellEnd"/>
      <w:r w:rsidR="00657100" w:rsidRPr="008B13F0">
        <w:rPr>
          <w:b/>
          <w:lang w:val="de-DE"/>
        </w:rPr>
        <w:t xml:space="preserve">, </w:t>
      </w:r>
      <w:proofErr w:type="spellStart"/>
      <w:r w:rsidR="00657100" w:rsidRPr="008B13F0">
        <w:rPr>
          <w:b/>
          <w:lang w:val="de-DE"/>
        </w:rPr>
        <w:t>Doering,M</w:t>
      </w:r>
      <w:proofErr w:type="spellEnd"/>
      <w:r w:rsidR="00657100" w:rsidRPr="008B13F0">
        <w:rPr>
          <w:b/>
          <w:lang w:val="de-DE"/>
        </w:rPr>
        <w:t>, Carpenter,C, Colditz,G, et al Acad Emerg Med doi: 10.1111/acem.13502, 2018;25: 1086-1097</w:t>
      </w:r>
    </w:p>
    <w:p w14:paraId="69B5DB2E" w14:textId="77777777" w:rsidR="00F04F34" w:rsidRPr="00F04F34" w:rsidRDefault="00F04F34" w:rsidP="00F04F34">
      <w:pPr>
        <w:pStyle w:val="Paragraphedeliste"/>
        <w:rPr>
          <w:b/>
        </w:rPr>
      </w:pPr>
    </w:p>
    <w:p w14:paraId="00A65426" w14:textId="4C1F99B1" w:rsidR="00F04F34" w:rsidRPr="00F04F34" w:rsidRDefault="00DB3A89" w:rsidP="003A551F">
      <w:pPr>
        <w:pStyle w:val="Paragraphedeliste"/>
        <w:numPr>
          <w:ilvl w:val="0"/>
          <w:numId w:val="17"/>
        </w:numPr>
        <w:spacing w:before="100" w:beforeAutospacing="1" w:after="100" w:afterAutospacing="1"/>
        <w:rPr>
          <w:rFonts w:eastAsia="Times New Roman" w:cstheme="minorHAnsi"/>
          <w:b/>
          <w:color w:val="000000" w:themeColor="text1"/>
        </w:rPr>
      </w:pPr>
      <w:hyperlink r:id="rId14" w:history="1">
        <w:r w:rsidR="003A551F" w:rsidRPr="003A551F">
          <w:rPr>
            <w:b/>
            <w:bCs/>
            <w:color w:val="000000" w:themeColor="text1"/>
            <w:lang w:val="fr"/>
          </w:rPr>
          <w:t xml:space="preserve">Produits sanguins en </w:t>
        </w:r>
        <w:proofErr w:type="spellStart"/>
        <w:r w:rsidR="003A551F" w:rsidRPr="003A551F">
          <w:rPr>
            <w:b/>
            <w:bCs/>
            <w:color w:val="000000" w:themeColor="text1"/>
            <w:lang w:val="fr"/>
          </w:rPr>
          <w:t>préhospitalier</w:t>
        </w:r>
        <w:proofErr w:type="spellEnd"/>
        <w:r w:rsidR="003A551F" w:rsidRPr="003A551F">
          <w:rPr>
            <w:b/>
            <w:bCs/>
            <w:color w:val="000000" w:themeColor="text1"/>
            <w:lang w:val="fr"/>
          </w:rPr>
          <w:t xml:space="preserve"> versus réanimation avec cristalloïdes, chez le patient grièvement blessé : Une analyse secondaire de l'étude  </w:t>
        </w:r>
        <w:proofErr w:type="spellStart"/>
        <w:r w:rsidR="003A551F" w:rsidRPr="003A551F">
          <w:rPr>
            <w:b/>
            <w:bCs/>
            <w:color w:val="000000" w:themeColor="text1"/>
            <w:lang w:val="fr"/>
          </w:rPr>
          <w:t>Prehospital</w:t>
        </w:r>
        <w:proofErr w:type="spellEnd"/>
        <w:r w:rsidR="003A551F" w:rsidRPr="003A551F">
          <w:rPr>
            <w:b/>
            <w:bCs/>
            <w:color w:val="000000" w:themeColor="text1"/>
            <w:lang w:val="fr"/>
          </w:rPr>
          <w:t xml:space="preserve"> Air </w:t>
        </w:r>
        <w:proofErr w:type="spellStart"/>
        <w:r w:rsidR="003A551F" w:rsidRPr="003A551F">
          <w:rPr>
            <w:b/>
            <w:bCs/>
            <w:color w:val="000000" w:themeColor="text1"/>
            <w:lang w:val="fr"/>
          </w:rPr>
          <w:t>Medical</w:t>
        </w:r>
        <w:proofErr w:type="spellEnd"/>
        <w:r w:rsidR="003A551F" w:rsidRPr="003A551F">
          <w:rPr>
            <w:b/>
            <w:bCs/>
            <w:color w:val="000000" w:themeColor="text1"/>
            <w:lang w:val="fr"/>
          </w:rPr>
          <w:t xml:space="preserve"> Plasma</w:t>
        </w:r>
      </w:hyperlink>
      <w:hyperlink r:id="rId15" w:history="1">
        <w:r w:rsidR="00F04F34" w:rsidRPr="00F04F34">
          <w:rPr>
            <w:b/>
            <w:bCs/>
            <w:color w:val="000000" w:themeColor="text1"/>
            <w:lang w:val="fr"/>
          </w:rPr>
          <w:t xml:space="preserve"> </w:t>
        </w:r>
      </w:hyperlink>
      <w:r w:rsidR="00CF2E82">
        <w:rPr>
          <w:lang w:val="fr"/>
        </w:rPr>
        <w:t>.</w:t>
      </w:r>
      <w:hyperlink r:id="rId16" w:history="1">
        <w:r w:rsidR="00F04F34" w:rsidRPr="00F04F34">
          <w:rPr>
            <w:b/>
            <w:bCs/>
            <w:color w:val="000000" w:themeColor="text1"/>
            <w:lang w:val="fr"/>
          </w:rPr>
          <w:t xml:space="preserve"> </w:t>
        </w:r>
      </w:hyperlink>
      <w:r w:rsidR="00CF2E82">
        <w:rPr>
          <w:lang w:val="fr"/>
        </w:rPr>
        <w:t xml:space="preserve"> </w:t>
      </w:r>
      <w:proofErr w:type="spellStart"/>
      <w:r w:rsidR="00F04F34" w:rsidRPr="00F04F34">
        <w:rPr>
          <w:lang w:val="fr"/>
        </w:rPr>
        <w:t>Guyette</w:t>
      </w:r>
      <w:proofErr w:type="spellEnd"/>
      <w:r w:rsidR="00F04F34" w:rsidRPr="00F04F34">
        <w:rPr>
          <w:lang w:val="fr"/>
        </w:rPr>
        <w:t xml:space="preserve"> FX, Sperry JL, </w:t>
      </w:r>
      <w:proofErr w:type="spellStart"/>
      <w:r w:rsidR="00F04F34" w:rsidRPr="00F04F34">
        <w:rPr>
          <w:lang w:val="fr"/>
        </w:rPr>
        <w:t>Peitzman</w:t>
      </w:r>
      <w:proofErr w:type="spellEnd"/>
      <w:r w:rsidR="00F04F34" w:rsidRPr="00F04F34">
        <w:rPr>
          <w:lang w:val="fr"/>
        </w:rPr>
        <w:t xml:space="preserve"> AB, et coll.  . Ann </w:t>
      </w:r>
      <w:proofErr w:type="spellStart"/>
      <w:r w:rsidR="00F04F34" w:rsidRPr="00F04F34">
        <w:rPr>
          <w:lang w:val="fr"/>
        </w:rPr>
        <w:t>Surg</w:t>
      </w:r>
      <w:proofErr w:type="spellEnd"/>
      <w:r w:rsidR="00F04F34" w:rsidRPr="00F04F34">
        <w:rPr>
          <w:lang w:val="fr"/>
        </w:rPr>
        <w:t xml:space="preserve">. 2019 13 avril. </w:t>
      </w:r>
      <w:proofErr w:type="spellStart"/>
      <w:r w:rsidR="00F04F34" w:rsidRPr="00F04F34">
        <w:rPr>
          <w:lang w:val="fr"/>
        </w:rPr>
        <w:t>doi</w:t>
      </w:r>
      <w:proofErr w:type="spellEnd"/>
      <w:r w:rsidR="00F04F34" w:rsidRPr="00F04F34">
        <w:rPr>
          <w:lang w:val="fr"/>
        </w:rPr>
        <w:t>: 10.1097/SLA.00000000000003324. [</w:t>
      </w:r>
      <w:proofErr w:type="spellStart"/>
      <w:r w:rsidR="00F04F34" w:rsidRPr="00F04F34">
        <w:rPr>
          <w:lang w:val="fr"/>
        </w:rPr>
        <w:t>Epub</w:t>
      </w:r>
      <w:proofErr w:type="spellEnd"/>
      <w:r w:rsidR="00F04F34" w:rsidRPr="00F04F34">
        <w:rPr>
          <w:lang w:val="fr"/>
        </w:rPr>
        <w:t xml:space="preserve"> en avance sur l'impression]</w:t>
      </w:r>
    </w:p>
    <w:p w14:paraId="07F6E084" w14:textId="0FB4278B" w:rsidR="00F04F34" w:rsidRPr="00F04F34" w:rsidRDefault="00F04F34" w:rsidP="00F04F34">
      <w:pPr>
        <w:pStyle w:val="Sansinterligne"/>
        <w:ind w:firstLine="360"/>
        <w:rPr>
          <w:rFonts w:cstheme="minorHAnsi"/>
        </w:rPr>
      </w:pPr>
      <w:r w:rsidRPr="00F04F34">
        <w:rPr>
          <w:lang w:val="fr"/>
        </w:rPr>
        <w:t>L'hémorragie incontrôlée est la première cause de</w:t>
      </w:r>
      <w:r w:rsidR="003A551F">
        <w:rPr>
          <w:lang w:val="fr"/>
        </w:rPr>
        <w:t xml:space="preserve"> décès évitable dans le cadre de la traumatologie que ce soit en milieux civils ou</w:t>
      </w:r>
      <w:r w:rsidRPr="00F04F34">
        <w:rPr>
          <w:lang w:val="fr"/>
        </w:rPr>
        <w:t xml:space="preserve"> militaires.  Les centres de traumatologie ont adopté les principes de la réan</w:t>
      </w:r>
      <w:r w:rsidR="003A551F">
        <w:rPr>
          <w:lang w:val="fr"/>
        </w:rPr>
        <w:t>imation damage control</w:t>
      </w:r>
      <w:r w:rsidRPr="00F04F34">
        <w:rPr>
          <w:lang w:val="fr"/>
        </w:rPr>
        <w:t>, qui incl</w:t>
      </w:r>
      <w:r w:rsidR="003A551F">
        <w:rPr>
          <w:lang w:val="fr"/>
        </w:rPr>
        <w:t>ut la minimisation des volumes perfusés de</w:t>
      </w:r>
      <w:r w:rsidRPr="00F04F34">
        <w:rPr>
          <w:lang w:val="fr"/>
        </w:rPr>
        <w:t xml:space="preserve"> cristalloïde</w:t>
      </w:r>
      <w:r w:rsidR="003A551F">
        <w:rPr>
          <w:lang w:val="fr"/>
        </w:rPr>
        <w:t>s, tout en transfusant d</w:t>
      </w:r>
      <w:r w:rsidRPr="00F04F34">
        <w:rPr>
          <w:lang w:val="fr"/>
        </w:rPr>
        <w:t>es</w:t>
      </w:r>
      <w:r w:rsidR="003A551F">
        <w:rPr>
          <w:lang w:val="fr"/>
        </w:rPr>
        <w:t xml:space="preserve"> concentrés de globules rouges, du plasma, et d</w:t>
      </w:r>
      <w:r w:rsidRPr="00F04F34">
        <w:rPr>
          <w:lang w:val="fr"/>
        </w:rPr>
        <w:t>es plaquettes.  En outre, certains centres ont commencé à</w:t>
      </w:r>
      <w:r w:rsidR="003A551F">
        <w:rPr>
          <w:lang w:val="fr"/>
        </w:rPr>
        <w:t xml:space="preserve"> utiliser du sang total. </w:t>
      </w:r>
      <w:r w:rsidRPr="00F04F34">
        <w:rPr>
          <w:lang w:val="fr"/>
        </w:rPr>
        <w:t>Ces techniques commencent tout juste à être utilisées dans certains systèmes préhospitaliers.</w:t>
      </w:r>
    </w:p>
    <w:p w14:paraId="250FEFF6" w14:textId="30CDB855" w:rsidR="00F04F34" w:rsidRPr="00F04F34" w:rsidRDefault="00F04F34" w:rsidP="00F04F34">
      <w:pPr>
        <w:pStyle w:val="Sansinterligne"/>
        <w:ind w:firstLine="360"/>
        <w:rPr>
          <w:rFonts w:cstheme="minorHAnsi"/>
        </w:rPr>
      </w:pPr>
      <w:r w:rsidRPr="00F04F34">
        <w:rPr>
          <w:lang w:val="fr"/>
        </w:rPr>
        <w:t xml:space="preserve">Les produits sanguins </w:t>
      </w:r>
      <w:proofErr w:type="spellStart"/>
      <w:r w:rsidRPr="00F04F34">
        <w:rPr>
          <w:lang w:val="fr"/>
        </w:rPr>
        <w:t>pré</w:t>
      </w:r>
      <w:r w:rsidR="003A551F">
        <w:rPr>
          <w:lang w:val="fr"/>
        </w:rPr>
        <w:t>hospitaliers</w:t>
      </w:r>
      <w:proofErr w:type="spellEnd"/>
      <w:r w:rsidR="003A551F">
        <w:rPr>
          <w:lang w:val="fr"/>
        </w:rPr>
        <w:t xml:space="preserve"> (définis comme culots de globules rouges</w:t>
      </w:r>
      <w:r w:rsidR="00D37183">
        <w:rPr>
          <w:lang w:val="fr"/>
        </w:rPr>
        <w:t xml:space="preserve"> ou CGR</w:t>
      </w:r>
      <w:r w:rsidRPr="00F04F34">
        <w:rPr>
          <w:lang w:val="fr"/>
        </w:rPr>
        <w:t>, plasma, ou les deux) sont de plus en plus disponibles</w:t>
      </w:r>
      <w:r w:rsidR="003A551F">
        <w:rPr>
          <w:lang w:val="fr"/>
        </w:rPr>
        <w:t xml:space="preserve"> dans les services civils </w:t>
      </w:r>
      <w:proofErr w:type="spellStart"/>
      <w:r w:rsidR="003A551F">
        <w:rPr>
          <w:lang w:val="fr"/>
        </w:rPr>
        <w:t>préhospitaliers</w:t>
      </w:r>
      <w:proofErr w:type="spellEnd"/>
      <w:r w:rsidR="003A551F">
        <w:rPr>
          <w:lang w:val="fr"/>
        </w:rPr>
        <w:t xml:space="preserve"> utilisant l’</w:t>
      </w:r>
      <w:r w:rsidRPr="00F04F34">
        <w:rPr>
          <w:lang w:val="fr"/>
        </w:rPr>
        <w:t>hélicoptère.  Réc</w:t>
      </w:r>
      <w:r w:rsidR="003A551F">
        <w:rPr>
          <w:lang w:val="fr"/>
        </w:rPr>
        <w:t>emment, la grande étude PAMP (</w:t>
      </w:r>
      <w:proofErr w:type="spellStart"/>
      <w:r w:rsidR="003A551F">
        <w:rPr>
          <w:lang w:val="fr"/>
        </w:rPr>
        <w:t>Prehospital</w:t>
      </w:r>
      <w:proofErr w:type="spellEnd"/>
      <w:r w:rsidR="003A551F">
        <w:rPr>
          <w:lang w:val="fr"/>
        </w:rPr>
        <w:t xml:space="preserve"> Air </w:t>
      </w:r>
      <w:proofErr w:type="spellStart"/>
      <w:r w:rsidR="003A551F">
        <w:rPr>
          <w:lang w:val="fr"/>
        </w:rPr>
        <w:t>Medical</w:t>
      </w:r>
      <w:proofErr w:type="spellEnd"/>
      <w:r w:rsidR="003A551F">
        <w:rPr>
          <w:lang w:val="fr"/>
        </w:rPr>
        <w:t xml:space="preserve"> Plasma</w:t>
      </w:r>
      <w:r w:rsidRPr="00F04F34">
        <w:rPr>
          <w:lang w:val="fr"/>
        </w:rPr>
        <w:t>) a démontré une</w:t>
      </w:r>
      <w:r w:rsidR="003A551F">
        <w:rPr>
          <w:lang w:val="fr"/>
        </w:rPr>
        <w:t xml:space="preserve"> amélioration de la mortalité à</w:t>
      </w:r>
      <w:r w:rsidRPr="00F04F34">
        <w:rPr>
          <w:lang w:val="fr"/>
        </w:rPr>
        <w:t xml:space="preserve"> 30 jours pour le patient gr</w:t>
      </w:r>
      <w:r w:rsidR="003A551F">
        <w:rPr>
          <w:lang w:val="fr"/>
        </w:rPr>
        <w:t>ièvement blessé, à risque de développer un</w:t>
      </w:r>
      <w:r w:rsidRPr="00F04F34">
        <w:rPr>
          <w:lang w:val="fr"/>
        </w:rPr>
        <w:t xml:space="preserve"> </w:t>
      </w:r>
      <w:r w:rsidR="003A551F">
        <w:rPr>
          <w:lang w:val="fr"/>
        </w:rPr>
        <w:t xml:space="preserve">état de </w:t>
      </w:r>
      <w:r w:rsidRPr="00F04F34">
        <w:rPr>
          <w:lang w:val="fr"/>
        </w:rPr>
        <w:t>choc hémorragique</w:t>
      </w:r>
      <w:r w:rsidR="003A551F">
        <w:rPr>
          <w:lang w:val="fr"/>
        </w:rPr>
        <w:t xml:space="preserve">, qui a bénéficié d’une ranimation avec du </w:t>
      </w:r>
      <w:r w:rsidRPr="00F04F34">
        <w:rPr>
          <w:lang w:val="fr"/>
        </w:rPr>
        <w:t xml:space="preserve">plasma.  Les investigateurs ont </w:t>
      </w:r>
      <w:r w:rsidR="003A551F">
        <w:rPr>
          <w:lang w:val="fr"/>
        </w:rPr>
        <w:t xml:space="preserve">noté une amélioration de 10% du taux de survie pour </w:t>
      </w:r>
      <w:r w:rsidRPr="00F04F34">
        <w:rPr>
          <w:lang w:val="fr"/>
        </w:rPr>
        <w:t>les patients qui ont reçu le</w:t>
      </w:r>
      <w:r w:rsidR="00D37183">
        <w:rPr>
          <w:lang w:val="fr"/>
        </w:rPr>
        <w:t xml:space="preserve"> plasma par rapport à ceux qui ont eu une ranimation classique à base de cristalloïde</w:t>
      </w:r>
      <w:r w:rsidRPr="00F04F34">
        <w:rPr>
          <w:lang w:val="fr"/>
        </w:rPr>
        <w:t xml:space="preserve">.  Cette étude est une analyse secondaire de leurs </w:t>
      </w:r>
      <w:r w:rsidRPr="00F04F34">
        <w:rPr>
          <w:lang w:val="fr"/>
        </w:rPr>
        <w:lastRenderedPageBreak/>
        <w:t>données</w:t>
      </w:r>
      <w:r w:rsidR="00D37183">
        <w:rPr>
          <w:lang w:val="fr"/>
        </w:rPr>
        <w:t>,</w:t>
      </w:r>
      <w:r w:rsidRPr="00F04F34">
        <w:rPr>
          <w:lang w:val="fr"/>
        </w:rPr>
        <w:t xml:space="preserve"> portant spécifiquement sur la combinaison de</w:t>
      </w:r>
      <w:r w:rsidR="00D37183">
        <w:rPr>
          <w:lang w:val="fr"/>
        </w:rPr>
        <w:t>s solutés utilisés en</w:t>
      </w:r>
      <w:r w:rsidRPr="00F04F34">
        <w:rPr>
          <w:lang w:val="fr"/>
        </w:rPr>
        <w:t xml:space="preserve"> </w:t>
      </w:r>
      <w:proofErr w:type="spellStart"/>
      <w:r w:rsidRPr="00F04F34">
        <w:rPr>
          <w:lang w:val="fr"/>
        </w:rPr>
        <w:t>préhospitalier</w:t>
      </w:r>
      <w:proofErr w:type="spellEnd"/>
      <w:r w:rsidR="00D37183">
        <w:rPr>
          <w:lang w:val="fr"/>
        </w:rPr>
        <w:t>,</w:t>
      </w:r>
      <w:r w:rsidRPr="00F04F34">
        <w:rPr>
          <w:lang w:val="fr"/>
        </w:rPr>
        <w:t xml:space="preserve"> </w:t>
      </w:r>
      <w:r w:rsidR="00D37183">
        <w:rPr>
          <w:lang w:val="fr"/>
        </w:rPr>
        <w:t>afin de déterminer celle qui a le plus d'impact en termes de</w:t>
      </w:r>
      <w:r w:rsidRPr="00F04F34">
        <w:rPr>
          <w:lang w:val="fr"/>
        </w:rPr>
        <w:t xml:space="preserve"> survie.</w:t>
      </w:r>
    </w:p>
    <w:p w14:paraId="6F7584B2" w14:textId="57BC8C5E" w:rsidR="00F04F34" w:rsidRPr="00F04F34" w:rsidRDefault="00F04F34" w:rsidP="00F04F34">
      <w:pPr>
        <w:pStyle w:val="Sansinterligne"/>
        <w:ind w:firstLine="360"/>
        <w:rPr>
          <w:rFonts w:cstheme="minorHAnsi"/>
        </w:rPr>
      </w:pPr>
      <w:r w:rsidRPr="00F04F34">
        <w:rPr>
          <w:lang w:val="fr"/>
        </w:rPr>
        <w:t>Les auteurs ont examiné q</w:t>
      </w:r>
      <w:r w:rsidR="00D37183">
        <w:rPr>
          <w:lang w:val="fr"/>
        </w:rPr>
        <w:t>uatre stratégies possibles de r</w:t>
      </w:r>
      <w:r w:rsidRPr="00F04F34">
        <w:rPr>
          <w:lang w:val="fr"/>
        </w:rPr>
        <w:t>an</w:t>
      </w:r>
      <w:r w:rsidR="00D37183">
        <w:rPr>
          <w:lang w:val="fr"/>
        </w:rPr>
        <w:t>imation.  Les options pour la r</w:t>
      </w:r>
      <w:r w:rsidRPr="00F04F34">
        <w:rPr>
          <w:lang w:val="fr"/>
        </w:rPr>
        <w:t>animation ét</w:t>
      </w:r>
      <w:r w:rsidR="00D37183">
        <w:rPr>
          <w:lang w:val="fr"/>
        </w:rPr>
        <w:t>aient cristalloïdes seulement, CGR, plasma, et plasma avec CGR</w:t>
      </w:r>
      <w:r w:rsidRPr="00F04F34">
        <w:rPr>
          <w:lang w:val="fr"/>
        </w:rPr>
        <w:t>.  Tous les composants sanguins ont été administrés avec ou sans cristalloïde supplémentaire.  Les patients étaient admissibles s'ils étaient</w:t>
      </w:r>
      <w:r w:rsidR="00D37183">
        <w:rPr>
          <w:lang w:val="fr"/>
        </w:rPr>
        <w:t xml:space="preserve"> transportés par hélicoptère</w:t>
      </w:r>
      <w:r w:rsidRPr="00F04F34">
        <w:rPr>
          <w:lang w:val="fr"/>
        </w:rPr>
        <w:t xml:space="preserve"> à un centre de traumatologie du </w:t>
      </w:r>
      <w:r w:rsidR="00D37183">
        <w:rPr>
          <w:lang w:val="fr"/>
        </w:rPr>
        <w:t xml:space="preserve">réseau PAMP, présentaient une </w:t>
      </w:r>
      <w:r w:rsidRPr="00F04F34">
        <w:rPr>
          <w:lang w:val="fr"/>
        </w:rPr>
        <w:t>hy</w:t>
      </w:r>
      <w:r w:rsidR="00D37183">
        <w:rPr>
          <w:lang w:val="fr"/>
        </w:rPr>
        <w:t xml:space="preserve">potension (SBP 70-90 mmHg) et une tachycardie (FC - 108 </w:t>
      </w:r>
      <w:proofErr w:type="spellStart"/>
      <w:r w:rsidR="00D37183">
        <w:rPr>
          <w:lang w:val="fr"/>
        </w:rPr>
        <w:t>bpm</w:t>
      </w:r>
      <w:proofErr w:type="spellEnd"/>
      <w:r w:rsidR="00D37183">
        <w:rPr>
          <w:lang w:val="fr"/>
        </w:rPr>
        <w:t>), ou une hypotension grave (SBP &lt;</w:t>
      </w:r>
      <w:r w:rsidRPr="00F04F34">
        <w:rPr>
          <w:lang w:val="fr"/>
        </w:rPr>
        <w:t xml:space="preserve"> 70 </w:t>
      </w:r>
      <w:proofErr w:type="spellStart"/>
      <w:r w:rsidRPr="00F04F34">
        <w:rPr>
          <w:lang w:val="fr"/>
        </w:rPr>
        <w:t>mmHg</w:t>
      </w:r>
      <w:proofErr w:type="spellEnd"/>
      <w:r w:rsidRPr="00F04F34">
        <w:rPr>
          <w:lang w:val="fr"/>
        </w:rPr>
        <w:t>) seul</w:t>
      </w:r>
      <w:r w:rsidR="00D37183">
        <w:rPr>
          <w:lang w:val="fr"/>
        </w:rPr>
        <w:t>e</w:t>
      </w:r>
      <w:r w:rsidRPr="00F04F34">
        <w:rPr>
          <w:lang w:val="fr"/>
        </w:rPr>
        <w:t>.</w:t>
      </w:r>
    </w:p>
    <w:p w14:paraId="0A709E6F" w14:textId="59054F7D" w:rsidR="00F04F34" w:rsidRPr="00F04F34" w:rsidRDefault="00F04F34" w:rsidP="00F04F34">
      <w:pPr>
        <w:pStyle w:val="Sansinterligne"/>
        <w:ind w:firstLine="360"/>
        <w:rPr>
          <w:rFonts w:cstheme="minorHAnsi"/>
        </w:rPr>
      </w:pPr>
      <w:r w:rsidRPr="00F04F34">
        <w:rPr>
          <w:lang w:val="fr"/>
        </w:rPr>
        <w:t>Un total de 407 patients ont été in</w:t>
      </w:r>
      <w:r w:rsidR="00D37183">
        <w:rPr>
          <w:lang w:val="fr"/>
        </w:rPr>
        <w:t>scrits à l'étude.  Parmi eux, 139 (34 %) ont</w:t>
      </w:r>
      <w:r w:rsidRPr="00F04F34">
        <w:rPr>
          <w:lang w:val="fr"/>
        </w:rPr>
        <w:t xml:space="preserve"> reçu des </w:t>
      </w:r>
      <w:proofErr w:type="spellStart"/>
      <w:r w:rsidRPr="00F04F34">
        <w:rPr>
          <w:lang w:val="fr"/>
        </w:rPr>
        <w:t>crystalloid</w:t>
      </w:r>
      <w:r w:rsidR="00D37183">
        <w:rPr>
          <w:lang w:val="fr"/>
        </w:rPr>
        <w:t>es</w:t>
      </w:r>
      <w:proofErr w:type="spellEnd"/>
      <w:r w:rsidRPr="00F04F34">
        <w:rPr>
          <w:lang w:val="fr"/>
        </w:rPr>
        <w:t xml:space="preserve"> seulem</w:t>
      </w:r>
      <w:r w:rsidR="00D37183">
        <w:rPr>
          <w:lang w:val="fr"/>
        </w:rPr>
        <w:t xml:space="preserve">ent, 83 (20%) des CGR, 147 (36%) du plasma, et 38 (10%) des CGR </w:t>
      </w:r>
      <w:r w:rsidRPr="00F04F34">
        <w:rPr>
          <w:lang w:val="fr"/>
        </w:rPr>
        <w:t xml:space="preserve"> et </w:t>
      </w:r>
      <w:r w:rsidR="00D37183">
        <w:rPr>
          <w:lang w:val="fr"/>
        </w:rPr>
        <w:t xml:space="preserve">du </w:t>
      </w:r>
      <w:r w:rsidRPr="00F04F34">
        <w:rPr>
          <w:lang w:val="fr"/>
        </w:rPr>
        <w:t xml:space="preserve">plasma.  Les résultats ont démontré que tous les groupes de produits sanguins préhospitaliers avaient une mortalité </w:t>
      </w:r>
      <w:r w:rsidR="00D37183">
        <w:rPr>
          <w:lang w:val="fr"/>
        </w:rPr>
        <w:t xml:space="preserve">significativement plus faible à 30 jours que ceux qui ont reçu </w:t>
      </w:r>
      <w:r w:rsidR="00D37183" w:rsidRPr="00F04F34">
        <w:rPr>
          <w:lang w:val="fr"/>
        </w:rPr>
        <w:t>seulement</w:t>
      </w:r>
      <w:r w:rsidR="00D37183">
        <w:rPr>
          <w:lang w:val="fr"/>
        </w:rPr>
        <w:t xml:space="preserve"> des</w:t>
      </w:r>
      <w:r w:rsidRPr="00F04F34">
        <w:rPr>
          <w:lang w:val="fr"/>
        </w:rPr>
        <w:t xml:space="preserve"> cristalloïde</w:t>
      </w:r>
      <w:r w:rsidR="00D37183">
        <w:rPr>
          <w:lang w:val="fr"/>
        </w:rPr>
        <w:t>s</w:t>
      </w:r>
      <w:r w:rsidRPr="00F04F34">
        <w:rPr>
          <w:lang w:val="fr"/>
        </w:rPr>
        <w:t>.</w:t>
      </w:r>
      <w:r w:rsidR="00D37183">
        <w:rPr>
          <w:lang w:val="fr"/>
        </w:rPr>
        <w:t xml:space="preserve">  C'est le groupe CGR avec plasma</w:t>
      </w:r>
      <w:r w:rsidRPr="00F04F34">
        <w:rPr>
          <w:lang w:val="fr"/>
        </w:rPr>
        <w:t xml:space="preserve"> qui a eu le plus grand bénéfice </w:t>
      </w:r>
      <w:r w:rsidR="00D37183">
        <w:rPr>
          <w:lang w:val="fr"/>
        </w:rPr>
        <w:t xml:space="preserve">en termes de taux </w:t>
      </w:r>
      <w:r w:rsidRPr="00F04F34">
        <w:rPr>
          <w:lang w:val="fr"/>
        </w:rPr>
        <w:t>de survie</w:t>
      </w:r>
      <w:r w:rsidR="00D37183">
        <w:rPr>
          <w:lang w:val="fr"/>
        </w:rPr>
        <w:t>,</w:t>
      </w:r>
      <w:r w:rsidRPr="00F04F34">
        <w:rPr>
          <w:lang w:val="fr"/>
        </w:rPr>
        <w:t xml:space="preserve"> avec une réduction de 62 % du risque de mortalité.  C</w:t>
      </w:r>
      <w:r w:rsidR="00D37183">
        <w:rPr>
          <w:lang w:val="fr"/>
        </w:rPr>
        <w:t xml:space="preserve">eci a été suivi par le groupe recevant du </w:t>
      </w:r>
      <w:r w:rsidRPr="00F04F34">
        <w:rPr>
          <w:lang w:val="fr"/>
        </w:rPr>
        <w:t xml:space="preserve"> plasma</w:t>
      </w:r>
      <w:r w:rsidR="00D37183">
        <w:rPr>
          <w:lang w:val="fr"/>
        </w:rPr>
        <w:t>,</w:t>
      </w:r>
      <w:r w:rsidRPr="00F04F34">
        <w:rPr>
          <w:lang w:val="fr"/>
        </w:rPr>
        <w:t xml:space="preserve"> avec une réduction de 43% du risque de mortal</w:t>
      </w:r>
      <w:r w:rsidR="00D37183">
        <w:rPr>
          <w:lang w:val="fr"/>
        </w:rPr>
        <w:t>ité et le groupe recevant des CGR,</w:t>
      </w:r>
      <w:r w:rsidRPr="00F04F34">
        <w:rPr>
          <w:lang w:val="fr"/>
        </w:rPr>
        <w:t xml:space="preserve"> avec une réduction de 32% du risque de mortalité.</w:t>
      </w:r>
    </w:p>
    <w:p w14:paraId="1D7ACAA3" w14:textId="0F2EC728" w:rsidR="001F7C77" w:rsidRDefault="00F04F34" w:rsidP="00F04F34">
      <w:pPr>
        <w:pStyle w:val="Sansinterligne"/>
        <w:ind w:firstLine="360"/>
        <w:rPr>
          <w:rFonts w:cstheme="minorHAnsi"/>
        </w:rPr>
      </w:pPr>
      <w:r w:rsidRPr="00F04F34">
        <w:rPr>
          <w:lang w:val="fr"/>
        </w:rPr>
        <w:t>C</w:t>
      </w:r>
      <w:r w:rsidR="00D37183">
        <w:rPr>
          <w:lang w:val="fr"/>
        </w:rPr>
        <w:t>ette étude confirme que toute r</w:t>
      </w:r>
      <w:r w:rsidRPr="00F04F34">
        <w:rPr>
          <w:lang w:val="fr"/>
        </w:rPr>
        <w:t>animation de produit sanguin est supérieure à la réanimation crista</w:t>
      </w:r>
      <w:r w:rsidR="00D37183">
        <w:rPr>
          <w:lang w:val="fr"/>
        </w:rPr>
        <w:t>lloïde en termes de mortalité à</w:t>
      </w:r>
      <w:r w:rsidRPr="00F04F34">
        <w:rPr>
          <w:lang w:val="fr"/>
        </w:rPr>
        <w:t xml:space="preserve"> 30 jours.  Le pl</w:t>
      </w:r>
      <w:r w:rsidR="00D37183">
        <w:rPr>
          <w:lang w:val="fr"/>
        </w:rPr>
        <w:t xml:space="preserve">us grand avantage a été démontré pour les patients qui ont reçu des CGR avec du </w:t>
      </w:r>
      <w:r w:rsidRPr="00F04F34">
        <w:rPr>
          <w:lang w:val="fr"/>
        </w:rPr>
        <w:t xml:space="preserve">plasma.  Les </w:t>
      </w:r>
      <w:r w:rsidR="00D37183">
        <w:rPr>
          <w:lang w:val="fr"/>
        </w:rPr>
        <w:t>patients présentant des signe</w:t>
      </w:r>
      <w:r w:rsidRPr="00F04F34">
        <w:rPr>
          <w:lang w:val="fr"/>
        </w:rPr>
        <w:t>s de choc devraient recevoir des produits sanguins préhospitaliers chaque fois</w:t>
      </w:r>
      <w:r w:rsidR="00D37183">
        <w:rPr>
          <w:lang w:val="fr"/>
        </w:rPr>
        <w:t xml:space="preserve"> que possible.  Si les deux, CGR</w:t>
      </w:r>
      <w:r w:rsidRPr="00F04F34">
        <w:rPr>
          <w:lang w:val="fr"/>
        </w:rPr>
        <w:t xml:space="preserve"> et le plasma sont disponibles, le patient devrait recevoir les deux</w:t>
      </w:r>
      <w:r w:rsidR="00D37183">
        <w:rPr>
          <w:lang w:val="fr"/>
        </w:rPr>
        <w:t xml:space="preserve"> produits simultanément.  Les </w:t>
      </w:r>
      <w:proofErr w:type="spellStart"/>
      <w:r w:rsidR="00D37183">
        <w:rPr>
          <w:lang w:val="fr"/>
        </w:rPr>
        <w:t>c</w:t>
      </w:r>
      <w:r w:rsidRPr="00F04F34">
        <w:rPr>
          <w:lang w:val="fr"/>
        </w:rPr>
        <w:t>rystalloid</w:t>
      </w:r>
      <w:r w:rsidR="00D37183">
        <w:rPr>
          <w:lang w:val="fr"/>
        </w:rPr>
        <w:t>es</w:t>
      </w:r>
      <w:proofErr w:type="spellEnd"/>
      <w:r w:rsidRPr="00F04F34">
        <w:rPr>
          <w:lang w:val="fr"/>
        </w:rPr>
        <w:t xml:space="preserve"> seul</w:t>
      </w:r>
      <w:r w:rsidR="00D37183">
        <w:rPr>
          <w:lang w:val="fr"/>
        </w:rPr>
        <w:t>s</w:t>
      </w:r>
      <w:r w:rsidRPr="00F04F34">
        <w:rPr>
          <w:lang w:val="fr"/>
        </w:rPr>
        <w:t xml:space="preserve"> semble</w:t>
      </w:r>
      <w:r w:rsidR="00D37183">
        <w:rPr>
          <w:lang w:val="fr"/>
        </w:rPr>
        <w:t xml:space="preserve">nt </w:t>
      </w:r>
      <w:r w:rsidR="00022155">
        <w:rPr>
          <w:lang w:val="fr"/>
        </w:rPr>
        <w:t xml:space="preserve"> avoir des résultats moins bons que les</w:t>
      </w:r>
      <w:r w:rsidRPr="00F04F34">
        <w:rPr>
          <w:lang w:val="fr"/>
        </w:rPr>
        <w:t xml:space="preserve"> produits sanguins.  En outre, l'utilis</w:t>
      </w:r>
      <w:r w:rsidR="00022155">
        <w:rPr>
          <w:lang w:val="fr"/>
        </w:rPr>
        <w:t>ation de la transfusion de sang total</w:t>
      </w:r>
      <w:r w:rsidRPr="00F04F34">
        <w:rPr>
          <w:lang w:val="fr"/>
        </w:rPr>
        <w:t xml:space="preserve"> dans le cadre </w:t>
      </w:r>
      <w:proofErr w:type="spellStart"/>
      <w:r w:rsidRPr="00F04F34">
        <w:rPr>
          <w:lang w:val="fr"/>
        </w:rPr>
        <w:t>préhos</w:t>
      </w:r>
      <w:r w:rsidR="00022155">
        <w:rPr>
          <w:lang w:val="fr"/>
        </w:rPr>
        <w:t>pitalier</w:t>
      </w:r>
      <w:proofErr w:type="spellEnd"/>
      <w:r w:rsidR="00022155">
        <w:rPr>
          <w:lang w:val="fr"/>
        </w:rPr>
        <w:t>, pourrait</w:t>
      </w:r>
      <w:r w:rsidRPr="00F04F34">
        <w:rPr>
          <w:lang w:val="fr"/>
        </w:rPr>
        <w:t xml:space="preserve"> être l'option </w:t>
      </w:r>
      <w:r w:rsidR="00022155">
        <w:rPr>
          <w:lang w:val="fr"/>
        </w:rPr>
        <w:t>donnant des résultats encore supérieurs aux transfusions de CGR ou de plasma</w:t>
      </w:r>
      <w:r w:rsidRPr="00F04F34">
        <w:rPr>
          <w:lang w:val="fr"/>
        </w:rPr>
        <w:t>.</w:t>
      </w:r>
      <w:r w:rsidR="00022155">
        <w:rPr>
          <w:lang w:val="fr"/>
        </w:rPr>
        <w:t xml:space="preserve">  D'autres études seraien</w:t>
      </w:r>
      <w:r w:rsidRPr="00F04F34">
        <w:rPr>
          <w:lang w:val="fr"/>
        </w:rPr>
        <w:t>t nécessaires pour explorer cette possibilité plus avant</w:t>
      </w:r>
      <w:r w:rsidR="00022155">
        <w:rPr>
          <w:lang w:val="fr"/>
        </w:rPr>
        <w:t xml:space="preserve">, avec le développement de l'administration de produits sanguins dans certains services </w:t>
      </w:r>
      <w:proofErr w:type="spellStart"/>
      <w:r w:rsidR="00022155">
        <w:rPr>
          <w:lang w:val="fr"/>
        </w:rPr>
        <w:t>préhospitaliers</w:t>
      </w:r>
      <w:proofErr w:type="spellEnd"/>
      <w:r w:rsidR="00022155">
        <w:rPr>
          <w:lang w:val="fr"/>
        </w:rPr>
        <w:t xml:space="preserve"> héliportés et voir leur déclinaison pour les services utilisant des vecteurs  terrestres</w:t>
      </w:r>
      <w:r w:rsidRPr="00F04F34">
        <w:rPr>
          <w:lang w:val="fr"/>
        </w:rPr>
        <w:t>.</w:t>
      </w:r>
    </w:p>
    <w:p w14:paraId="0ABC9F8B" w14:textId="77777777" w:rsidR="00F04F34" w:rsidRPr="003800B3" w:rsidRDefault="00F04F34" w:rsidP="00F04F34">
      <w:pPr>
        <w:pStyle w:val="Sansinterligne"/>
        <w:ind w:firstLine="360"/>
        <w:rPr>
          <w:rFonts w:cstheme="minorHAnsi"/>
        </w:rPr>
      </w:pPr>
    </w:p>
    <w:p w14:paraId="01414030" w14:textId="7714E373" w:rsidR="00281AA8" w:rsidRPr="00281AA8" w:rsidRDefault="00987228" w:rsidP="00987228">
      <w:pPr>
        <w:pStyle w:val="Paragraphedeliste"/>
        <w:numPr>
          <w:ilvl w:val="0"/>
          <w:numId w:val="17"/>
        </w:numPr>
      </w:pPr>
      <w:r w:rsidRPr="00987228">
        <w:rPr>
          <w:b/>
          <w:lang w:val="fr"/>
        </w:rPr>
        <w:t xml:space="preserve">Évaluation comparative randomisée de trois dispositifs chirurgicaux de </w:t>
      </w:r>
      <w:proofErr w:type="spellStart"/>
      <w:r w:rsidRPr="00987228">
        <w:rPr>
          <w:b/>
          <w:lang w:val="fr"/>
        </w:rPr>
        <w:t>Cricothyrotomie</w:t>
      </w:r>
      <w:proofErr w:type="spellEnd"/>
      <w:r w:rsidRPr="00987228">
        <w:rPr>
          <w:b/>
          <w:lang w:val="fr"/>
        </w:rPr>
        <w:t xml:space="preserve"> sur des mannequins</w:t>
      </w:r>
      <w:r w:rsidR="00281AA8" w:rsidRPr="00281AA8">
        <w:rPr>
          <w:b/>
          <w:lang w:val="fr"/>
        </w:rPr>
        <w:t xml:space="preserve">.  </w:t>
      </w:r>
      <w:proofErr w:type="spellStart"/>
      <w:r w:rsidR="00281AA8" w:rsidRPr="00281AA8">
        <w:rPr>
          <w:lang w:val="fr"/>
        </w:rPr>
        <w:t>Dorsam</w:t>
      </w:r>
      <w:proofErr w:type="spellEnd"/>
      <w:r w:rsidR="00281AA8" w:rsidRPr="00281AA8">
        <w:rPr>
          <w:lang w:val="fr"/>
        </w:rPr>
        <w:t xml:space="preserve"> J, Cornelius S, McLean J, et coll.  </w:t>
      </w:r>
      <w:proofErr w:type="spellStart"/>
      <w:r w:rsidR="00B766E6" w:rsidRPr="00B766E6">
        <w:rPr>
          <w:lang w:val="fr"/>
        </w:rPr>
        <w:t>Prehospital</w:t>
      </w:r>
      <w:proofErr w:type="spellEnd"/>
      <w:r w:rsidR="00B766E6" w:rsidRPr="00B766E6">
        <w:rPr>
          <w:lang w:val="fr"/>
        </w:rPr>
        <w:t xml:space="preserve"> Emergency Care</w:t>
      </w:r>
      <w:r w:rsidR="00B766E6">
        <w:rPr>
          <w:lang w:val="fr"/>
        </w:rPr>
        <w:t>, 2019:23;</w:t>
      </w:r>
      <w:r w:rsidR="00281AA8" w:rsidRPr="00281AA8">
        <w:rPr>
          <w:lang w:val="fr"/>
        </w:rPr>
        <w:t xml:space="preserve"> 411-419.</w:t>
      </w:r>
    </w:p>
    <w:p w14:paraId="3F4816C1" w14:textId="499F596F" w:rsidR="00281AA8" w:rsidRDefault="00B766E6" w:rsidP="00281AA8">
      <w:pPr>
        <w:spacing w:after="0" w:line="240" w:lineRule="auto"/>
        <w:ind w:firstLine="360"/>
      </w:pPr>
      <w:r>
        <w:rPr>
          <w:lang w:val="fr"/>
        </w:rPr>
        <w:t xml:space="preserve">La capacité à </w:t>
      </w:r>
      <w:r w:rsidR="00281AA8">
        <w:rPr>
          <w:lang w:val="fr"/>
        </w:rPr>
        <w:t xml:space="preserve"> gérer efficacement les voies respiratoires est une compétence essentielle dans les soins préhospitaliers.  Peu d'alternatives so</w:t>
      </w:r>
      <w:r>
        <w:rPr>
          <w:lang w:val="fr"/>
        </w:rPr>
        <w:t xml:space="preserve">nt laissées à l’intervenant </w:t>
      </w:r>
      <w:proofErr w:type="spellStart"/>
      <w:r w:rsidR="00281AA8">
        <w:rPr>
          <w:lang w:val="fr"/>
        </w:rPr>
        <w:t>pré</w:t>
      </w:r>
      <w:r>
        <w:rPr>
          <w:lang w:val="fr"/>
        </w:rPr>
        <w:t>hospitalier</w:t>
      </w:r>
      <w:proofErr w:type="spellEnd"/>
      <w:r>
        <w:rPr>
          <w:lang w:val="fr"/>
        </w:rPr>
        <w:t xml:space="preserve"> dans le scénario « Je ne peux</w:t>
      </w:r>
      <w:r w:rsidR="00281AA8">
        <w:rPr>
          <w:lang w:val="fr"/>
        </w:rPr>
        <w:t xml:space="preserve"> pas ventiler, </w:t>
      </w:r>
      <w:r>
        <w:rPr>
          <w:lang w:val="fr"/>
        </w:rPr>
        <w:t>je ne peux</w:t>
      </w:r>
      <w:r w:rsidR="00281AA8">
        <w:rPr>
          <w:lang w:val="fr"/>
        </w:rPr>
        <w:t xml:space="preserve"> pas oxygéner » autre que la</w:t>
      </w:r>
      <w:r>
        <w:rPr>
          <w:lang w:val="fr"/>
        </w:rPr>
        <w:t xml:space="preserve"> </w:t>
      </w:r>
      <w:proofErr w:type="spellStart"/>
      <w:r>
        <w:rPr>
          <w:lang w:val="fr"/>
        </w:rPr>
        <w:t>cricothyrotomie</w:t>
      </w:r>
      <w:proofErr w:type="spellEnd"/>
      <w:r>
        <w:rPr>
          <w:lang w:val="fr"/>
        </w:rPr>
        <w:t xml:space="preserve"> chirurgicale (CC).  Les personnels soignants</w:t>
      </w:r>
      <w:r w:rsidR="00281AA8">
        <w:rPr>
          <w:lang w:val="fr"/>
        </w:rPr>
        <w:t xml:space="preserve"> militaires savent que l'obstruction des voies respiratoires est la deuxième cause de décès évit</w:t>
      </w:r>
      <w:r>
        <w:rPr>
          <w:lang w:val="fr"/>
        </w:rPr>
        <w:t xml:space="preserve">able sur le champ de bataille. Le </w:t>
      </w:r>
      <w:proofErr w:type="spellStart"/>
      <w:r w:rsidR="00281AA8">
        <w:rPr>
          <w:lang w:val="fr"/>
        </w:rPr>
        <w:t>Tactical</w:t>
      </w:r>
      <w:proofErr w:type="spellEnd"/>
      <w:r w:rsidR="00281AA8">
        <w:rPr>
          <w:lang w:val="fr"/>
        </w:rPr>
        <w:t xml:space="preserve"> Combat </w:t>
      </w:r>
      <w:proofErr w:type="spellStart"/>
      <w:r w:rsidR="00281AA8">
        <w:rPr>
          <w:lang w:val="fr"/>
        </w:rPr>
        <w:t>C</w:t>
      </w:r>
      <w:r>
        <w:rPr>
          <w:lang w:val="fr"/>
        </w:rPr>
        <w:t>asualty</w:t>
      </w:r>
      <w:proofErr w:type="spellEnd"/>
      <w:r>
        <w:rPr>
          <w:lang w:val="fr"/>
        </w:rPr>
        <w:t xml:space="preserve"> Care (TCCC) enseigne la </w:t>
      </w:r>
      <w:r w:rsidR="00281AA8">
        <w:rPr>
          <w:lang w:val="fr"/>
        </w:rPr>
        <w:t xml:space="preserve"> </w:t>
      </w:r>
      <w:proofErr w:type="spellStart"/>
      <w:r w:rsidRPr="00B766E6">
        <w:rPr>
          <w:lang w:val="fr"/>
        </w:rPr>
        <w:t>cricothyrotomie</w:t>
      </w:r>
      <w:proofErr w:type="spellEnd"/>
      <w:r w:rsidRPr="00B766E6">
        <w:rPr>
          <w:lang w:val="fr"/>
        </w:rPr>
        <w:t xml:space="preserve"> chirurgicale </w:t>
      </w:r>
      <w:r>
        <w:rPr>
          <w:lang w:val="fr"/>
        </w:rPr>
        <w:t xml:space="preserve">comme </w:t>
      </w:r>
      <w:r w:rsidR="00281AA8">
        <w:rPr>
          <w:lang w:val="fr"/>
        </w:rPr>
        <w:t>un moyen de ventiler et d'oxygéner une victime lorsque les manœuvres moins ag</w:t>
      </w:r>
      <w:r>
        <w:rPr>
          <w:lang w:val="fr"/>
        </w:rPr>
        <w:t>ressives de gestion des voies aériennes échouent.  Bien qu’elle soi</w:t>
      </w:r>
      <w:r w:rsidR="00281AA8">
        <w:rPr>
          <w:lang w:val="fr"/>
        </w:rPr>
        <w:t>t enseigné</w:t>
      </w:r>
      <w:r>
        <w:rPr>
          <w:lang w:val="fr"/>
        </w:rPr>
        <w:t>e</w:t>
      </w:r>
      <w:r w:rsidR="00281AA8">
        <w:rPr>
          <w:lang w:val="fr"/>
        </w:rPr>
        <w:t xml:space="preserve"> et pratiqué</w:t>
      </w:r>
      <w:r>
        <w:rPr>
          <w:lang w:val="fr"/>
        </w:rPr>
        <w:t>e</w:t>
      </w:r>
      <w:r w:rsidR="00281AA8">
        <w:rPr>
          <w:lang w:val="fr"/>
        </w:rPr>
        <w:t xml:space="preserve"> dans les clas</w:t>
      </w:r>
      <w:r>
        <w:rPr>
          <w:lang w:val="fr"/>
        </w:rPr>
        <w:t>ses de TCCC, les taux d'échec à la pratique de la</w:t>
      </w:r>
      <w:r w:rsidR="00281AA8">
        <w:rPr>
          <w:lang w:val="fr"/>
        </w:rPr>
        <w:t xml:space="preserve"> </w:t>
      </w:r>
      <w:proofErr w:type="spellStart"/>
      <w:r w:rsidRPr="00B766E6">
        <w:rPr>
          <w:lang w:val="fr"/>
        </w:rPr>
        <w:t>cricothyrotomie</w:t>
      </w:r>
      <w:proofErr w:type="spellEnd"/>
      <w:r w:rsidRPr="00B766E6">
        <w:rPr>
          <w:lang w:val="fr"/>
        </w:rPr>
        <w:t xml:space="preserve"> chirurgicale </w:t>
      </w:r>
      <w:r w:rsidR="00281AA8">
        <w:rPr>
          <w:lang w:val="fr"/>
        </w:rPr>
        <w:t>(18 %) s</w:t>
      </w:r>
      <w:r>
        <w:rPr>
          <w:lang w:val="fr"/>
        </w:rPr>
        <w:t xml:space="preserve">ont </w:t>
      </w:r>
      <w:proofErr w:type="spellStart"/>
      <w:r>
        <w:rPr>
          <w:lang w:val="fr"/>
        </w:rPr>
        <w:t>inacceptablement</w:t>
      </w:r>
      <w:proofErr w:type="spellEnd"/>
      <w:r>
        <w:rPr>
          <w:lang w:val="fr"/>
        </w:rPr>
        <w:t xml:space="preserve"> élevés notamment si on imagine son </w:t>
      </w:r>
      <w:r w:rsidR="00281AA8">
        <w:rPr>
          <w:lang w:val="fr"/>
        </w:rPr>
        <w:t>utilisation sur le terrain avec des patients critiques.</w:t>
      </w:r>
    </w:p>
    <w:p w14:paraId="4B9DAF1F" w14:textId="79909DBB" w:rsidR="00281AA8" w:rsidRDefault="00281AA8" w:rsidP="00281AA8">
      <w:pPr>
        <w:spacing w:after="0" w:line="240" w:lineRule="auto"/>
        <w:ind w:firstLine="360"/>
      </w:pPr>
      <w:r>
        <w:rPr>
          <w:lang w:val="fr"/>
        </w:rPr>
        <w:t>Les lignes directrices actu</w:t>
      </w:r>
      <w:r w:rsidR="00B766E6">
        <w:rPr>
          <w:lang w:val="fr"/>
        </w:rPr>
        <w:t>elles du</w:t>
      </w:r>
      <w:r>
        <w:rPr>
          <w:lang w:val="fr"/>
        </w:rPr>
        <w:t xml:space="preserve"> TCCC</w:t>
      </w:r>
      <w:r w:rsidR="00B766E6">
        <w:rPr>
          <w:lang w:val="fr"/>
        </w:rPr>
        <w:t xml:space="preserve"> recommandent le Control-Kit</w:t>
      </w:r>
      <w:r>
        <w:rPr>
          <w:lang w:val="fr"/>
        </w:rPr>
        <w:t>-Cric  (C</w:t>
      </w:r>
      <w:r w:rsidR="00B766E6">
        <w:rPr>
          <w:lang w:val="fr"/>
        </w:rPr>
        <w:t xml:space="preserve">KC) qui comporte un scalpel et un crochet, le </w:t>
      </w:r>
      <w:proofErr w:type="spellStart"/>
      <w:r w:rsidR="00B766E6">
        <w:rPr>
          <w:lang w:val="fr"/>
        </w:rPr>
        <w:t>C</w:t>
      </w:r>
      <w:r>
        <w:rPr>
          <w:lang w:val="fr"/>
        </w:rPr>
        <w:t>rik</w:t>
      </w:r>
      <w:proofErr w:type="spellEnd"/>
      <w:r>
        <w:rPr>
          <w:lang w:val="fr"/>
        </w:rPr>
        <w:t>-Key</w:t>
      </w:r>
      <w:r w:rsidR="004149C2">
        <w:rPr>
          <w:lang w:val="fr"/>
        </w:rPr>
        <w:t>,</w:t>
      </w:r>
      <w:r w:rsidR="00B766E6">
        <w:rPr>
          <w:lang w:val="fr"/>
        </w:rPr>
        <w:t xml:space="preserve"> </w:t>
      </w:r>
      <w:r>
        <w:rPr>
          <w:lang w:val="fr"/>
        </w:rPr>
        <w:t xml:space="preserve">pour </w:t>
      </w:r>
      <w:r w:rsidR="00B766E6">
        <w:rPr>
          <w:lang w:val="fr"/>
        </w:rPr>
        <w:t xml:space="preserve">à la fois accéder à la </w:t>
      </w:r>
      <w:proofErr w:type="spellStart"/>
      <w:r w:rsidR="00B766E6">
        <w:rPr>
          <w:lang w:val="fr"/>
        </w:rPr>
        <w:t>lumiére</w:t>
      </w:r>
      <w:proofErr w:type="spellEnd"/>
      <w:r w:rsidR="00B766E6">
        <w:rPr>
          <w:lang w:val="fr"/>
        </w:rPr>
        <w:t xml:space="preserve"> trachéale et </w:t>
      </w:r>
      <w:r w:rsidR="004149C2">
        <w:rPr>
          <w:lang w:val="fr"/>
        </w:rPr>
        <w:t xml:space="preserve">la </w:t>
      </w:r>
      <w:r w:rsidR="00B766E6">
        <w:rPr>
          <w:lang w:val="fr"/>
        </w:rPr>
        <w:t>stabiliser</w:t>
      </w:r>
      <w:r w:rsidR="004149C2">
        <w:rPr>
          <w:lang w:val="fr"/>
        </w:rPr>
        <w:t>,</w:t>
      </w:r>
      <w:r w:rsidR="00B766E6">
        <w:rPr>
          <w:lang w:val="fr"/>
        </w:rPr>
        <w:t xml:space="preserve"> afin de permettre l’introduction d’</w:t>
      </w:r>
      <w:r w:rsidR="004149C2">
        <w:rPr>
          <w:lang w:val="fr"/>
        </w:rPr>
        <w:t>une sonde trachéale montée s</w:t>
      </w:r>
      <w:r w:rsidR="00B766E6">
        <w:rPr>
          <w:lang w:val="fr"/>
        </w:rPr>
        <w:t>ur un guide</w:t>
      </w:r>
      <w:r w:rsidR="004149C2">
        <w:rPr>
          <w:lang w:val="fr"/>
        </w:rPr>
        <w:t xml:space="preserve">.  Le </w:t>
      </w:r>
      <w:proofErr w:type="spellStart"/>
      <w:r w:rsidR="004149C2">
        <w:rPr>
          <w:lang w:val="fr"/>
        </w:rPr>
        <w:t>CricKit</w:t>
      </w:r>
      <w:proofErr w:type="spellEnd"/>
      <w:r w:rsidR="004149C2">
        <w:rPr>
          <w:lang w:val="fr"/>
        </w:rPr>
        <w:t xml:space="preserve"> tactique (CKT</w:t>
      </w:r>
      <w:r>
        <w:rPr>
          <w:lang w:val="fr"/>
        </w:rPr>
        <w:t>) est c</w:t>
      </w:r>
      <w:r w:rsidR="004149C2">
        <w:rPr>
          <w:lang w:val="fr"/>
        </w:rPr>
        <w:t>ouramment utilis</w:t>
      </w:r>
      <w:r>
        <w:rPr>
          <w:lang w:val="fr"/>
        </w:rPr>
        <w:t>é d</w:t>
      </w:r>
      <w:r w:rsidR="004149C2">
        <w:rPr>
          <w:lang w:val="fr"/>
        </w:rPr>
        <w:t>ans les classes TCCC.  Il possède un crochet pour maintenir ouvert l’abord trachéal réalisé à l’aide d’un scalpel</w:t>
      </w:r>
      <w:r>
        <w:rPr>
          <w:lang w:val="fr"/>
        </w:rPr>
        <w:t>.  Le tube trachéal est alors inséré à travers l'espace avec</w:t>
      </w:r>
      <w:r w:rsidR="00F53FEE">
        <w:rPr>
          <w:lang w:val="fr"/>
        </w:rPr>
        <w:t xml:space="preserve"> l’aide d’</w:t>
      </w:r>
      <w:r>
        <w:rPr>
          <w:lang w:val="fr"/>
        </w:rPr>
        <w:t xml:space="preserve">un </w:t>
      </w:r>
      <w:r>
        <w:rPr>
          <w:lang w:val="fr"/>
        </w:rPr>
        <w:lastRenderedPageBreak/>
        <w:t>obturateur.  Enfin</w:t>
      </w:r>
      <w:r w:rsidR="00F53FEE">
        <w:rPr>
          <w:lang w:val="fr"/>
        </w:rPr>
        <w:t>, la technique assistée d’une b</w:t>
      </w:r>
      <w:r>
        <w:rPr>
          <w:lang w:val="fr"/>
        </w:rPr>
        <w:t>ougie (BAT) peut être u</w:t>
      </w:r>
      <w:r w:rsidR="00F53FEE">
        <w:rPr>
          <w:lang w:val="fr"/>
        </w:rPr>
        <w:t xml:space="preserve">tilisée pour accéder et </w:t>
      </w:r>
      <w:proofErr w:type="spellStart"/>
      <w:r w:rsidR="00F53FEE">
        <w:rPr>
          <w:lang w:val="fr"/>
        </w:rPr>
        <w:t>tunéliser</w:t>
      </w:r>
      <w:proofErr w:type="spellEnd"/>
      <w:r w:rsidR="00F53FEE">
        <w:rPr>
          <w:lang w:val="fr"/>
        </w:rPr>
        <w:t xml:space="preserve"> la lumière trachéale, le</w:t>
      </w:r>
      <w:r>
        <w:rPr>
          <w:lang w:val="fr"/>
        </w:rPr>
        <w:t xml:space="preserve"> tube trachéal </w:t>
      </w:r>
      <w:r w:rsidR="00F53FEE">
        <w:rPr>
          <w:lang w:val="fr"/>
        </w:rPr>
        <w:t>étant glissé par-dessus la b</w:t>
      </w:r>
      <w:r>
        <w:rPr>
          <w:lang w:val="fr"/>
        </w:rPr>
        <w:t>ougie.</w:t>
      </w:r>
    </w:p>
    <w:p w14:paraId="7B5428BA" w14:textId="4C7754BB" w:rsidR="00281AA8" w:rsidRDefault="00281AA8" w:rsidP="00281AA8">
      <w:pPr>
        <w:spacing w:after="0" w:line="240" w:lineRule="auto"/>
        <w:ind w:firstLine="360"/>
      </w:pPr>
      <w:proofErr w:type="spellStart"/>
      <w:r>
        <w:rPr>
          <w:lang w:val="fr"/>
        </w:rPr>
        <w:t>Dorsam</w:t>
      </w:r>
      <w:proofErr w:type="spellEnd"/>
      <w:r>
        <w:rPr>
          <w:lang w:val="fr"/>
        </w:rPr>
        <w:t xml:space="preserve"> e</w:t>
      </w:r>
      <w:r w:rsidR="00F53FEE">
        <w:rPr>
          <w:lang w:val="fr"/>
        </w:rPr>
        <w:t xml:space="preserve">t coll. ont étudié 25 membres des forces navales, </w:t>
      </w:r>
      <w:r>
        <w:rPr>
          <w:lang w:val="fr"/>
        </w:rPr>
        <w:t xml:space="preserve">alors qu'ils effectuaient des </w:t>
      </w:r>
      <w:proofErr w:type="spellStart"/>
      <w:r w:rsidR="00F53FEE" w:rsidRPr="00F53FEE">
        <w:rPr>
          <w:lang w:val="fr"/>
        </w:rPr>
        <w:t>cricothyrotomie</w:t>
      </w:r>
      <w:r w:rsidR="00F53FEE">
        <w:rPr>
          <w:lang w:val="fr"/>
        </w:rPr>
        <w:t>s</w:t>
      </w:r>
      <w:proofErr w:type="spellEnd"/>
      <w:r w:rsidR="00F53FEE" w:rsidRPr="00F53FEE">
        <w:rPr>
          <w:lang w:val="fr"/>
        </w:rPr>
        <w:t xml:space="preserve"> chirurgicale</w:t>
      </w:r>
      <w:r w:rsidR="00F53FEE">
        <w:rPr>
          <w:lang w:val="fr"/>
        </w:rPr>
        <w:t>s</w:t>
      </w:r>
      <w:r w:rsidR="00F53FEE" w:rsidRPr="00F53FEE">
        <w:rPr>
          <w:lang w:val="fr"/>
        </w:rPr>
        <w:t xml:space="preserve"> </w:t>
      </w:r>
      <w:r w:rsidR="00F53FEE">
        <w:rPr>
          <w:lang w:val="fr"/>
        </w:rPr>
        <w:t xml:space="preserve">sur des mannequins avec </w:t>
      </w:r>
      <w:r>
        <w:rPr>
          <w:lang w:val="fr"/>
        </w:rPr>
        <w:t xml:space="preserve"> voie</w:t>
      </w:r>
      <w:r w:rsidR="00F53FEE">
        <w:rPr>
          <w:lang w:val="fr"/>
        </w:rPr>
        <w:t>s respiratoires, en utilisant chacune des techniques</w:t>
      </w:r>
      <w:r>
        <w:rPr>
          <w:lang w:val="fr"/>
        </w:rPr>
        <w:t xml:space="preserve"> décrit</w:t>
      </w:r>
      <w:r w:rsidR="00F53FEE">
        <w:rPr>
          <w:lang w:val="fr"/>
        </w:rPr>
        <w:t>e</w:t>
      </w:r>
      <w:r>
        <w:rPr>
          <w:lang w:val="fr"/>
        </w:rPr>
        <w:t>s précédem</w:t>
      </w:r>
      <w:r w:rsidR="00F53FEE">
        <w:rPr>
          <w:lang w:val="fr"/>
        </w:rPr>
        <w:t>ment.  Ces personnels</w:t>
      </w:r>
      <w:r>
        <w:rPr>
          <w:lang w:val="fr"/>
        </w:rPr>
        <w:t xml:space="preserve"> ont tous reçu une formation</w:t>
      </w:r>
      <w:r w:rsidR="00F53FEE">
        <w:rPr>
          <w:lang w:val="fr"/>
        </w:rPr>
        <w:t xml:space="preserve"> et une pratique équivalentes à celles du</w:t>
      </w:r>
      <w:r>
        <w:rPr>
          <w:lang w:val="fr"/>
        </w:rPr>
        <w:t xml:space="preserve"> TCCC </w:t>
      </w:r>
      <w:r w:rsidR="00F53FEE">
        <w:rPr>
          <w:lang w:val="fr"/>
        </w:rPr>
        <w:t xml:space="preserve">portant </w:t>
      </w:r>
      <w:r>
        <w:rPr>
          <w:lang w:val="fr"/>
        </w:rPr>
        <w:t>sur l'équipement,</w:t>
      </w:r>
      <w:r w:rsidR="00F53FEE">
        <w:rPr>
          <w:lang w:val="fr"/>
        </w:rPr>
        <w:t xml:space="preserve"> les procédures et les mannequins</w:t>
      </w:r>
      <w:r>
        <w:rPr>
          <w:lang w:val="fr"/>
        </w:rPr>
        <w:t xml:space="preserve"> à utiliser dans l'étude.  Leur expérience antérieure en </w:t>
      </w:r>
      <w:r w:rsidR="00F53FEE">
        <w:rPr>
          <w:lang w:val="fr"/>
        </w:rPr>
        <w:t xml:space="preserve">ce qui concernait la </w:t>
      </w:r>
      <w:proofErr w:type="spellStart"/>
      <w:r w:rsidR="00F53FEE" w:rsidRPr="00F53FEE">
        <w:rPr>
          <w:lang w:val="fr"/>
        </w:rPr>
        <w:t>cricothyrotomie</w:t>
      </w:r>
      <w:proofErr w:type="spellEnd"/>
      <w:r w:rsidR="00F53FEE" w:rsidRPr="00F53FEE">
        <w:rPr>
          <w:lang w:val="fr"/>
        </w:rPr>
        <w:t xml:space="preserve"> chirurgicale</w:t>
      </w:r>
      <w:r w:rsidR="00F53FEE">
        <w:rPr>
          <w:lang w:val="fr"/>
        </w:rPr>
        <w:t xml:space="preserve"> vari</w:t>
      </w:r>
      <w:r>
        <w:rPr>
          <w:lang w:val="fr"/>
        </w:rPr>
        <w:t>ait</w:t>
      </w:r>
      <w:r w:rsidR="00F53FEE">
        <w:rPr>
          <w:lang w:val="fr"/>
        </w:rPr>
        <w:t>,</w:t>
      </w:r>
      <w:r>
        <w:rPr>
          <w:lang w:val="fr"/>
        </w:rPr>
        <w:t xml:space="preserve"> avec un tiers des participants n'ayant aucune expérience antérieure avec la procédure et un seul ayant effectué u</w:t>
      </w:r>
      <w:r w:rsidR="00F53FEE">
        <w:rPr>
          <w:lang w:val="fr"/>
        </w:rPr>
        <w:t xml:space="preserve">ne </w:t>
      </w:r>
      <w:proofErr w:type="spellStart"/>
      <w:r w:rsidR="00F53FEE">
        <w:rPr>
          <w:lang w:val="fr"/>
        </w:rPr>
        <w:t>cricothyrotomie</w:t>
      </w:r>
      <w:proofErr w:type="spellEnd"/>
      <w:r w:rsidR="00F53FEE">
        <w:rPr>
          <w:lang w:val="fr"/>
        </w:rPr>
        <w:t xml:space="preserve"> sur un patient</w:t>
      </w:r>
      <w:r>
        <w:rPr>
          <w:lang w:val="fr"/>
        </w:rPr>
        <w:t xml:space="preserve"> vivant.  L'étude s'est penchée sur le temps nécessaire à la</w:t>
      </w:r>
      <w:r w:rsidR="00F53FEE">
        <w:rPr>
          <w:lang w:val="fr"/>
        </w:rPr>
        <w:t xml:space="preserve"> réalisation de la procédure, du premier toucher de</w:t>
      </w:r>
      <w:r>
        <w:rPr>
          <w:lang w:val="fr"/>
        </w:rPr>
        <w:t xml:space="preserve"> l'équipement jusqu'au placement réussi du tube trachéal (ventilation manuelle vérifiée par l'</w:t>
      </w:r>
      <w:r w:rsidR="00F53FEE">
        <w:rPr>
          <w:lang w:val="fr"/>
        </w:rPr>
        <w:t>auscultation des sons respiratoires</w:t>
      </w:r>
      <w:r>
        <w:rPr>
          <w:lang w:val="fr"/>
        </w:rPr>
        <w:t>).  Une enquête auprès des utilisateurs sur les préférences en matière d'efficacité, de facilité d'utilisation et</w:t>
      </w:r>
      <w:r w:rsidR="00F53FEE">
        <w:rPr>
          <w:lang w:val="fr"/>
        </w:rPr>
        <w:t xml:space="preserve"> de fiabilité de l'équipement de </w:t>
      </w:r>
      <w:r>
        <w:rPr>
          <w:lang w:val="fr"/>
        </w:rPr>
        <w:t xml:space="preserve"> </w:t>
      </w:r>
      <w:proofErr w:type="spellStart"/>
      <w:r w:rsidR="00F53FEE" w:rsidRPr="00F53FEE">
        <w:rPr>
          <w:lang w:val="fr"/>
        </w:rPr>
        <w:t>cricothyrotomie</w:t>
      </w:r>
      <w:proofErr w:type="spellEnd"/>
      <w:r w:rsidR="00F53FEE" w:rsidRPr="00F53FEE">
        <w:rPr>
          <w:lang w:val="fr"/>
        </w:rPr>
        <w:t xml:space="preserve"> chirurgicale</w:t>
      </w:r>
      <w:r w:rsidR="00F53FEE">
        <w:rPr>
          <w:lang w:val="fr"/>
        </w:rPr>
        <w:t>,</w:t>
      </w:r>
      <w:r w:rsidR="00F53FEE" w:rsidRPr="00F53FEE">
        <w:rPr>
          <w:lang w:val="fr"/>
        </w:rPr>
        <w:t xml:space="preserve"> </w:t>
      </w:r>
      <w:r>
        <w:rPr>
          <w:lang w:val="fr"/>
        </w:rPr>
        <w:t>a été effectuée après la fin de l'étude.  De plus, les participants ont eu l'occasion de répondre à des questions ouvertes concernant des suggestions d'amélioration sur l'équipement et leurs réflexions sur la conception de l'étude.</w:t>
      </w:r>
    </w:p>
    <w:p w14:paraId="66AB5A0F" w14:textId="4F36E01C" w:rsidR="00281AA8" w:rsidRDefault="00F53FEE" w:rsidP="00281AA8">
      <w:pPr>
        <w:spacing w:after="0" w:line="240" w:lineRule="auto"/>
        <w:ind w:firstLine="360"/>
      </w:pPr>
      <w:r>
        <w:rPr>
          <w:lang w:val="fr"/>
        </w:rPr>
        <w:t>Un</w:t>
      </w:r>
      <w:r w:rsidR="00281AA8">
        <w:rPr>
          <w:lang w:val="fr"/>
        </w:rPr>
        <w:t xml:space="preserve"> placement réussi a été réalisé</w:t>
      </w:r>
      <w:r>
        <w:rPr>
          <w:lang w:val="fr"/>
        </w:rPr>
        <w:t xml:space="preserve"> pour 76% des cas</w:t>
      </w:r>
      <w:r w:rsidR="00281AA8">
        <w:rPr>
          <w:lang w:val="fr"/>
        </w:rPr>
        <w:t xml:space="preserve"> u</w:t>
      </w:r>
      <w:r w:rsidR="000B381C">
        <w:rPr>
          <w:lang w:val="fr"/>
        </w:rPr>
        <w:t>tilisant le BAT, 40% avec le CKT</w:t>
      </w:r>
      <w:r w:rsidR="00281AA8">
        <w:rPr>
          <w:lang w:val="fr"/>
        </w:rPr>
        <w:t xml:space="preserve"> et 48% utilisant</w:t>
      </w:r>
      <w:r w:rsidR="000B381C">
        <w:rPr>
          <w:lang w:val="fr"/>
        </w:rPr>
        <w:t xml:space="preserve"> la </w:t>
      </w:r>
      <w:proofErr w:type="spellStart"/>
      <w:r w:rsidR="000B381C" w:rsidRPr="000B381C">
        <w:rPr>
          <w:lang w:val="fr"/>
        </w:rPr>
        <w:t>cricothyrotomie</w:t>
      </w:r>
      <w:proofErr w:type="spellEnd"/>
      <w:r w:rsidR="000B381C" w:rsidRPr="000B381C">
        <w:rPr>
          <w:lang w:val="fr"/>
        </w:rPr>
        <w:t xml:space="preserve"> chirurgicale</w:t>
      </w:r>
      <w:r w:rsidR="000B381C">
        <w:rPr>
          <w:lang w:val="fr"/>
        </w:rPr>
        <w:t xml:space="preserve"> classique</w:t>
      </w:r>
      <w:r w:rsidR="00281AA8">
        <w:rPr>
          <w:lang w:val="fr"/>
        </w:rPr>
        <w:t>.  Pour le temps d</w:t>
      </w:r>
      <w:r w:rsidR="000B381C">
        <w:rPr>
          <w:lang w:val="fr"/>
        </w:rPr>
        <w:t>e l</w:t>
      </w:r>
      <w:r w:rsidR="00281AA8">
        <w:rPr>
          <w:lang w:val="fr"/>
        </w:rPr>
        <w:t xml:space="preserve">'incision à la ventilation réussie, </w:t>
      </w:r>
      <w:r w:rsidR="000B381C">
        <w:rPr>
          <w:lang w:val="fr"/>
        </w:rPr>
        <w:t>le CKT</w:t>
      </w:r>
      <w:r w:rsidR="00281AA8">
        <w:rPr>
          <w:lang w:val="fr"/>
        </w:rPr>
        <w:t xml:space="preserve"> a été le plus rapide (74-120 sec), </w:t>
      </w:r>
      <w:r w:rsidR="000B381C">
        <w:rPr>
          <w:lang w:val="fr"/>
        </w:rPr>
        <w:t xml:space="preserve">le </w:t>
      </w:r>
      <w:r w:rsidR="00281AA8">
        <w:rPr>
          <w:lang w:val="fr"/>
        </w:rPr>
        <w:t>BAT a ét</w:t>
      </w:r>
      <w:r w:rsidR="000B381C">
        <w:rPr>
          <w:lang w:val="fr"/>
        </w:rPr>
        <w:t xml:space="preserve">é deuxième (103 - 146 sec) et la </w:t>
      </w:r>
      <w:proofErr w:type="spellStart"/>
      <w:r w:rsidR="000B381C" w:rsidRPr="000B381C">
        <w:rPr>
          <w:lang w:val="fr"/>
        </w:rPr>
        <w:t>cricothyrotomie</w:t>
      </w:r>
      <w:proofErr w:type="spellEnd"/>
      <w:r w:rsidR="000B381C" w:rsidRPr="000B381C">
        <w:rPr>
          <w:lang w:val="fr"/>
        </w:rPr>
        <w:t xml:space="preserve"> chirurgicale</w:t>
      </w:r>
      <w:r w:rsidR="000B381C">
        <w:rPr>
          <w:lang w:val="fr"/>
        </w:rPr>
        <w:t xml:space="preserve"> classique la</w:t>
      </w:r>
      <w:r w:rsidR="00281AA8">
        <w:rPr>
          <w:lang w:val="fr"/>
        </w:rPr>
        <w:t xml:space="preserve"> plus lent</w:t>
      </w:r>
      <w:r w:rsidR="000B381C">
        <w:rPr>
          <w:lang w:val="fr"/>
        </w:rPr>
        <w:t>e</w:t>
      </w:r>
      <w:r w:rsidR="00281AA8">
        <w:rPr>
          <w:lang w:val="fr"/>
        </w:rPr>
        <w:t xml:space="preserve"> (</w:t>
      </w:r>
      <w:r w:rsidR="000B381C">
        <w:rPr>
          <w:lang w:val="fr"/>
        </w:rPr>
        <w:t>135 - 213 sec).  L'expérience</w:t>
      </w:r>
      <w:r w:rsidR="00281AA8">
        <w:rPr>
          <w:lang w:val="fr"/>
        </w:rPr>
        <w:t xml:space="preserve"> antérieure était prédictive de temps plus rapides. </w:t>
      </w:r>
      <w:r w:rsidR="000B381C">
        <w:rPr>
          <w:lang w:val="fr"/>
        </w:rPr>
        <w:t xml:space="preserve"> Les participants ont évalué le CKT</w:t>
      </w:r>
      <w:r w:rsidR="00281AA8">
        <w:rPr>
          <w:lang w:val="fr"/>
        </w:rPr>
        <w:t xml:space="preserve"> et </w:t>
      </w:r>
      <w:r w:rsidR="000B381C">
        <w:rPr>
          <w:lang w:val="fr"/>
        </w:rPr>
        <w:t xml:space="preserve">le </w:t>
      </w:r>
      <w:r w:rsidR="00281AA8">
        <w:rPr>
          <w:lang w:val="fr"/>
        </w:rPr>
        <w:t>BAT favorablement pour l'utilisation, l'efficacité et la fiab</w:t>
      </w:r>
      <w:r w:rsidR="000B381C">
        <w:rPr>
          <w:lang w:val="fr"/>
        </w:rPr>
        <w:t>ilité.  Les scores pour la</w:t>
      </w:r>
      <w:r w:rsidR="000B381C" w:rsidRPr="000B381C">
        <w:t xml:space="preserve"> </w:t>
      </w:r>
      <w:proofErr w:type="spellStart"/>
      <w:r w:rsidR="000B381C" w:rsidRPr="000B381C">
        <w:rPr>
          <w:lang w:val="fr"/>
        </w:rPr>
        <w:t>cricothyrotomie</w:t>
      </w:r>
      <w:proofErr w:type="spellEnd"/>
      <w:r w:rsidR="000B381C" w:rsidRPr="000B381C">
        <w:rPr>
          <w:lang w:val="fr"/>
        </w:rPr>
        <w:t xml:space="preserve"> chirurgicale</w:t>
      </w:r>
      <w:r w:rsidR="000B381C">
        <w:rPr>
          <w:lang w:val="fr"/>
        </w:rPr>
        <w:t xml:space="preserve"> classique</w:t>
      </w:r>
      <w:r w:rsidR="00281AA8">
        <w:rPr>
          <w:lang w:val="fr"/>
        </w:rPr>
        <w:t xml:space="preserve"> étaient tous constamment inférieurs.  </w:t>
      </w:r>
    </w:p>
    <w:p w14:paraId="56AAE044" w14:textId="220E7C30" w:rsidR="00281AA8" w:rsidRDefault="00281AA8" w:rsidP="00281AA8">
      <w:pPr>
        <w:spacing w:after="0" w:line="240" w:lineRule="auto"/>
        <w:ind w:firstLine="360"/>
      </w:pPr>
      <w:r>
        <w:rPr>
          <w:lang w:val="fr"/>
        </w:rPr>
        <w:t xml:space="preserve">Les </w:t>
      </w:r>
      <w:r w:rsidR="000B381C">
        <w:rPr>
          <w:lang w:val="fr"/>
        </w:rPr>
        <w:t>évaluations des participants concernant les</w:t>
      </w:r>
      <w:r>
        <w:rPr>
          <w:lang w:val="fr"/>
        </w:rPr>
        <w:t xml:space="preserve"> formations étaient positives à 88 % et</w:t>
      </w:r>
      <w:r w:rsidR="000B381C">
        <w:rPr>
          <w:lang w:val="fr"/>
        </w:rPr>
        <w:t xml:space="preserve"> tous</w:t>
      </w:r>
      <w:r>
        <w:rPr>
          <w:lang w:val="fr"/>
        </w:rPr>
        <w:t xml:space="preserve"> étaient d'accord pour dire </w:t>
      </w:r>
      <w:r w:rsidR="000B381C">
        <w:rPr>
          <w:lang w:val="fr"/>
        </w:rPr>
        <w:t>que « cette formation</w:t>
      </w:r>
      <w:r>
        <w:rPr>
          <w:lang w:val="fr"/>
        </w:rPr>
        <w:t xml:space="preserve"> était utile ».  Pour la question, "Si vous pouviez chois</w:t>
      </w:r>
      <w:r w:rsidR="000B381C">
        <w:rPr>
          <w:lang w:val="fr"/>
        </w:rPr>
        <w:t>ir un kit lequel prendriez-vous?", personne</w:t>
      </w:r>
      <w:r>
        <w:rPr>
          <w:lang w:val="fr"/>
        </w:rPr>
        <w:t xml:space="preserve"> (0%) </w:t>
      </w:r>
      <w:r w:rsidR="000B381C">
        <w:rPr>
          <w:lang w:val="fr"/>
        </w:rPr>
        <w:t xml:space="preserve">n’a choisi la </w:t>
      </w:r>
      <w:proofErr w:type="spellStart"/>
      <w:r w:rsidR="000B381C" w:rsidRPr="000B381C">
        <w:rPr>
          <w:lang w:val="fr"/>
        </w:rPr>
        <w:t>cricothyrotomie</w:t>
      </w:r>
      <w:proofErr w:type="spellEnd"/>
      <w:r w:rsidR="000B381C" w:rsidRPr="000B381C">
        <w:rPr>
          <w:lang w:val="fr"/>
        </w:rPr>
        <w:t xml:space="preserve"> chirurgicale</w:t>
      </w:r>
      <w:r w:rsidR="000B381C">
        <w:rPr>
          <w:lang w:val="fr"/>
        </w:rPr>
        <w:t xml:space="preserve"> classique.  Le CKT a été choisi</w:t>
      </w:r>
      <w:r>
        <w:rPr>
          <w:lang w:val="fr"/>
        </w:rPr>
        <w:t xml:space="preserve"> à 58% suivi par </w:t>
      </w:r>
      <w:r w:rsidR="000B381C">
        <w:rPr>
          <w:lang w:val="fr"/>
        </w:rPr>
        <w:t xml:space="preserve">le </w:t>
      </w:r>
      <w:r>
        <w:rPr>
          <w:lang w:val="fr"/>
        </w:rPr>
        <w:t>BAT à 42%.  Il</w:t>
      </w:r>
      <w:r w:rsidR="000B381C">
        <w:rPr>
          <w:lang w:val="fr"/>
        </w:rPr>
        <w:t xml:space="preserve"> est à noter que l'équipement permettant</w:t>
      </w:r>
      <w:r>
        <w:rPr>
          <w:lang w:val="fr"/>
        </w:rPr>
        <w:t xml:space="preserve"> les t</w:t>
      </w:r>
      <w:r w:rsidR="000B381C">
        <w:rPr>
          <w:lang w:val="fr"/>
        </w:rPr>
        <w:t>emps d'insertion les plus courts et a été le plus plébiscité</w:t>
      </w:r>
      <w:r>
        <w:rPr>
          <w:lang w:val="fr"/>
        </w:rPr>
        <w:t xml:space="preserve"> par</w:t>
      </w:r>
      <w:r w:rsidR="000B381C">
        <w:rPr>
          <w:lang w:val="fr"/>
        </w:rPr>
        <w:t xml:space="preserve"> les participants à l'étude (CKT</w:t>
      </w:r>
      <w:r>
        <w:rPr>
          <w:lang w:val="fr"/>
        </w:rPr>
        <w:t xml:space="preserve">) </w:t>
      </w:r>
      <w:r w:rsidR="000B381C">
        <w:rPr>
          <w:lang w:val="fr"/>
        </w:rPr>
        <w:t xml:space="preserve">mais </w:t>
      </w:r>
      <w:r>
        <w:rPr>
          <w:lang w:val="fr"/>
        </w:rPr>
        <w:t>avait le taux de placement le moins réussi à seulement 40%.  Il</w:t>
      </w:r>
      <w:r w:rsidR="000B381C">
        <w:rPr>
          <w:lang w:val="fr"/>
        </w:rPr>
        <w:t xml:space="preserve"> est possible que la familiarisation</w:t>
      </w:r>
      <w:r>
        <w:rPr>
          <w:lang w:val="fr"/>
        </w:rPr>
        <w:t>, l'e</w:t>
      </w:r>
      <w:r w:rsidR="000B381C">
        <w:rPr>
          <w:lang w:val="fr"/>
        </w:rPr>
        <w:t>xpérience antérieure avec le CKT au cours de</w:t>
      </w:r>
      <w:r>
        <w:rPr>
          <w:lang w:val="fr"/>
        </w:rPr>
        <w:t xml:space="preserve"> formation pr</w:t>
      </w:r>
      <w:r w:rsidR="000B381C">
        <w:rPr>
          <w:lang w:val="fr"/>
        </w:rPr>
        <w:t xml:space="preserve">écédente TCCC, et le fait que ce kit </w:t>
      </w:r>
      <w:r>
        <w:rPr>
          <w:lang w:val="fr"/>
        </w:rPr>
        <w:t xml:space="preserve">est couramment </w:t>
      </w:r>
      <w:r w:rsidR="000B381C">
        <w:rPr>
          <w:lang w:val="fr"/>
        </w:rPr>
        <w:t>re</w:t>
      </w:r>
      <w:r>
        <w:rPr>
          <w:lang w:val="fr"/>
        </w:rPr>
        <w:t>trouvé dan</w:t>
      </w:r>
      <w:r w:rsidR="000B381C">
        <w:rPr>
          <w:lang w:val="fr"/>
        </w:rPr>
        <w:t>s les sacs de premiers secours militaires,</w:t>
      </w:r>
      <w:r>
        <w:rPr>
          <w:lang w:val="fr"/>
        </w:rPr>
        <w:t xml:space="preserve"> en fait un favor</w:t>
      </w:r>
      <w:r w:rsidR="000B381C">
        <w:rPr>
          <w:lang w:val="fr"/>
        </w:rPr>
        <w:t>i</w:t>
      </w:r>
      <w:r>
        <w:rPr>
          <w:lang w:val="fr"/>
        </w:rPr>
        <w:t>.</w:t>
      </w:r>
    </w:p>
    <w:p w14:paraId="746A8357" w14:textId="3C512748" w:rsidR="00281AA8" w:rsidRDefault="000B381C" w:rsidP="00281AA8">
      <w:pPr>
        <w:spacing w:after="0" w:line="240" w:lineRule="auto"/>
        <w:ind w:firstLine="360"/>
      </w:pPr>
      <w:r>
        <w:rPr>
          <w:lang w:val="fr"/>
        </w:rPr>
        <w:t xml:space="preserve">Cette étude met en avant un certain nombre de notions importantes, </w:t>
      </w:r>
      <w:r w:rsidR="00281AA8">
        <w:rPr>
          <w:lang w:val="fr"/>
        </w:rPr>
        <w:t xml:space="preserve">que chaque </w:t>
      </w:r>
      <w:r>
        <w:rPr>
          <w:lang w:val="fr"/>
        </w:rPr>
        <w:t xml:space="preserve">service de soins </w:t>
      </w:r>
      <w:proofErr w:type="spellStart"/>
      <w:r>
        <w:rPr>
          <w:lang w:val="fr"/>
        </w:rPr>
        <w:t>préhospitalier</w:t>
      </w:r>
      <w:proofErr w:type="spellEnd"/>
      <w:r w:rsidR="00281AA8">
        <w:rPr>
          <w:lang w:val="fr"/>
        </w:rPr>
        <w:t xml:space="preserve"> doit considérer</w:t>
      </w:r>
      <w:r>
        <w:rPr>
          <w:lang w:val="fr"/>
        </w:rPr>
        <w:t>,</w:t>
      </w:r>
      <w:r w:rsidR="00281AA8">
        <w:rPr>
          <w:lang w:val="fr"/>
        </w:rPr>
        <w:t xml:space="preserve"> s</w:t>
      </w:r>
      <w:r w:rsidR="00987228">
        <w:rPr>
          <w:lang w:val="fr"/>
        </w:rPr>
        <w:t>i la cricothyrotomie est retenue</w:t>
      </w:r>
      <w:r w:rsidR="00281AA8">
        <w:rPr>
          <w:lang w:val="fr"/>
        </w:rPr>
        <w:t xml:space="preserve"> comme procédure autorisée </w:t>
      </w:r>
      <w:r w:rsidR="00987228">
        <w:rPr>
          <w:lang w:val="fr"/>
        </w:rPr>
        <w:t>de gestion des voies aérienn</w:t>
      </w:r>
      <w:r w:rsidR="00281AA8">
        <w:rPr>
          <w:lang w:val="fr"/>
        </w:rPr>
        <w:t>es :</w:t>
      </w:r>
    </w:p>
    <w:p w14:paraId="353D9D5D" w14:textId="312C6133" w:rsidR="00281AA8" w:rsidRDefault="00987228" w:rsidP="00281AA8">
      <w:pPr>
        <w:pStyle w:val="Paragraphedeliste"/>
        <w:numPr>
          <w:ilvl w:val="0"/>
          <w:numId w:val="20"/>
        </w:numPr>
        <w:spacing w:after="0" w:line="240" w:lineRule="auto"/>
      </w:pPr>
      <w:r>
        <w:rPr>
          <w:lang w:val="fr"/>
        </w:rPr>
        <w:t>L'importance d'une forma</w:t>
      </w:r>
      <w:r w:rsidR="00281AA8">
        <w:rPr>
          <w:lang w:val="fr"/>
        </w:rPr>
        <w:t>tion et d'une pratique rigoureuses et continues avec cette technique invasive, potentiellement salvatrice;</w:t>
      </w:r>
    </w:p>
    <w:p w14:paraId="17CABCE6" w14:textId="4FAF1664" w:rsidR="00281AA8" w:rsidRDefault="00281AA8" w:rsidP="00281AA8">
      <w:pPr>
        <w:pStyle w:val="Paragraphedeliste"/>
        <w:numPr>
          <w:ilvl w:val="0"/>
          <w:numId w:val="20"/>
        </w:numPr>
        <w:spacing w:after="0" w:line="240" w:lineRule="auto"/>
      </w:pPr>
      <w:r>
        <w:rPr>
          <w:lang w:val="fr"/>
        </w:rPr>
        <w:t>Sans prati</w:t>
      </w:r>
      <w:r w:rsidR="00987228">
        <w:rPr>
          <w:lang w:val="fr"/>
        </w:rPr>
        <w:t>que continue et sans familiarisation</w:t>
      </w:r>
      <w:r>
        <w:rPr>
          <w:lang w:val="fr"/>
        </w:rPr>
        <w:t xml:space="preserve"> avec l'éq</w:t>
      </w:r>
      <w:r w:rsidR="00987228">
        <w:rPr>
          <w:lang w:val="fr"/>
        </w:rPr>
        <w:t>uipement, le taux d’échec</w:t>
      </w:r>
      <w:r>
        <w:rPr>
          <w:lang w:val="fr"/>
        </w:rPr>
        <w:t xml:space="preserve"> est extrêmement élevé;</w:t>
      </w:r>
    </w:p>
    <w:p w14:paraId="57BD7B4D" w14:textId="24FEC015" w:rsidR="00281AA8" w:rsidRDefault="00281AA8" w:rsidP="00281AA8">
      <w:pPr>
        <w:pStyle w:val="Paragraphedeliste"/>
        <w:numPr>
          <w:ilvl w:val="0"/>
          <w:numId w:val="20"/>
        </w:numPr>
        <w:spacing w:after="0" w:line="240" w:lineRule="auto"/>
      </w:pPr>
      <w:r>
        <w:rPr>
          <w:lang w:val="fr"/>
        </w:rPr>
        <w:t xml:space="preserve">Les produits </w:t>
      </w:r>
      <w:r w:rsidR="00987228">
        <w:rPr>
          <w:lang w:val="fr"/>
        </w:rPr>
        <w:t xml:space="preserve">classiques </w:t>
      </w:r>
      <w:r>
        <w:rPr>
          <w:lang w:val="fr"/>
        </w:rPr>
        <w:t xml:space="preserve">existants pour effectuer la </w:t>
      </w:r>
      <w:proofErr w:type="spellStart"/>
      <w:r>
        <w:rPr>
          <w:lang w:val="fr"/>
        </w:rPr>
        <w:t>cric</w:t>
      </w:r>
      <w:r w:rsidR="00987228">
        <w:rPr>
          <w:lang w:val="fr"/>
        </w:rPr>
        <w:t>othyrotomie</w:t>
      </w:r>
      <w:proofErr w:type="spellEnd"/>
      <w:r w:rsidR="00987228">
        <w:rPr>
          <w:lang w:val="fr"/>
        </w:rPr>
        <w:t xml:space="preserve"> ne sont pas optimaux</w:t>
      </w:r>
      <w:r>
        <w:rPr>
          <w:lang w:val="fr"/>
        </w:rPr>
        <w:t xml:space="preserve"> et nécessitent une amélioration significative.</w:t>
      </w:r>
    </w:p>
    <w:p w14:paraId="1B301836" w14:textId="77777777" w:rsidR="00281AA8" w:rsidRPr="00281AA8" w:rsidRDefault="00281AA8" w:rsidP="00281AA8">
      <w:pPr>
        <w:pStyle w:val="Paragraphedeliste"/>
        <w:spacing w:after="0" w:line="240" w:lineRule="auto"/>
        <w:ind w:left="360"/>
      </w:pPr>
    </w:p>
    <w:p w14:paraId="1F1D7DED" w14:textId="68B991AD" w:rsidR="00657100" w:rsidRPr="00657100" w:rsidRDefault="003E5A40" w:rsidP="00DC1BDF">
      <w:pPr>
        <w:pStyle w:val="Paragraphedeliste"/>
        <w:numPr>
          <w:ilvl w:val="0"/>
          <w:numId w:val="17"/>
        </w:numPr>
        <w:spacing w:after="0"/>
        <w:rPr>
          <w:rFonts w:eastAsia="Times New Roman" w:cstheme="minorHAnsi"/>
        </w:rPr>
      </w:pPr>
      <w:r>
        <w:rPr>
          <w:b/>
          <w:lang w:val="fr"/>
        </w:rPr>
        <w:t>Les é</w:t>
      </w:r>
      <w:r w:rsidR="00657100" w:rsidRPr="00657100">
        <w:rPr>
          <w:b/>
          <w:lang w:val="fr"/>
        </w:rPr>
        <w:t>quipement</w:t>
      </w:r>
      <w:r>
        <w:rPr>
          <w:b/>
          <w:lang w:val="fr"/>
        </w:rPr>
        <w:t>s</w:t>
      </w:r>
      <w:r w:rsidR="00657100" w:rsidRPr="00657100">
        <w:rPr>
          <w:b/>
          <w:lang w:val="fr"/>
        </w:rPr>
        <w:t xml:space="preserve"> d'oxygène des services</w:t>
      </w:r>
      <w:r>
        <w:rPr>
          <w:b/>
          <w:lang w:val="fr"/>
        </w:rPr>
        <w:t xml:space="preserve"> médicaux d'urgence : un vecteur</w:t>
      </w:r>
      <w:r w:rsidR="00657100" w:rsidRPr="00657100">
        <w:rPr>
          <w:b/>
          <w:lang w:val="fr"/>
        </w:rPr>
        <w:t xml:space="preserve"> pour la transmission du SARM?  </w:t>
      </w:r>
      <w:r w:rsidR="00657100">
        <w:rPr>
          <w:lang w:val="fr"/>
        </w:rPr>
        <w:t xml:space="preserve">Gibson </w:t>
      </w:r>
      <w:r w:rsidR="00657100" w:rsidRPr="00657100">
        <w:rPr>
          <w:lang w:val="fr"/>
        </w:rPr>
        <w:t xml:space="preserve"> CV</w:t>
      </w:r>
      <w:r w:rsidR="00657100">
        <w:rPr>
          <w:lang w:val="fr"/>
        </w:rPr>
        <w:t>.</w:t>
      </w:r>
    </w:p>
    <w:p w14:paraId="4974AA50" w14:textId="77777777" w:rsidR="00657100" w:rsidRPr="00657100" w:rsidRDefault="00657100" w:rsidP="00DC1BDF">
      <w:pPr>
        <w:spacing w:after="0"/>
        <w:ind w:firstLine="360"/>
        <w:rPr>
          <w:rFonts w:eastAsia="Times New Roman" w:cstheme="minorHAnsi"/>
        </w:rPr>
      </w:pPr>
      <w:proofErr w:type="spellStart"/>
      <w:r w:rsidRPr="00657100">
        <w:rPr>
          <w:lang w:val="fr"/>
        </w:rPr>
        <w:t>Emerg</w:t>
      </w:r>
      <w:proofErr w:type="spellEnd"/>
      <w:r w:rsidRPr="00657100">
        <w:rPr>
          <w:lang w:val="fr"/>
        </w:rPr>
        <w:t xml:space="preserve"> Med J 2019:36. doi:10.1136/emermed-2018-207758 [</w:t>
      </w:r>
      <w:proofErr w:type="spellStart"/>
      <w:r w:rsidRPr="00657100">
        <w:rPr>
          <w:lang w:val="fr"/>
        </w:rPr>
        <w:t>Epub</w:t>
      </w:r>
      <w:proofErr w:type="spellEnd"/>
      <w:r w:rsidRPr="00657100">
        <w:rPr>
          <w:lang w:val="fr"/>
        </w:rPr>
        <w:t xml:space="preserve"> en avance sur l'impression. 1er décembre 2018]</w:t>
      </w:r>
    </w:p>
    <w:p w14:paraId="1BB6A844" w14:textId="77777777" w:rsidR="00657100" w:rsidRDefault="00657100" w:rsidP="00657100">
      <w:pPr>
        <w:spacing w:after="0" w:line="240" w:lineRule="auto"/>
        <w:ind w:firstLine="360"/>
        <w:rPr>
          <w:rFonts w:eastAsia="Times New Roman" w:cstheme="minorHAnsi"/>
          <w:b/>
        </w:rPr>
      </w:pPr>
    </w:p>
    <w:p w14:paraId="4961ED14" w14:textId="10CAC285" w:rsidR="00657100" w:rsidRPr="00657100" w:rsidRDefault="00657100" w:rsidP="00657100">
      <w:pPr>
        <w:spacing w:after="0" w:line="240" w:lineRule="auto"/>
        <w:ind w:firstLine="360"/>
        <w:rPr>
          <w:rFonts w:cstheme="minorHAnsi"/>
        </w:rPr>
      </w:pPr>
      <w:r w:rsidRPr="00657100">
        <w:rPr>
          <w:lang w:val="fr"/>
        </w:rPr>
        <w:t>Chaque</w:t>
      </w:r>
      <w:r w:rsidR="003E5A40">
        <w:rPr>
          <w:lang w:val="fr"/>
        </w:rPr>
        <w:t xml:space="preserve"> jour dans les services de soins d’urgence </w:t>
      </w:r>
      <w:r w:rsidRPr="00657100">
        <w:rPr>
          <w:lang w:val="fr"/>
        </w:rPr>
        <w:t>à travers le monde, l'oxygène est administré aux pa</w:t>
      </w:r>
      <w:r w:rsidR="003E5A40">
        <w:rPr>
          <w:lang w:val="fr"/>
        </w:rPr>
        <w:t>tients qui peuvent souffrir de maux très variés allant du traumatisme modéré à l'arrêt cardiaque</w:t>
      </w:r>
      <w:r w:rsidRPr="00657100">
        <w:rPr>
          <w:lang w:val="fr"/>
        </w:rPr>
        <w:t xml:space="preserve">.   L'oxygénothérapie a été l'un des traitements de </w:t>
      </w:r>
      <w:r w:rsidR="003E5A40">
        <w:rPr>
          <w:lang w:val="fr"/>
        </w:rPr>
        <w:t xml:space="preserve">base en pré hospitalier depuis toujours.  </w:t>
      </w:r>
      <w:r w:rsidRPr="00657100">
        <w:rPr>
          <w:lang w:val="fr"/>
        </w:rPr>
        <w:t xml:space="preserve">Cette étude </w:t>
      </w:r>
      <w:r w:rsidRPr="00657100">
        <w:rPr>
          <w:lang w:val="fr"/>
        </w:rPr>
        <w:lastRenderedPageBreak/>
        <w:t>observationnelle ne porte pa</w:t>
      </w:r>
      <w:r w:rsidR="003E5A40">
        <w:rPr>
          <w:lang w:val="fr"/>
        </w:rPr>
        <w:t>s sur les avantages ou sur les inconvénients</w:t>
      </w:r>
      <w:r w:rsidRPr="00657100">
        <w:rPr>
          <w:lang w:val="fr"/>
        </w:rPr>
        <w:t xml:space="preserve"> de l'administration de l'oxygène, mais plutôt sur la contamination </w:t>
      </w:r>
      <w:r w:rsidR="003E5A40" w:rsidRPr="00657100">
        <w:rPr>
          <w:lang w:val="fr"/>
        </w:rPr>
        <w:t>possible</w:t>
      </w:r>
      <w:r w:rsidR="003E5A40">
        <w:rPr>
          <w:lang w:val="fr"/>
        </w:rPr>
        <w:t>,</w:t>
      </w:r>
      <w:r w:rsidR="003E5A40" w:rsidRPr="00657100">
        <w:rPr>
          <w:lang w:val="fr"/>
        </w:rPr>
        <w:t xml:space="preserve"> </w:t>
      </w:r>
      <w:r w:rsidRPr="00657100">
        <w:rPr>
          <w:lang w:val="fr"/>
        </w:rPr>
        <w:t>à grande échelle</w:t>
      </w:r>
      <w:r w:rsidR="003E5A40">
        <w:rPr>
          <w:lang w:val="fr"/>
        </w:rPr>
        <w:t>, de l'équipement d'</w:t>
      </w:r>
      <w:proofErr w:type="spellStart"/>
      <w:r w:rsidR="003E5A40">
        <w:rPr>
          <w:lang w:val="fr"/>
        </w:rPr>
        <w:t>oxygènothérapie</w:t>
      </w:r>
      <w:proofErr w:type="spellEnd"/>
      <w:r w:rsidR="003E5A40">
        <w:rPr>
          <w:lang w:val="fr"/>
        </w:rPr>
        <w:t xml:space="preserve"> utilisé</w:t>
      </w:r>
      <w:r>
        <w:rPr>
          <w:lang w:val="fr"/>
        </w:rPr>
        <w:t xml:space="preserve">.   </w:t>
      </w:r>
    </w:p>
    <w:p w14:paraId="4CD0F0D5" w14:textId="39D6FEBB" w:rsidR="00657100" w:rsidRPr="00657100" w:rsidRDefault="00657100" w:rsidP="00657100">
      <w:pPr>
        <w:spacing w:after="0" w:line="240" w:lineRule="auto"/>
        <w:ind w:firstLine="360"/>
        <w:rPr>
          <w:rFonts w:cstheme="minorHAnsi"/>
        </w:rPr>
      </w:pPr>
      <w:r w:rsidRPr="00657100">
        <w:rPr>
          <w:lang w:val="fr"/>
        </w:rPr>
        <w:t>L'auteur de cette étude a examiné la surface de toutes les bouteilles d'oxygè</w:t>
      </w:r>
      <w:r w:rsidR="003E5A40">
        <w:rPr>
          <w:lang w:val="fr"/>
        </w:rPr>
        <w:t xml:space="preserve">ne utilisées dans </w:t>
      </w:r>
      <w:r w:rsidRPr="00657100">
        <w:rPr>
          <w:lang w:val="fr"/>
        </w:rPr>
        <w:t>un petit service d'ambulance (9 ambulances) dans l'État de l'Alabama aux États-Unis</w:t>
      </w:r>
      <w:r w:rsidR="003E5A40">
        <w:rPr>
          <w:lang w:val="fr"/>
        </w:rPr>
        <w:t xml:space="preserve">, et a recherché la présence  </w:t>
      </w:r>
      <w:r w:rsidRPr="00657100">
        <w:rPr>
          <w:lang w:val="fr"/>
        </w:rPr>
        <w:t>de Staphylococcus aureus résistant à la méthicilline (SARM).  Le personnel préhospitalier décontamine régulièrement l'équipement et d'autres surfaces qui entrent en contact direct avec le patient ou les liquides corporels; toutefois, cela n'inclu</w:t>
      </w:r>
      <w:r w:rsidR="003E5A40">
        <w:rPr>
          <w:lang w:val="fr"/>
        </w:rPr>
        <w:t>t généralement pas les bouteilles d'oxygène et les détend</w:t>
      </w:r>
      <w:r w:rsidRPr="00657100">
        <w:rPr>
          <w:lang w:val="fr"/>
        </w:rPr>
        <w:t>eurs.   Chaque ambulance de cette étude</w:t>
      </w:r>
      <w:r w:rsidR="003E5A40">
        <w:rPr>
          <w:lang w:val="fr"/>
        </w:rPr>
        <w:t>,</w:t>
      </w:r>
      <w:r w:rsidRPr="00657100">
        <w:rPr>
          <w:lang w:val="fr"/>
        </w:rPr>
        <w:t xml:space="preserve"> était équipée de deux bouteilles d'oxygène portatives pour être ut</w:t>
      </w:r>
      <w:r w:rsidR="003E5A40">
        <w:rPr>
          <w:lang w:val="fr"/>
        </w:rPr>
        <w:t>ilisées aux côtés du patien</w:t>
      </w:r>
      <w:r w:rsidR="00A911CE">
        <w:rPr>
          <w:lang w:val="fr"/>
        </w:rPr>
        <w:t>t à l'extérieur de la cellule de l’</w:t>
      </w:r>
      <w:r w:rsidRPr="00657100">
        <w:rPr>
          <w:lang w:val="fr"/>
        </w:rPr>
        <w:t>ambulance.  Des échantillons ont été obtenus à partir de 9 cylindres utilisés dans les ambulances.  D'autres échantillons ont été prélevés sur d'autres surfaces dans le co</w:t>
      </w:r>
      <w:r w:rsidR="00A911CE">
        <w:rPr>
          <w:lang w:val="fr"/>
        </w:rPr>
        <w:t>mpartiment de soins, qui comprenai</w:t>
      </w:r>
      <w:r w:rsidRPr="00657100">
        <w:rPr>
          <w:lang w:val="fr"/>
        </w:rPr>
        <w:t>t d'autres équ</w:t>
      </w:r>
      <w:r w:rsidR="00A911CE">
        <w:rPr>
          <w:lang w:val="fr"/>
        </w:rPr>
        <w:t>ipements et fournitures portative</w:t>
      </w:r>
      <w:r w:rsidRPr="00657100">
        <w:rPr>
          <w:lang w:val="fr"/>
        </w:rPr>
        <w:t xml:space="preserve">s.  Parmi les bouteilles d'oxygène testées, 100 % étaient positives pour le Staphylococcus aureus résistant à la méthicilline (SARM).  L'auteur a comparé cela à d'autres équipements portatifs </w:t>
      </w:r>
      <w:r w:rsidR="00A911CE">
        <w:rPr>
          <w:lang w:val="fr"/>
        </w:rPr>
        <w:t xml:space="preserve">présents </w:t>
      </w:r>
      <w:r w:rsidRPr="00657100">
        <w:rPr>
          <w:lang w:val="fr"/>
        </w:rPr>
        <w:t>dans l</w:t>
      </w:r>
      <w:r w:rsidR="00A911CE">
        <w:rPr>
          <w:lang w:val="fr"/>
        </w:rPr>
        <w:t>'ambulance, et aucun n'a montré la présence d</w:t>
      </w:r>
      <w:r w:rsidRPr="00657100">
        <w:rPr>
          <w:lang w:val="fr"/>
        </w:rPr>
        <w:t>e SARM.  La seule zone dans le compartiment arrière de l'ambulance qui a révélé la présence de SARM</w:t>
      </w:r>
      <w:r w:rsidR="00A911CE">
        <w:rPr>
          <w:lang w:val="fr"/>
        </w:rPr>
        <w:t>,</w:t>
      </w:r>
      <w:r w:rsidRPr="00657100">
        <w:rPr>
          <w:lang w:val="fr"/>
        </w:rPr>
        <w:t xml:space="preserve"> étai</w:t>
      </w:r>
      <w:r w:rsidR="00A911CE">
        <w:rPr>
          <w:lang w:val="fr"/>
        </w:rPr>
        <w:t>en</w:t>
      </w:r>
      <w:r w:rsidRPr="00657100">
        <w:rPr>
          <w:lang w:val="fr"/>
        </w:rPr>
        <w:t>t l</w:t>
      </w:r>
      <w:r w:rsidR="00A911CE">
        <w:rPr>
          <w:lang w:val="fr"/>
        </w:rPr>
        <w:t xml:space="preserve">es planchers du compartiment </w:t>
      </w:r>
      <w:r w:rsidRPr="00657100">
        <w:rPr>
          <w:lang w:val="fr"/>
        </w:rPr>
        <w:t>patient.  Les auteurs ont</w:t>
      </w:r>
      <w:r w:rsidR="00A911CE">
        <w:rPr>
          <w:lang w:val="fr"/>
        </w:rPr>
        <w:t xml:space="preserve"> ensuite mis en culture des prélèvements faits sur soixante-dix (70) bouteilles d'oxygène portative</w:t>
      </w:r>
      <w:r w:rsidRPr="00657100">
        <w:rPr>
          <w:lang w:val="fr"/>
        </w:rPr>
        <w:t>s stocké</w:t>
      </w:r>
      <w:r w:rsidR="00A911CE">
        <w:rPr>
          <w:lang w:val="fr"/>
        </w:rPr>
        <w:t>e</w:t>
      </w:r>
      <w:r w:rsidRPr="00657100">
        <w:rPr>
          <w:lang w:val="fr"/>
        </w:rPr>
        <w:t>s</w:t>
      </w:r>
      <w:r w:rsidR="00A911CE">
        <w:rPr>
          <w:lang w:val="fr"/>
        </w:rPr>
        <w:t xml:space="preserve"> chez un vendeur hors site, et soixante-sept  67) ont vu du</w:t>
      </w:r>
      <w:r>
        <w:rPr>
          <w:lang w:val="fr"/>
        </w:rPr>
        <w:t xml:space="preserve"> SARM</w:t>
      </w:r>
      <w:r w:rsidR="00A911CE">
        <w:rPr>
          <w:lang w:val="fr"/>
        </w:rPr>
        <w:t xml:space="preserve"> pousser</w:t>
      </w:r>
      <w:r>
        <w:rPr>
          <w:lang w:val="fr"/>
        </w:rPr>
        <w:t xml:space="preserve">.  </w:t>
      </w:r>
    </w:p>
    <w:p w14:paraId="06B3E9AF" w14:textId="4C8B3E68" w:rsidR="008C2DA9" w:rsidRDefault="00657100" w:rsidP="00657100">
      <w:pPr>
        <w:spacing w:after="0" w:line="240" w:lineRule="auto"/>
        <w:ind w:firstLine="360"/>
        <w:rPr>
          <w:rFonts w:cstheme="minorHAnsi"/>
        </w:rPr>
      </w:pPr>
      <w:r w:rsidRPr="00657100">
        <w:rPr>
          <w:lang w:val="fr"/>
        </w:rPr>
        <w:t>Bien que cette étude n'ait porté que sur un seul service d'ambulance relativement petit, le degré de contamination par le SARM est alarmant.  Bien qu'il y ait des limites à l'étude en raison de la petite taille de l'échantillonnage (un organisme et un fournisseur), elle remet en question les protocoles et les politiques en place pour la décontamination du matér</w:t>
      </w:r>
      <w:r w:rsidR="00A911CE">
        <w:rPr>
          <w:lang w:val="fr"/>
        </w:rPr>
        <w:t>iel de délivrance d'oxygène (bouteilles et détendeurs).  Il est évident, du fait de</w:t>
      </w:r>
      <w:r w:rsidRPr="00657100">
        <w:rPr>
          <w:lang w:val="fr"/>
        </w:rPr>
        <w:t xml:space="preserve"> l'absence de contamination sur d'</w:t>
      </w:r>
      <w:r w:rsidR="00A911CE">
        <w:rPr>
          <w:lang w:val="fr"/>
        </w:rPr>
        <w:t>autres équipements ainsi que du</w:t>
      </w:r>
      <w:r w:rsidRPr="00657100">
        <w:rPr>
          <w:lang w:val="fr"/>
        </w:rPr>
        <w:t xml:space="preserve"> compartiment patient lui-même</w:t>
      </w:r>
      <w:r w:rsidR="00A911CE">
        <w:rPr>
          <w:lang w:val="fr"/>
        </w:rPr>
        <w:t>,</w:t>
      </w:r>
      <w:r w:rsidRPr="00657100">
        <w:rPr>
          <w:lang w:val="fr"/>
        </w:rPr>
        <w:t xml:space="preserve"> qu'un programme formel de décontamination pour d'autres secteurs du com</w:t>
      </w:r>
      <w:r w:rsidR="00A911CE">
        <w:rPr>
          <w:lang w:val="fr"/>
        </w:rPr>
        <w:t>partiment de soins soi</w:t>
      </w:r>
      <w:r w:rsidRPr="00657100">
        <w:rPr>
          <w:lang w:val="fr"/>
        </w:rPr>
        <w:t>t ef</w:t>
      </w:r>
      <w:r w:rsidR="00A911CE">
        <w:rPr>
          <w:lang w:val="fr"/>
        </w:rPr>
        <w:t xml:space="preserve">ficace.  Peut-être </w:t>
      </w:r>
      <w:r w:rsidRPr="00657100">
        <w:rPr>
          <w:lang w:val="fr"/>
        </w:rPr>
        <w:t xml:space="preserve"> </w:t>
      </w:r>
      <w:r w:rsidR="00A911CE">
        <w:rPr>
          <w:lang w:val="fr"/>
        </w:rPr>
        <w:t>que la découverte de bouteille</w:t>
      </w:r>
      <w:r w:rsidRPr="00657100">
        <w:rPr>
          <w:lang w:val="fr"/>
        </w:rPr>
        <w:t xml:space="preserve">s </w:t>
      </w:r>
      <w:r w:rsidR="00A911CE" w:rsidRPr="00657100">
        <w:rPr>
          <w:lang w:val="fr"/>
        </w:rPr>
        <w:t>contaminé</w:t>
      </w:r>
      <w:r w:rsidR="00A911CE">
        <w:rPr>
          <w:lang w:val="fr"/>
        </w:rPr>
        <w:t>e</w:t>
      </w:r>
      <w:r w:rsidR="00A911CE" w:rsidRPr="00657100">
        <w:rPr>
          <w:lang w:val="fr"/>
        </w:rPr>
        <w:t>s par le SARM</w:t>
      </w:r>
      <w:r w:rsidR="00A911CE">
        <w:rPr>
          <w:lang w:val="fr"/>
        </w:rPr>
        <w:t>,</w:t>
      </w:r>
      <w:r w:rsidR="00A911CE" w:rsidRPr="00657100">
        <w:rPr>
          <w:lang w:val="fr"/>
        </w:rPr>
        <w:t xml:space="preserve"> </w:t>
      </w:r>
      <w:r w:rsidRPr="00657100">
        <w:rPr>
          <w:lang w:val="fr"/>
        </w:rPr>
        <w:t>chez un vendeur hors site</w:t>
      </w:r>
      <w:r w:rsidR="00A911CE">
        <w:rPr>
          <w:lang w:val="fr"/>
        </w:rPr>
        <w:t>, est</w:t>
      </w:r>
      <w:r w:rsidRPr="00657100">
        <w:rPr>
          <w:lang w:val="fr"/>
        </w:rPr>
        <w:t xml:space="preserve"> </w:t>
      </w:r>
      <w:r w:rsidR="00A911CE" w:rsidRPr="00657100">
        <w:rPr>
          <w:lang w:val="fr"/>
        </w:rPr>
        <w:t>plus alarmant</w:t>
      </w:r>
      <w:r w:rsidR="00A911CE">
        <w:rPr>
          <w:lang w:val="fr"/>
        </w:rPr>
        <w:t>e</w:t>
      </w:r>
      <w:r w:rsidRPr="00657100">
        <w:rPr>
          <w:lang w:val="fr"/>
        </w:rPr>
        <w:t>; on p</w:t>
      </w:r>
      <w:r w:rsidR="00A911CE">
        <w:rPr>
          <w:lang w:val="fr"/>
        </w:rPr>
        <w:t>ourrait supposer qu'une bouteille d’oxygène</w:t>
      </w:r>
      <w:r w:rsidRPr="00657100">
        <w:rPr>
          <w:lang w:val="fr"/>
        </w:rPr>
        <w:t xml:space="preserve"> qui revient d'un vendeur</w:t>
      </w:r>
      <w:r w:rsidR="00A911CE">
        <w:rPr>
          <w:lang w:val="fr"/>
        </w:rPr>
        <w:t>, so</w:t>
      </w:r>
      <w:r w:rsidRPr="00657100">
        <w:rPr>
          <w:lang w:val="fr"/>
        </w:rPr>
        <w:t>it propre et non contaminé</w:t>
      </w:r>
      <w:r w:rsidR="00A911CE">
        <w:rPr>
          <w:lang w:val="fr"/>
        </w:rPr>
        <w:t>e, mais</w:t>
      </w:r>
      <w:r w:rsidRPr="00657100">
        <w:rPr>
          <w:lang w:val="fr"/>
        </w:rPr>
        <w:t xml:space="preserve"> cett</w:t>
      </w:r>
      <w:r w:rsidR="00A911CE">
        <w:rPr>
          <w:lang w:val="fr"/>
        </w:rPr>
        <w:t>e étude conteste ceci</w:t>
      </w:r>
      <w:r w:rsidRPr="00657100">
        <w:rPr>
          <w:lang w:val="fr"/>
        </w:rPr>
        <w:t xml:space="preserve">.  Cette étude demande un examen et une évaluation plus approfondis en </w:t>
      </w:r>
      <w:r w:rsidR="00A911CE">
        <w:rPr>
          <w:lang w:val="fr"/>
        </w:rPr>
        <w:t xml:space="preserve">élargissant le nombre </w:t>
      </w:r>
      <w:r w:rsidRPr="00657100">
        <w:rPr>
          <w:lang w:val="fr"/>
        </w:rPr>
        <w:t xml:space="preserve">de services et </w:t>
      </w:r>
      <w:r w:rsidR="00A911CE">
        <w:rPr>
          <w:lang w:val="fr"/>
        </w:rPr>
        <w:t xml:space="preserve">de </w:t>
      </w:r>
      <w:r w:rsidRPr="00657100">
        <w:rPr>
          <w:lang w:val="fr"/>
        </w:rPr>
        <w:t xml:space="preserve">fournisseurs </w:t>
      </w:r>
      <w:r w:rsidR="00A911CE">
        <w:rPr>
          <w:lang w:val="fr"/>
        </w:rPr>
        <w:t xml:space="preserve">étudiés, </w:t>
      </w:r>
      <w:r w:rsidRPr="00657100">
        <w:rPr>
          <w:lang w:val="fr"/>
        </w:rPr>
        <w:t>afin de déterminer s'il s'agit d'un problème répandu ou isol</w:t>
      </w:r>
      <w:r w:rsidR="00A911CE">
        <w:rPr>
          <w:lang w:val="fr"/>
        </w:rPr>
        <w:t>é à ce service.  Les services d'ambulances devraient revoi</w:t>
      </w:r>
      <w:r w:rsidRPr="00657100">
        <w:rPr>
          <w:lang w:val="fr"/>
        </w:rPr>
        <w:t xml:space="preserve">r leurs propres politiques et protocoles internes concernant les procédures de décontamination de </w:t>
      </w:r>
      <w:r w:rsidR="00A911CE">
        <w:rPr>
          <w:lang w:val="fr"/>
        </w:rPr>
        <w:t>leur équipement de délivrance</w:t>
      </w:r>
      <w:r w:rsidRPr="00657100">
        <w:rPr>
          <w:lang w:val="fr"/>
        </w:rPr>
        <w:t xml:space="preserve"> de l'oxygène.</w:t>
      </w:r>
    </w:p>
    <w:p w14:paraId="3F188AEF" w14:textId="77777777" w:rsidR="00657100" w:rsidRDefault="00657100" w:rsidP="00657100">
      <w:pPr>
        <w:spacing w:after="0" w:line="240" w:lineRule="auto"/>
        <w:ind w:firstLine="360"/>
      </w:pPr>
    </w:p>
    <w:p w14:paraId="2B96BAAF" w14:textId="0C59ADC3" w:rsidR="00657100" w:rsidRPr="00657100" w:rsidRDefault="00DB3A89" w:rsidP="00DC1BDF">
      <w:pPr>
        <w:pStyle w:val="Paragraphedeliste"/>
        <w:numPr>
          <w:ilvl w:val="0"/>
          <w:numId w:val="17"/>
        </w:numPr>
        <w:rPr>
          <w:b/>
        </w:rPr>
      </w:pPr>
      <w:r>
        <w:rPr>
          <w:b/>
          <w:lang w:val="fr"/>
        </w:rPr>
        <w:t>Une revue</w:t>
      </w:r>
      <w:r w:rsidR="00657100" w:rsidRPr="00657100">
        <w:rPr>
          <w:b/>
          <w:lang w:val="fr"/>
        </w:rPr>
        <w:t xml:space="preserve"> sys</w:t>
      </w:r>
      <w:r>
        <w:rPr>
          <w:b/>
          <w:lang w:val="fr"/>
        </w:rPr>
        <w:t>tématique et une méta-analyse portant sur</w:t>
      </w:r>
      <w:bookmarkStart w:id="0" w:name="_GoBack"/>
      <w:bookmarkEnd w:id="0"/>
      <w:r w:rsidR="00657100" w:rsidRPr="00657100">
        <w:rPr>
          <w:b/>
          <w:lang w:val="fr"/>
        </w:rPr>
        <w:t xml:space="preserve"> la kétamine comme alternative aux opioïdes pour</w:t>
      </w:r>
      <w:r w:rsidR="00DA166B">
        <w:rPr>
          <w:b/>
          <w:lang w:val="fr"/>
        </w:rPr>
        <w:t xml:space="preserve"> la prise en charge de</w:t>
      </w:r>
      <w:r w:rsidR="00657100" w:rsidRPr="00657100">
        <w:rPr>
          <w:b/>
          <w:lang w:val="fr"/>
        </w:rPr>
        <w:t xml:space="preserve"> la douleur aigue</w:t>
      </w:r>
      <w:r w:rsidR="00DA166B">
        <w:rPr>
          <w:b/>
          <w:lang w:val="fr"/>
        </w:rPr>
        <w:t xml:space="preserve">, au service des </w:t>
      </w:r>
      <w:r w:rsidR="00657100" w:rsidRPr="00657100">
        <w:rPr>
          <w:b/>
          <w:lang w:val="fr"/>
        </w:rPr>
        <w:t>urgence</w:t>
      </w:r>
      <w:r w:rsidR="00DA166B">
        <w:rPr>
          <w:b/>
          <w:lang w:val="fr"/>
        </w:rPr>
        <w:t>s</w:t>
      </w:r>
      <w:r w:rsidR="00657100" w:rsidRPr="00657100">
        <w:rPr>
          <w:b/>
          <w:lang w:val="fr"/>
        </w:rPr>
        <w:t xml:space="preserve">.  </w:t>
      </w:r>
      <w:r w:rsidR="00657100" w:rsidRPr="008B13F0">
        <w:rPr>
          <w:lang w:val="de-DE"/>
        </w:rPr>
        <w:t>Karlow,N, Schlaepfer,C, Stoll,C, Doering,M, Carpenter,C, Colditz,G, et al Acad Emerg Med doi: 10.1111/acem.13502, 2018;25: 1086-1097</w:t>
      </w:r>
    </w:p>
    <w:p w14:paraId="50848678" w14:textId="4EDFF1E5" w:rsidR="00657100" w:rsidRDefault="00657100" w:rsidP="00657100">
      <w:pPr>
        <w:pStyle w:val="Sansinterligne"/>
        <w:ind w:firstLine="360"/>
      </w:pPr>
      <w:r>
        <w:rPr>
          <w:lang w:val="fr"/>
        </w:rPr>
        <w:t xml:space="preserve">Beaucoup de patients se </w:t>
      </w:r>
      <w:r w:rsidR="00DA166B">
        <w:rPr>
          <w:lang w:val="fr"/>
        </w:rPr>
        <w:t>présentent aux services  d’accueil et d'urgence (SAU), soit avec une</w:t>
      </w:r>
      <w:r>
        <w:rPr>
          <w:lang w:val="fr"/>
        </w:rPr>
        <w:t xml:space="preserve"> douleur comme plainte principale</w:t>
      </w:r>
      <w:r w:rsidR="00DA166B">
        <w:rPr>
          <w:lang w:val="fr"/>
        </w:rPr>
        <w:t xml:space="preserve">, soit présente une </w:t>
      </w:r>
      <w:r>
        <w:rPr>
          <w:lang w:val="fr"/>
        </w:rPr>
        <w:t xml:space="preserve">douleur en raison d'une blessure ou d'une condition médicale.  Pendant de nombreuses années, les opioïdes ont été utilisés avec succès pour soulager la douleur aigue.  Avec l'augmentation récente de la dépendance aux opioïdes, souvent d'origine iatrogène, un médicament alternatif non opioïde et efficace pour soulager la douleur aigue est </w:t>
      </w:r>
      <w:r w:rsidR="00DA166B">
        <w:rPr>
          <w:lang w:val="fr"/>
        </w:rPr>
        <w:t xml:space="preserve">devenu </w:t>
      </w:r>
      <w:r>
        <w:rPr>
          <w:lang w:val="fr"/>
        </w:rPr>
        <w:t>souhaitable.  Des preuves récentes suggèrent que la kétamine puisse être une a</w:t>
      </w:r>
      <w:r w:rsidR="00DA166B">
        <w:rPr>
          <w:lang w:val="fr"/>
        </w:rPr>
        <w:t>lternative sûre et efficace à</w:t>
      </w:r>
      <w:r>
        <w:rPr>
          <w:lang w:val="fr"/>
        </w:rPr>
        <w:t xml:space="preserve"> l'analgésie opioïde.</w:t>
      </w:r>
    </w:p>
    <w:p w14:paraId="07277A98" w14:textId="1F10EBBF" w:rsidR="00657100" w:rsidRDefault="00657100" w:rsidP="00657100">
      <w:pPr>
        <w:pStyle w:val="Sansinterligne"/>
        <w:ind w:firstLine="360"/>
      </w:pPr>
      <w:proofErr w:type="spellStart"/>
      <w:r>
        <w:rPr>
          <w:lang w:val="fr"/>
        </w:rPr>
        <w:t>Karlow</w:t>
      </w:r>
      <w:proofErr w:type="spellEnd"/>
      <w:r>
        <w:rPr>
          <w:lang w:val="fr"/>
        </w:rPr>
        <w:t xml:space="preserve"> et coll. ont effectué une revue et une méta-analyse systématiques de la littérature médicale</w:t>
      </w:r>
      <w:r w:rsidR="00DA166B">
        <w:rPr>
          <w:lang w:val="fr"/>
        </w:rPr>
        <w:t>,</w:t>
      </w:r>
      <w:r>
        <w:rPr>
          <w:lang w:val="fr"/>
        </w:rPr>
        <w:t xml:space="preserve"> pour quantifie</w:t>
      </w:r>
      <w:r w:rsidR="00DA166B">
        <w:rPr>
          <w:lang w:val="fr"/>
        </w:rPr>
        <w:t>r l'efficacité pendant une</w:t>
      </w:r>
      <w:r>
        <w:rPr>
          <w:lang w:val="fr"/>
        </w:rPr>
        <w:t xml:space="preserve"> heure</w:t>
      </w:r>
      <w:r w:rsidR="00DA166B">
        <w:rPr>
          <w:lang w:val="fr"/>
        </w:rPr>
        <w:t>,</w:t>
      </w:r>
      <w:r>
        <w:rPr>
          <w:lang w:val="fr"/>
        </w:rPr>
        <w:t xml:space="preserve"> d'une se</w:t>
      </w:r>
      <w:r w:rsidR="00DA166B">
        <w:rPr>
          <w:lang w:val="fr"/>
        </w:rPr>
        <w:t>ule dose faible de kétamine donnée en bolus</w:t>
      </w:r>
      <w:r>
        <w:rPr>
          <w:lang w:val="fr"/>
        </w:rPr>
        <w:t xml:space="preserve"> IV</w:t>
      </w:r>
      <w:r w:rsidR="00DA166B">
        <w:rPr>
          <w:lang w:val="fr"/>
        </w:rPr>
        <w:t>,</w:t>
      </w:r>
      <w:r>
        <w:rPr>
          <w:lang w:val="fr"/>
        </w:rPr>
        <w:t xml:space="preserve"> </w:t>
      </w:r>
      <w:r>
        <w:rPr>
          <w:lang w:val="fr"/>
        </w:rPr>
        <w:lastRenderedPageBreak/>
        <w:t>pour soulager la douleur.  Pour être inclus dans la méta-analyse, les essais devaient répondre à cinq critères :</w:t>
      </w:r>
    </w:p>
    <w:p w14:paraId="1096DA42" w14:textId="4F90E7D1" w:rsidR="00657100" w:rsidRDefault="00DA166B" w:rsidP="00657100">
      <w:pPr>
        <w:pStyle w:val="Sansinterligne"/>
        <w:numPr>
          <w:ilvl w:val="0"/>
          <w:numId w:val="19"/>
        </w:numPr>
      </w:pPr>
      <w:r>
        <w:rPr>
          <w:lang w:val="fr"/>
        </w:rPr>
        <w:t>Il devait s'agir d'essais comparatifs</w:t>
      </w:r>
      <w:r w:rsidR="00657100">
        <w:rPr>
          <w:lang w:val="fr"/>
        </w:rPr>
        <w:t xml:space="preserve"> randomisés.</w:t>
      </w:r>
    </w:p>
    <w:p w14:paraId="063FE2EF" w14:textId="1F2D16E4" w:rsidR="00657100" w:rsidRDefault="00657100" w:rsidP="00657100">
      <w:pPr>
        <w:pStyle w:val="Sansinterligne"/>
        <w:numPr>
          <w:ilvl w:val="0"/>
          <w:numId w:val="19"/>
        </w:numPr>
      </w:pPr>
      <w:r>
        <w:rPr>
          <w:lang w:val="fr"/>
        </w:rPr>
        <w:t>Les essais devaient comparer l'efficacité d'une seule dose de kétamine à un opio</w:t>
      </w:r>
      <w:r w:rsidR="00DA166B">
        <w:rPr>
          <w:lang w:val="fr"/>
        </w:rPr>
        <w:t>ïde qui a été converti en dose</w:t>
      </w:r>
      <w:r>
        <w:rPr>
          <w:lang w:val="fr"/>
        </w:rPr>
        <w:t xml:space="preserve"> équivalent morphine avec un changement dans</w:t>
      </w:r>
      <w:r w:rsidR="00DA166B">
        <w:rPr>
          <w:lang w:val="fr"/>
        </w:rPr>
        <w:t xml:space="preserve"> le score visuel analogique (SVA</w:t>
      </w:r>
      <w:r>
        <w:rPr>
          <w:lang w:val="fr"/>
        </w:rPr>
        <w:t>) ou numeric Rating Score (NRS) de la douleur</w:t>
      </w:r>
      <w:r w:rsidR="00DA166B">
        <w:rPr>
          <w:lang w:val="fr"/>
        </w:rPr>
        <w:t>,</w:t>
      </w:r>
      <w:r>
        <w:rPr>
          <w:lang w:val="fr"/>
        </w:rPr>
        <w:t xml:space="preserve"> dans les 60 minutes suivant l'administration.</w:t>
      </w:r>
    </w:p>
    <w:p w14:paraId="5BF18CD7" w14:textId="1FEB2F43" w:rsidR="00657100" w:rsidRDefault="00657100" w:rsidP="00657100">
      <w:pPr>
        <w:pStyle w:val="Sansinterligne"/>
        <w:numPr>
          <w:ilvl w:val="0"/>
          <w:numId w:val="19"/>
        </w:numPr>
      </w:pPr>
      <w:r>
        <w:rPr>
          <w:lang w:val="fr"/>
        </w:rPr>
        <w:t xml:space="preserve">Les essais devaient être </w:t>
      </w:r>
      <w:r w:rsidR="00DA166B">
        <w:rPr>
          <w:lang w:val="fr"/>
        </w:rPr>
        <w:t>effectués dans le cadre d'un SAU</w:t>
      </w:r>
      <w:r>
        <w:rPr>
          <w:lang w:val="fr"/>
        </w:rPr>
        <w:t>.</w:t>
      </w:r>
    </w:p>
    <w:p w14:paraId="5CB4FFC7" w14:textId="6D1F3B47" w:rsidR="00657100" w:rsidRDefault="00657100" w:rsidP="00657100">
      <w:pPr>
        <w:pStyle w:val="Sansinterligne"/>
        <w:numPr>
          <w:ilvl w:val="0"/>
          <w:numId w:val="19"/>
        </w:numPr>
      </w:pPr>
      <w:r>
        <w:rPr>
          <w:lang w:val="fr"/>
        </w:rPr>
        <w:t>L</w:t>
      </w:r>
      <w:r w:rsidR="00DA166B">
        <w:rPr>
          <w:lang w:val="fr"/>
        </w:rPr>
        <w:t>es patients devaient être tous d</w:t>
      </w:r>
      <w:r>
        <w:rPr>
          <w:lang w:val="fr"/>
        </w:rPr>
        <w:t>es adultes avec une plain</w:t>
      </w:r>
      <w:r w:rsidR="00DA166B">
        <w:rPr>
          <w:lang w:val="fr"/>
        </w:rPr>
        <w:t>te algique</w:t>
      </w:r>
      <w:r>
        <w:rPr>
          <w:lang w:val="fr"/>
        </w:rPr>
        <w:t>.</w:t>
      </w:r>
    </w:p>
    <w:p w14:paraId="26C54FCF" w14:textId="77777777" w:rsidR="00657100" w:rsidRDefault="00657100" w:rsidP="00657100">
      <w:pPr>
        <w:pStyle w:val="Sansinterligne"/>
        <w:numPr>
          <w:ilvl w:val="0"/>
          <w:numId w:val="19"/>
        </w:numPr>
      </w:pPr>
      <w:r>
        <w:rPr>
          <w:lang w:val="fr"/>
        </w:rPr>
        <w:t>Enfin, toutes les études devaient être publiées en anglais.</w:t>
      </w:r>
    </w:p>
    <w:p w14:paraId="7A937BDB" w14:textId="5CF0DDFD" w:rsidR="00657100" w:rsidRDefault="00657100" w:rsidP="00657100">
      <w:pPr>
        <w:pStyle w:val="Sansinterligne"/>
        <w:ind w:firstLine="360"/>
      </w:pPr>
      <w:r>
        <w:rPr>
          <w:lang w:val="fr"/>
        </w:rPr>
        <w:t xml:space="preserve">Inversement, les critères d'exclusion pour </w:t>
      </w:r>
      <w:r w:rsidR="00DA166B">
        <w:rPr>
          <w:lang w:val="fr"/>
        </w:rPr>
        <w:t xml:space="preserve">les essais n'étaient pas de SVA ou de </w:t>
      </w:r>
      <w:r>
        <w:rPr>
          <w:lang w:val="fr"/>
        </w:rPr>
        <w:t>SNR documentés, l'utilisation d'un groupe placebo ou la co-administration d'un autre médicament dans les vingt minutes suivant l'administration de la kétamine ou des opioïdes.  Trois essais répondaient aux critères d'inclusion et d'exclusion et comprenaient 261 patients adultes.</w:t>
      </w:r>
    </w:p>
    <w:p w14:paraId="07038197" w14:textId="65C7D7B9" w:rsidR="00657100" w:rsidRDefault="00657100" w:rsidP="00657100">
      <w:pPr>
        <w:pStyle w:val="Sansinterligne"/>
        <w:ind w:firstLine="360"/>
      </w:pPr>
      <w:r>
        <w:rPr>
          <w:lang w:val="fr"/>
        </w:rPr>
        <w:t>Sur la base de leu</w:t>
      </w:r>
      <w:r w:rsidR="00DA166B">
        <w:rPr>
          <w:lang w:val="fr"/>
        </w:rPr>
        <w:t>r méta-analyse, les auteurs pens</w:t>
      </w:r>
      <w:r>
        <w:rPr>
          <w:lang w:val="fr"/>
        </w:rPr>
        <w:t xml:space="preserve">ent que la kétamine à faible dose est une option de </w:t>
      </w:r>
      <w:r w:rsidR="00DA166B">
        <w:rPr>
          <w:lang w:val="fr"/>
        </w:rPr>
        <w:t>traitement sûre et efficace de</w:t>
      </w:r>
      <w:r>
        <w:rPr>
          <w:lang w:val="fr"/>
        </w:rPr>
        <w:t xml:space="preserve"> la douleur aigue aux urgences</w:t>
      </w:r>
      <w:r w:rsidR="00DA166B">
        <w:rPr>
          <w:lang w:val="fr"/>
        </w:rPr>
        <w:t xml:space="preserve">, </w:t>
      </w:r>
      <w:r>
        <w:rPr>
          <w:lang w:val="fr"/>
        </w:rPr>
        <w:t xml:space="preserve">et n'est pas inférieure à l'utilisation de </w:t>
      </w:r>
      <w:r w:rsidR="00DA166B">
        <w:rPr>
          <w:lang w:val="fr"/>
        </w:rPr>
        <w:t xml:space="preserve">la </w:t>
      </w:r>
      <w:r>
        <w:rPr>
          <w:lang w:val="fr"/>
        </w:rPr>
        <w:t>morphine. Ils estimaient que leurs résultats étaient compatibles ave</w:t>
      </w:r>
      <w:r w:rsidR="00DA166B">
        <w:rPr>
          <w:lang w:val="fr"/>
        </w:rPr>
        <w:t>c d'autres études plus générales</w:t>
      </w:r>
      <w:r>
        <w:rPr>
          <w:lang w:val="fr"/>
        </w:rPr>
        <w:t>.</w:t>
      </w:r>
    </w:p>
    <w:p w14:paraId="2C8F293E" w14:textId="3027836A" w:rsidR="00943813" w:rsidRPr="00BD171A" w:rsidRDefault="00657100" w:rsidP="00657100">
      <w:pPr>
        <w:pStyle w:val="Sansinterligne"/>
        <w:ind w:firstLine="360"/>
      </w:pPr>
      <w:r>
        <w:rPr>
          <w:lang w:val="fr"/>
        </w:rPr>
        <w:t>Cette étude s'ajoute à l'ensemble croissant de preuves</w:t>
      </w:r>
      <w:r w:rsidR="007E41DF">
        <w:rPr>
          <w:lang w:val="fr"/>
        </w:rPr>
        <w:t>,</w:t>
      </w:r>
      <w:r>
        <w:rPr>
          <w:lang w:val="fr"/>
        </w:rPr>
        <w:t xml:space="preserve"> que la kétamine à faible dose</w:t>
      </w:r>
      <w:r w:rsidR="007E41DF">
        <w:rPr>
          <w:lang w:val="fr"/>
        </w:rPr>
        <w:t>, pour soulager une douleur aigue, est une alternative f</w:t>
      </w:r>
      <w:r>
        <w:rPr>
          <w:lang w:val="fr"/>
        </w:rPr>
        <w:t>iable aux opioïdes</w:t>
      </w:r>
      <w:r w:rsidR="007E41DF">
        <w:rPr>
          <w:lang w:val="fr"/>
        </w:rPr>
        <w:t xml:space="preserve">, à la fois au SAU mais aussi en </w:t>
      </w:r>
      <w:proofErr w:type="spellStart"/>
      <w:r w:rsidR="007E41DF">
        <w:rPr>
          <w:lang w:val="fr"/>
        </w:rPr>
        <w:t>préhospitalier</w:t>
      </w:r>
      <w:proofErr w:type="spellEnd"/>
      <w:r w:rsidR="007E41DF">
        <w:rPr>
          <w:lang w:val="fr"/>
        </w:rPr>
        <w:t xml:space="preserve">. </w:t>
      </w:r>
    </w:p>
    <w:p w14:paraId="7E4101B2" w14:textId="77777777" w:rsidR="007E41DF" w:rsidRPr="00BD171A" w:rsidRDefault="007E41DF">
      <w:pPr>
        <w:pStyle w:val="Sansinterligne"/>
        <w:ind w:firstLine="360"/>
      </w:pPr>
    </w:p>
    <w:sectPr w:rsidR="007E41DF" w:rsidRPr="00BD171A">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09FD5" w14:textId="77777777" w:rsidR="002736F8" w:rsidRDefault="002736F8" w:rsidP="00CC1ECE">
      <w:pPr>
        <w:spacing w:after="0" w:line="240" w:lineRule="auto"/>
      </w:pPr>
      <w:r>
        <w:rPr>
          <w:lang w:val="fr"/>
        </w:rPr>
        <w:separator/>
      </w:r>
    </w:p>
  </w:endnote>
  <w:endnote w:type="continuationSeparator" w:id="0">
    <w:p w14:paraId="1B67651D" w14:textId="77777777" w:rsidR="002736F8" w:rsidRDefault="002736F8" w:rsidP="00CC1ECE">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019AC" w14:textId="77777777" w:rsidR="00EC556A" w:rsidRPr="00CC0C6C" w:rsidRDefault="00EC556A" w:rsidP="00EC556A">
    <w:pPr>
      <w:pStyle w:val="Pieddepage"/>
      <w:jc w:val="center"/>
      <w:rPr>
        <w:b/>
      </w:rPr>
    </w:pPr>
    <w:r w:rsidRPr="00CC0C6C">
      <w:rPr>
        <w:b/>
        <w:lang w:val="fr"/>
      </w:rPr>
      <w:t>www.IPHMI.com</w:t>
    </w:r>
  </w:p>
  <w:p w14:paraId="29F5D82B" w14:textId="77777777" w:rsidR="00EC556A" w:rsidRDefault="00EC55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8D2CD" w14:textId="77777777" w:rsidR="002736F8" w:rsidRDefault="002736F8" w:rsidP="00CC1ECE">
      <w:pPr>
        <w:spacing w:after="0" w:line="240" w:lineRule="auto"/>
      </w:pPr>
      <w:r>
        <w:rPr>
          <w:lang w:val="fr"/>
        </w:rPr>
        <w:separator/>
      </w:r>
    </w:p>
  </w:footnote>
  <w:footnote w:type="continuationSeparator" w:id="0">
    <w:p w14:paraId="4ECB80AF" w14:textId="77777777" w:rsidR="002736F8" w:rsidRDefault="002736F8" w:rsidP="00CC1ECE">
      <w:pPr>
        <w:spacing w:after="0" w:line="240" w:lineRule="auto"/>
      </w:pPr>
      <w:r>
        <w:rPr>
          <w:lang w:val="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D7DEA" w14:textId="77777777" w:rsidR="00EC556A" w:rsidRPr="00CC0C6C" w:rsidRDefault="00EC556A" w:rsidP="00EC556A">
    <w:pPr>
      <w:pStyle w:val="En-tte"/>
      <w:jc w:val="center"/>
      <w:rPr>
        <w:b/>
        <w:i/>
        <w:sz w:val="36"/>
        <w:u w:val="single"/>
      </w:rPr>
    </w:pPr>
    <w:r w:rsidRPr="00CC0C6C">
      <w:rPr>
        <w:b/>
        <w:i/>
        <w:sz w:val="36"/>
        <w:u w:val="single"/>
        <w:lang w:val="fr"/>
      </w:rPr>
      <w:t>Institut international de médecine préhospitalière</w:t>
    </w:r>
  </w:p>
  <w:p w14:paraId="220436C7" w14:textId="77777777" w:rsidR="00EC556A" w:rsidRDefault="00EC556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B05C02"/>
    <w:multiLevelType w:val="hybridMultilevel"/>
    <w:tmpl w:val="C32A9CBA"/>
    <w:lvl w:ilvl="0" w:tplc="9C1433B6">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C3535"/>
    <w:multiLevelType w:val="hybridMultilevel"/>
    <w:tmpl w:val="B302DC22"/>
    <w:lvl w:ilvl="0" w:tplc="C346EE3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9C49AA"/>
    <w:multiLevelType w:val="hybridMultilevel"/>
    <w:tmpl w:val="675ED7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962C4E"/>
    <w:multiLevelType w:val="hybridMultilevel"/>
    <w:tmpl w:val="D8E41C98"/>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3007C"/>
    <w:multiLevelType w:val="hybridMultilevel"/>
    <w:tmpl w:val="A6EE6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61334D"/>
    <w:multiLevelType w:val="hybridMultilevel"/>
    <w:tmpl w:val="7090A6F4"/>
    <w:lvl w:ilvl="0" w:tplc="46B4CE3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D1A4A04"/>
    <w:multiLevelType w:val="hybridMultilevel"/>
    <w:tmpl w:val="987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54000F"/>
    <w:multiLevelType w:val="hybridMultilevel"/>
    <w:tmpl w:val="E1AA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372D19"/>
    <w:multiLevelType w:val="hybridMultilevel"/>
    <w:tmpl w:val="F0F45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CBE06F7"/>
    <w:multiLevelType w:val="hybridMultilevel"/>
    <w:tmpl w:val="58284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3"/>
  </w:num>
  <w:num w:numId="3">
    <w:abstractNumId w:val="12"/>
  </w:num>
  <w:num w:numId="4">
    <w:abstractNumId w:val="18"/>
  </w:num>
  <w:num w:numId="5">
    <w:abstractNumId w:val="3"/>
  </w:num>
  <w:num w:numId="6">
    <w:abstractNumId w:val="16"/>
  </w:num>
  <w:num w:numId="7">
    <w:abstractNumId w:val="17"/>
  </w:num>
  <w:num w:numId="8">
    <w:abstractNumId w:val="2"/>
  </w:num>
  <w:num w:numId="9">
    <w:abstractNumId w:val="19"/>
  </w:num>
  <w:num w:numId="10">
    <w:abstractNumId w:val="15"/>
  </w:num>
  <w:num w:numId="11">
    <w:abstractNumId w:val="0"/>
  </w:num>
  <w:num w:numId="12">
    <w:abstractNumId w:val="4"/>
  </w:num>
  <w:num w:numId="13">
    <w:abstractNumId w:val="7"/>
  </w:num>
  <w:num w:numId="14">
    <w:abstractNumId w:val="5"/>
  </w:num>
  <w:num w:numId="15">
    <w:abstractNumId w:val="14"/>
  </w:num>
  <w:num w:numId="16">
    <w:abstractNumId w:val="1"/>
  </w:num>
  <w:num w:numId="17">
    <w:abstractNumId w:val="8"/>
  </w:num>
  <w:num w:numId="18">
    <w:abstractNumId w:val="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B7"/>
    <w:rsid w:val="00000FEC"/>
    <w:rsid w:val="00022155"/>
    <w:rsid w:val="00046471"/>
    <w:rsid w:val="00053DC7"/>
    <w:rsid w:val="00096298"/>
    <w:rsid w:val="000A39D8"/>
    <w:rsid w:val="000B2DC9"/>
    <w:rsid w:val="000B381C"/>
    <w:rsid w:val="000B5810"/>
    <w:rsid w:val="000E1EEE"/>
    <w:rsid w:val="0012112A"/>
    <w:rsid w:val="001465D4"/>
    <w:rsid w:val="001A2AF5"/>
    <w:rsid w:val="001F7C77"/>
    <w:rsid w:val="00221F53"/>
    <w:rsid w:val="0024264F"/>
    <w:rsid w:val="002736F8"/>
    <w:rsid w:val="00281AA8"/>
    <w:rsid w:val="002910C5"/>
    <w:rsid w:val="002A448D"/>
    <w:rsid w:val="002D385C"/>
    <w:rsid w:val="003331AA"/>
    <w:rsid w:val="00362F86"/>
    <w:rsid w:val="00363F26"/>
    <w:rsid w:val="003800B3"/>
    <w:rsid w:val="00391318"/>
    <w:rsid w:val="00392C1F"/>
    <w:rsid w:val="003A551F"/>
    <w:rsid w:val="003B7857"/>
    <w:rsid w:val="003E5A40"/>
    <w:rsid w:val="003F4BB7"/>
    <w:rsid w:val="00404F6F"/>
    <w:rsid w:val="0041124D"/>
    <w:rsid w:val="004149C2"/>
    <w:rsid w:val="00424314"/>
    <w:rsid w:val="0049245A"/>
    <w:rsid w:val="00493BCD"/>
    <w:rsid w:val="004A2499"/>
    <w:rsid w:val="004B7EE3"/>
    <w:rsid w:val="005217D8"/>
    <w:rsid w:val="00523D0F"/>
    <w:rsid w:val="00530542"/>
    <w:rsid w:val="005B3228"/>
    <w:rsid w:val="005D21B6"/>
    <w:rsid w:val="0060639D"/>
    <w:rsid w:val="00612DB7"/>
    <w:rsid w:val="0062363F"/>
    <w:rsid w:val="00632D45"/>
    <w:rsid w:val="00643503"/>
    <w:rsid w:val="0064535D"/>
    <w:rsid w:val="00657100"/>
    <w:rsid w:val="00695417"/>
    <w:rsid w:val="006A73E8"/>
    <w:rsid w:val="006B4BCB"/>
    <w:rsid w:val="006B4C49"/>
    <w:rsid w:val="006C28B6"/>
    <w:rsid w:val="006E632D"/>
    <w:rsid w:val="006F7C8E"/>
    <w:rsid w:val="007419D9"/>
    <w:rsid w:val="007C7235"/>
    <w:rsid w:val="007E41DF"/>
    <w:rsid w:val="007F3B34"/>
    <w:rsid w:val="00825722"/>
    <w:rsid w:val="008363AF"/>
    <w:rsid w:val="00837F82"/>
    <w:rsid w:val="00852D41"/>
    <w:rsid w:val="008A0008"/>
    <w:rsid w:val="008B13F0"/>
    <w:rsid w:val="008B6898"/>
    <w:rsid w:val="008C2DA9"/>
    <w:rsid w:val="008E2104"/>
    <w:rsid w:val="008E502B"/>
    <w:rsid w:val="00912F3D"/>
    <w:rsid w:val="00943813"/>
    <w:rsid w:val="00987228"/>
    <w:rsid w:val="009A5621"/>
    <w:rsid w:val="009D2B40"/>
    <w:rsid w:val="00A12D76"/>
    <w:rsid w:val="00A33F37"/>
    <w:rsid w:val="00A36579"/>
    <w:rsid w:val="00A55EE6"/>
    <w:rsid w:val="00A66C04"/>
    <w:rsid w:val="00A73410"/>
    <w:rsid w:val="00A911CE"/>
    <w:rsid w:val="00AD7ED9"/>
    <w:rsid w:val="00B50275"/>
    <w:rsid w:val="00B5424E"/>
    <w:rsid w:val="00B766E6"/>
    <w:rsid w:val="00BD171A"/>
    <w:rsid w:val="00BE7361"/>
    <w:rsid w:val="00C07D4B"/>
    <w:rsid w:val="00C627AA"/>
    <w:rsid w:val="00C704D2"/>
    <w:rsid w:val="00C7369A"/>
    <w:rsid w:val="00C97C08"/>
    <w:rsid w:val="00CC1ECE"/>
    <w:rsid w:val="00CF2E82"/>
    <w:rsid w:val="00D21EC7"/>
    <w:rsid w:val="00D27263"/>
    <w:rsid w:val="00D37183"/>
    <w:rsid w:val="00D50450"/>
    <w:rsid w:val="00D6189B"/>
    <w:rsid w:val="00D764C8"/>
    <w:rsid w:val="00D80B58"/>
    <w:rsid w:val="00DA166B"/>
    <w:rsid w:val="00DB3A89"/>
    <w:rsid w:val="00DC0273"/>
    <w:rsid w:val="00DC08A7"/>
    <w:rsid w:val="00DC1BDF"/>
    <w:rsid w:val="00E06170"/>
    <w:rsid w:val="00E067C2"/>
    <w:rsid w:val="00E21606"/>
    <w:rsid w:val="00E918D6"/>
    <w:rsid w:val="00EC556A"/>
    <w:rsid w:val="00F04F34"/>
    <w:rsid w:val="00F246AC"/>
    <w:rsid w:val="00F30BD1"/>
    <w:rsid w:val="00F36AD9"/>
    <w:rsid w:val="00F53FEE"/>
    <w:rsid w:val="00F80497"/>
    <w:rsid w:val="00F921FA"/>
    <w:rsid w:val="00FA51B5"/>
    <w:rsid w:val="00FD74A5"/>
    <w:rsid w:val="00FE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9D9"/>
    <w:pPr>
      <w:ind w:left="720"/>
      <w:contextualSpacing/>
    </w:pPr>
  </w:style>
  <w:style w:type="character" w:customStyle="1" w:styleId="journaltitlesp1">
    <w:name w:val="journaltitlesp1"/>
    <w:basedOn w:val="Policepardfaut"/>
    <w:rsid w:val="00523D0F"/>
    <w:rPr>
      <w:i/>
      <w:iCs/>
    </w:rPr>
  </w:style>
  <w:style w:type="character" w:customStyle="1" w:styleId="issuevolsp">
    <w:name w:val="issuevolsp"/>
    <w:basedOn w:val="Policepardfaut"/>
    <w:rsid w:val="00523D0F"/>
  </w:style>
  <w:style w:type="character" w:customStyle="1" w:styleId="pagerange">
    <w:name w:val="pagerange"/>
    <w:basedOn w:val="Policepardfaut"/>
    <w:rsid w:val="00523D0F"/>
  </w:style>
  <w:style w:type="paragraph" w:styleId="Textedebulles">
    <w:name w:val="Balloon Text"/>
    <w:basedOn w:val="Normal"/>
    <w:link w:val="TextedebullesCar"/>
    <w:uiPriority w:val="99"/>
    <w:semiHidden/>
    <w:unhideWhenUsed/>
    <w:rsid w:val="007C7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235"/>
    <w:rPr>
      <w:rFonts w:ascii="Tahoma" w:hAnsi="Tahoma" w:cs="Tahoma"/>
      <w:sz w:val="16"/>
      <w:szCs w:val="16"/>
    </w:rPr>
  </w:style>
  <w:style w:type="paragraph" w:styleId="Sansinterligne">
    <w:name w:val="No Spacing"/>
    <w:uiPriority w:val="1"/>
    <w:qFormat/>
    <w:rsid w:val="00B5424E"/>
    <w:pPr>
      <w:spacing w:after="0" w:line="240" w:lineRule="auto"/>
    </w:pPr>
  </w:style>
  <w:style w:type="paragraph" w:styleId="En-tte">
    <w:name w:val="header"/>
    <w:basedOn w:val="Normal"/>
    <w:link w:val="En-tteCar"/>
    <w:uiPriority w:val="99"/>
    <w:unhideWhenUsed/>
    <w:rsid w:val="00CC1ECE"/>
    <w:pPr>
      <w:tabs>
        <w:tab w:val="center" w:pos="4680"/>
        <w:tab w:val="right" w:pos="9360"/>
      </w:tabs>
      <w:spacing w:after="0" w:line="240" w:lineRule="auto"/>
    </w:pPr>
  </w:style>
  <w:style w:type="character" w:customStyle="1" w:styleId="En-tteCar">
    <w:name w:val="En-tête Car"/>
    <w:basedOn w:val="Policepardfaut"/>
    <w:link w:val="En-tte"/>
    <w:uiPriority w:val="99"/>
    <w:rsid w:val="00CC1ECE"/>
  </w:style>
  <w:style w:type="paragraph" w:styleId="Pieddepage">
    <w:name w:val="footer"/>
    <w:basedOn w:val="Normal"/>
    <w:link w:val="PieddepageCar"/>
    <w:uiPriority w:val="99"/>
    <w:unhideWhenUsed/>
    <w:rsid w:val="00CC1EC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C1ECE"/>
  </w:style>
  <w:style w:type="character" w:styleId="Lienhypertexte">
    <w:name w:val="Hyperlink"/>
    <w:basedOn w:val="Policepardfaut"/>
    <w:uiPriority w:val="99"/>
    <w:unhideWhenUsed/>
    <w:rsid w:val="00943813"/>
    <w:rPr>
      <w:color w:val="0000FF" w:themeColor="hyperlink"/>
      <w:u w:val="single"/>
    </w:rPr>
  </w:style>
  <w:style w:type="character" w:styleId="Textedelespacerserv">
    <w:name w:val="Placeholder Text"/>
    <w:basedOn w:val="Policepardfaut"/>
    <w:uiPriority w:val="99"/>
    <w:semiHidden/>
    <w:rsid w:val="008B13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19D9"/>
    <w:pPr>
      <w:ind w:left="720"/>
      <w:contextualSpacing/>
    </w:pPr>
  </w:style>
  <w:style w:type="character" w:customStyle="1" w:styleId="journaltitlesp1">
    <w:name w:val="journaltitlesp1"/>
    <w:basedOn w:val="Policepardfaut"/>
    <w:rsid w:val="00523D0F"/>
    <w:rPr>
      <w:i/>
      <w:iCs/>
    </w:rPr>
  </w:style>
  <w:style w:type="character" w:customStyle="1" w:styleId="issuevolsp">
    <w:name w:val="issuevolsp"/>
    <w:basedOn w:val="Policepardfaut"/>
    <w:rsid w:val="00523D0F"/>
  </w:style>
  <w:style w:type="character" w:customStyle="1" w:styleId="pagerange">
    <w:name w:val="pagerange"/>
    <w:basedOn w:val="Policepardfaut"/>
    <w:rsid w:val="00523D0F"/>
  </w:style>
  <w:style w:type="paragraph" w:styleId="Textedebulles">
    <w:name w:val="Balloon Text"/>
    <w:basedOn w:val="Normal"/>
    <w:link w:val="TextedebullesCar"/>
    <w:uiPriority w:val="99"/>
    <w:semiHidden/>
    <w:unhideWhenUsed/>
    <w:rsid w:val="007C72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7235"/>
    <w:rPr>
      <w:rFonts w:ascii="Tahoma" w:hAnsi="Tahoma" w:cs="Tahoma"/>
      <w:sz w:val="16"/>
      <w:szCs w:val="16"/>
    </w:rPr>
  </w:style>
  <w:style w:type="paragraph" w:styleId="Sansinterligne">
    <w:name w:val="No Spacing"/>
    <w:uiPriority w:val="1"/>
    <w:qFormat/>
    <w:rsid w:val="00B5424E"/>
    <w:pPr>
      <w:spacing w:after="0" w:line="240" w:lineRule="auto"/>
    </w:pPr>
  </w:style>
  <w:style w:type="paragraph" w:styleId="En-tte">
    <w:name w:val="header"/>
    <w:basedOn w:val="Normal"/>
    <w:link w:val="En-tteCar"/>
    <w:uiPriority w:val="99"/>
    <w:unhideWhenUsed/>
    <w:rsid w:val="00CC1ECE"/>
    <w:pPr>
      <w:tabs>
        <w:tab w:val="center" w:pos="4680"/>
        <w:tab w:val="right" w:pos="9360"/>
      </w:tabs>
      <w:spacing w:after="0" w:line="240" w:lineRule="auto"/>
    </w:pPr>
  </w:style>
  <w:style w:type="character" w:customStyle="1" w:styleId="En-tteCar">
    <w:name w:val="En-tête Car"/>
    <w:basedOn w:val="Policepardfaut"/>
    <w:link w:val="En-tte"/>
    <w:uiPriority w:val="99"/>
    <w:rsid w:val="00CC1ECE"/>
  </w:style>
  <w:style w:type="paragraph" w:styleId="Pieddepage">
    <w:name w:val="footer"/>
    <w:basedOn w:val="Normal"/>
    <w:link w:val="PieddepageCar"/>
    <w:uiPriority w:val="99"/>
    <w:unhideWhenUsed/>
    <w:rsid w:val="00CC1EC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C1ECE"/>
  </w:style>
  <w:style w:type="character" w:styleId="Lienhypertexte">
    <w:name w:val="Hyperlink"/>
    <w:basedOn w:val="Policepardfaut"/>
    <w:uiPriority w:val="99"/>
    <w:unhideWhenUsed/>
    <w:rsid w:val="00943813"/>
    <w:rPr>
      <w:color w:val="0000FF" w:themeColor="hyperlink"/>
      <w:u w:val="single"/>
    </w:rPr>
  </w:style>
  <w:style w:type="character" w:styleId="Textedelespacerserv">
    <w:name w:val="Placeholder Text"/>
    <w:basedOn w:val="Policepardfaut"/>
    <w:uiPriority w:val="99"/>
    <w:semiHidden/>
    <w:rsid w:val="008B13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2562</Words>
  <Characters>14093</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Goulesque Bruno Maurice</cp:lastModifiedBy>
  <cp:revision>8</cp:revision>
  <cp:lastPrinted>2019-06-02T17:41:00Z</cp:lastPrinted>
  <dcterms:created xsi:type="dcterms:W3CDTF">2019-08-04T20:10:00Z</dcterms:created>
  <dcterms:modified xsi:type="dcterms:W3CDTF">2020-02-12T14:24:00Z</dcterms:modified>
</cp:coreProperties>
</file>