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F3305" w14:textId="3199EA98" w:rsidR="00D27263" w:rsidRDefault="00C627AA" w:rsidP="00D27263">
      <w:pPr>
        <w:spacing w:after="0"/>
        <w:rPr>
          <w:sz w:val="48"/>
        </w:rPr>
      </w:pPr>
      <w:r>
        <w:rPr>
          <w:b/>
          <w:noProof/>
        </w:rPr>
        <w:drawing>
          <wp:inline distT="0" distB="0" distL="0" distR="0" wp14:anchorId="6C179750" wp14:editId="6014B8CB">
            <wp:extent cx="956945" cy="9569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27263">
        <w:rPr>
          <w:b/>
        </w:rPr>
        <w:t xml:space="preserve">        </w:t>
      </w:r>
      <w:r w:rsidR="009274C6" w:rsidRPr="00323738">
        <w:rPr>
          <w:sz w:val="40"/>
        </w:rPr>
        <w:t>Revi</w:t>
      </w:r>
      <w:r w:rsidR="009274C6">
        <w:rPr>
          <w:sz w:val="40"/>
        </w:rPr>
        <w:t xml:space="preserve">são de Literatura do </w:t>
      </w:r>
      <w:r w:rsidR="00D27263">
        <w:rPr>
          <w:sz w:val="40"/>
        </w:rPr>
        <w:t xml:space="preserve">IPHMI </w:t>
      </w:r>
      <w:r w:rsidR="00D27263">
        <w:rPr>
          <w:b/>
          <w:noProof/>
        </w:rPr>
        <w:drawing>
          <wp:inline distT="0" distB="0" distL="0" distR="0" wp14:anchorId="160230C5" wp14:editId="6D15B40E">
            <wp:extent cx="1402080" cy="881243"/>
            <wp:effectExtent l="19050" t="19050" r="26670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rnlCoversS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989" cy="901298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250C81" w14:textId="726D5FEA" w:rsidR="00D27263" w:rsidRPr="00323738" w:rsidRDefault="009274C6" w:rsidP="00D27263">
      <w:pPr>
        <w:jc w:val="center"/>
        <w:rPr>
          <w:sz w:val="28"/>
          <w:szCs w:val="28"/>
        </w:rPr>
      </w:pPr>
      <w:r>
        <w:rPr>
          <w:sz w:val="28"/>
          <w:szCs w:val="28"/>
        </w:rPr>
        <w:t>Mantendo você atualizado por meio dos estudos mais atuais relacionados ao atendimento pré-hospitalar</w:t>
      </w:r>
    </w:p>
    <w:p w14:paraId="055D617F" w14:textId="1F9F0FE2" w:rsidR="00D27263" w:rsidRDefault="00AF3DA0" w:rsidP="00AF3DA0">
      <w:pPr>
        <w:ind w:left="2160" w:firstLine="720"/>
      </w:pPr>
      <w:r>
        <w:rPr>
          <w:sz w:val="48"/>
        </w:rPr>
        <w:t xml:space="preserve">        </w:t>
      </w:r>
      <w:bookmarkStart w:id="0" w:name="_GoBack"/>
      <w:bookmarkEnd w:id="0"/>
      <w:r w:rsidR="00046471">
        <w:rPr>
          <w:sz w:val="48"/>
        </w:rPr>
        <w:t>V</w:t>
      </w:r>
      <w:r w:rsidR="00E06170">
        <w:rPr>
          <w:sz w:val="48"/>
        </w:rPr>
        <w:t>ol</w:t>
      </w:r>
      <w:r w:rsidR="00046471">
        <w:rPr>
          <w:sz w:val="48"/>
        </w:rPr>
        <w:t>. 1</w:t>
      </w:r>
      <w:r w:rsidR="004B7EE3">
        <w:rPr>
          <w:sz w:val="48"/>
        </w:rPr>
        <w:t>.9</w:t>
      </w:r>
    </w:p>
    <w:p w14:paraId="6A71F431" w14:textId="6248C221" w:rsidR="006F7C8E" w:rsidRPr="002A0709" w:rsidRDefault="00242A73" w:rsidP="00BE7361">
      <w:pPr>
        <w:pStyle w:val="PargrafodaLista"/>
        <w:numPr>
          <w:ilvl w:val="0"/>
          <w:numId w:val="1"/>
        </w:numPr>
        <w:rPr>
          <w:rFonts w:cstheme="minorHAnsi"/>
          <w:lang w:val="en-US"/>
        </w:rPr>
      </w:pPr>
      <w:r w:rsidRPr="007C17A2">
        <w:rPr>
          <w:rFonts w:cstheme="minorHAnsi"/>
          <w:b/>
          <w:lang w:val="pt-PT"/>
        </w:rPr>
        <w:t>C</w:t>
      </w:r>
      <w:r w:rsidR="00C16585">
        <w:rPr>
          <w:rFonts w:cstheme="minorHAnsi"/>
          <w:b/>
          <w:lang w:val="pt-PT"/>
        </w:rPr>
        <w:t>ut and Rip</w:t>
      </w:r>
      <w:r w:rsidRPr="007C17A2">
        <w:rPr>
          <w:rFonts w:cstheme="minorHAnsi"/>
          <w:b/>
          <w:lang w:val="pt-PT"/>
        </w:rPr>
        <w:t xml:space="preserve"> e </w:t>
      </w:r>
      <w:r w:rsidR="002B35F0">
        <w:rPr>
          <w:rFonts w:cstheme="minorHAnsi"/>
          <w:b/>
          <w:lang w:val="pt-PT"/>
        </w:rPr>
        <w:t>T</w:t>
      </w:r>
      <w:r w:rsidRPr="007C17A2">
        <w:rPr>
          <w:rFonts w:cstheme="minorHAnsi"/>
          <w:b/>
          <w:lang w:val="pt-PT"/>
        </w:rPr>
        <w:t xml:space="preserve">écnicas </w:t>
      </w:r>
      <w:r w:rsidR="002B35F0">
        <w:rPr>
          <w:rFonts w:cstheme="minorHAnsi"/>
          <w:b/>
          <w:lang w:val="pt-PT"/>
        </w:rPr>
        <w:t>I</w:t>
      </w:r>
      <w:r w:rsidRPr="007C17A2">
        <w:rPr>
          <w:rFonts w:cstheme="minorHAnsi"/>
          <w:b/>
          <w:lang w:val="pt-PT"/>
        </w:rPr>
        <w:t>soladas</w:t>
      </w:r>
      <w:r w:rsidRPr="00242A73">
        <w:rPr>
          <w:rFonts w:cstheme="minorHAnsi"/>
          <w:b/>
          <w:lang w:val="pt-PT"/>
        </w:rPr>
        <w:t xml:space="preserve"> de </w:t>
      </w:r>
      <w:r w:rsidR="002B35F0">
        <w:rPr>
          <w:rFonts w:cstheme="minorHAnsi"/>
          <w:b/>
          <w:lang w:val="pt-PT"/>
        </w:rPr>
        <w:t>C</w:t>
      </w:r>
      <w:r w:rsidRPr="00242A73">
        <w:rPr>
          <w:rFonts w:cstheme="minorHAnsi"/>
          <w:b/>
          <w:lang w:val="pt-PT"/>
        </w:rPr>
        <w:t>orte</w:t>
      </w:r>
      <w:r w:rsidRPr="007C17A2">
        <w:rPr>
          <w:rFonts w:cstheme="minorHAnsi"/>
          <w:b/>
          <w:lang w:val="pt-PT"/>
        </w:rPr>
        <w:t xml:space="preserve"> </w:t>
      </w:r>
      <w:r w:rsidR="002B35F0">
        <w:rPr>
          <w:rFonts w:cstheme="minorHAnsi"/>
          <w:b/>
          <w:lang w:val="pt-PT"/>
        </w:rPr>
        <w:t>V</w:t>
      </w:r>
      <w:r w:rsidRPr="007C17A2">
        <w:rPr>
          <w:rFonts w:cstheme="minorHAnsi"/>
          <w:b/>
          <w:lang w:val="pt-PT"/>
        </w:rPr>
        <w:t xml:space="preserve">ersus </w:t>
      </w:r>
      <w:r w:rsidR="002B35F0">
        <w:rPr>
          <w:rFonts w:cstheme="minorHAnsi"/>
          <w:b/>
          <w:lang w:val="pt-PT"/>
        </w:rPr>
        <w:t>P</w:t>
      </w:r>
      <w:r w:rsidRPr="007C17A2">
        <w:rPr>
          <w:rFonts w:cstheme="minorHAnsi"/>
          <w:b/>
          <w:lang w:val="pt-PT"/>
        </w:rPr>
        <w:t xml:space="preserve">ráticas </w:t>
      </w:r>
      <w:r w:rsidR="002B35F0">
        <w:rPr>
          <w:rFonts w:cstheme="minorHAnsi"/>
          <w:b/>
          <w:lang w:val="pt-PT"/>
        </w:rPr>
        <w:t>U</w:t>
      </w:r>
      <w:r w:rsidRPr="007C17A2">
        <w:rPr>
          <w:rFonts w:cstheme="minorHAnsi"/>
          <w:b/>
          <w:lang w:val="pt-PT"/>
        </w:rPr>
        <w:t xml:space="preserve">suais na </w:t>
      </w:r>
      <w:r w:rsidR="002B35F0">
        <w:rPr>
          <w:rFonts w:cstheme="minorHAnsi"/>
          <w:b/>
          <w:lang w:val="pt-PT"/>
        </w:rPr>
        <w:t>R</w:t>
      </w:r>
      <w:r w:rsidRPr="007C17A2">
        <w:rPr>
          <w:rFonts w:cstheme="minorHAnsi"/>
          <w:b/>
          <w:lang w:val="pt-PT"/>
        </w:rPr>
        <w:t xml:space="preserve">emoção de </w:t>
      </w:r>
      <w:r w:rsidR="002B35F0">
        <w:rPr>
          <w:rFonts w:cstheme="minorHAnsi"/>
          <w:b/>
          <w:lang w:val="pt-PT"/>
        </w:rPr>
        <w:t>R</w:t>
      </w:r>
      <w:r w:rsidRPr="007C17A2">
        <w:rPr>
          <w:rFonts w:cstheme="minorHAnsi"/>
          <w:b/>
          <w:lang w:val="pt-PT"/>
        </w:rPr>
        <w:t xml:space="preserve">oupas </w:t>
      </w:r>
      <w:r w:rsidR="002B35F0">
        <w:rPr>
          <w:rFonts w:cstheme="minorHAnsi"/>
          <w:b/>
          <w:lang w:val="pt-PT"/>
        </w:rPr>
        <w:t>P</w:t>
      </w:r>
      <w:r w:rsidRPr="007C17A2">
        <w:rPr>
          <w:rFonts w:cstheme="minorHAnsi"/>
          <w:b/>
          <w:lang w:val="pt-PT"/>
        </w:rPr>
        <w:t xml:space="preserve">ara </w:t>
      </w:r>
      <w:r w:rsidR="002B35F0">
        <w:rPr>
          <w:rFonts w:cstheme="minorHAnsi"/>
          <w:b/>
          <w:lang w:val="pt-PT"/>
        </w:rPr>
        <w:t>P</w:t>
      </w:r>
      <w:r w:rsidRPr="007C17A2">
        <w:rPr>
          <w:rFonts w:cstheme="minorHAnsi"/>
          <w:b/>
          <w:lang w:val="pt-PT"/>
        </w:rPr>
        <w:t xml:space="preserve">acientes com </w:t>
      </w:r>
      <w:r w:rsidR="002B35F0">
        <w:rPr>
          <w:rFonts w:cstheme="minorHAnsi"/>
          <w:b/>
          <w:lang w:val="pt-PT"/>
        </w:rPr>
        <w:t>T</w:t>
      </w:r>
      <w:r w:rsidRPr="007C17A2">
        <w:rPr>
          <w:rFonts w:cstheme="minorHAnsi"/>
          <w:b/>
          <w:lang w:val="pt-PT"/>
        </w:rPr>
        <w:t>rauma</w:t>
      </w:r>
      <w:r w:rsidR="004B7EE3" w:rsidRPr="004B7EE3">
        <w:rPr>
          <w:rFonts w:cstheme="minorHAnsi"/>
          <w:b/>
        </w:rPr>
        <w:t>.</w:t>
      </w:r>
      <w:r w:rsidR="00BE7361" w:rsidRPr="004B7EE3">
        <w:rPr>
          <w:rFonts w:cstheme="minorHAnsi"/>
          <w:b/>
        </w:rPr>
        <w:t xml:space="preserve">  </w:t>
      </w:r>
      <w:r w:rsidR="004B7EE3" w:rsidRPr="002A0709">
        <w:rPr>
          <w:rFonts w:cstheme="minorHAnsi"/>
          <w:lang w:val="en-US"/>
        </w:rPr>
        <w:t>Sibley A, Jain T, Nicholson B, Atkinson P.</w:t>
      </w:r>
      <w:r w:rsidR="006F7C8E" w:rsidRPr="002A0709">
        <w:rPr>
          <w:rFonts w:cstheme="minorHAnsi"/>
          <w:lang w:val="en-US"/>
        </w:rPr>
        <w:t xml:space="preserve">  </w:t>
      </w:r>
      <w:proofErr w:type="spellStart"/>
      <w:r w:rsidR="004B7EE3" w:rsidRPr="002A0709">
        <w:rPr>
          <w:rFonts w:cstheme="minorHAnsi"/>
          <w:i/>
          <w:lang w:val="en-US"/>
        </w:rPr>
        <w:t>Canad</w:t>
      </w:r>
      <w:proofErr w:type="spellEnd"/>
      <w:r w:rsidR="004B7EE3" w:rsidRPr="002A0709">
        <w:rPr>
          <w:rFonts w:cstheme="minorHAnsi"/>
          <w:i/>
          <w:lang w:val="en-US"/>
        </w:rPr>
        <w:t xml:space="preserve"> J </w:t>
      </w:r>
      <w:proofErr w:type="spellStart"/>
      <w:r w:rsidR="004B7EE3" w:rsidRPr="002A0709">
        <w:rPr>
          <w:rFonts w:cstheme="minorHAnsi"/>
          <w:i/>
          <w:lang w:val="en-US"/>
        </w:rPr>
        <w:t>Emerg</w:t>
      </w:r>
      <w:proofErr w:type="spellEnd"/>
      <w:r w:rsidR="004B7EE3" w:rsidRPr="002A0709">
        <w:rPr>
          <w:rFonts w:cstheme="minorHAnsi"/>
          <w:i/>
          <w:lang w:val="en-US"/>
        </w:rPr>
        <w:t xml:space="preserve"> Med</w:t>
      </w:r>
      <w:r w:rsidR="00BE7361" w:rsidRPr="002A0709">
        <w:rPr>
          <w:rFonts w:cstheme="minorHAnsi"/>
          <w:i/>
          <w:lang w:val="en-US"/>
        </w:rPr>
        <w:t xml:space="preserve">. </w:t>
      </w:r>
      <w:r w:rsidR="00BE7361" w:rsidRPr="002A0709">
        <w:rPr>
          <w:rFonts w:cstheme="minorHAnsi"/>
          <w:lang w:val="en-US"/>
        </w:rPr>
        <w:t>2018;</w:t>
      </w:r>
      <w:r w:rsidR="004B7EE3" w:rsidRPr="002A0709">
        <w:rPr>
          <w:rFonts w:cstheme="minorHAnsi"/>
          <w:lang w:val="en-US"/>
        </w:rPr>
        <w:t>20</w:t>
      </w:r>
      <w:r w:rsidR="00BE7361" w:rsidRPr="002A0709">
        <w:rPr>
          <w:rFonts w:cstheme="minorHAnsi"/>
          <w:lang w:val="en-US"/>
        </w:rPr>
        <w:t>(4):</w:t>
      </w:r>
      <w:r w:rsidR="004B7EE3" w:rsidRPr="002A0709">
        <w:rPr>
          <w:rFonts w:cstheme="minorHAnsi"/>
          <w:lang w:val="en-US"/>
        </w:rPr>
        <w:t>600-605.</w:t>
      </w:r>
    </w:p>
    <w:p w14:paraId="30B1E3D6" w14:textId="37D1F548" w:rsidR="00392C1F" w:rsidRPr="00392C1F" w:rsidRDefault="00242A73" w:rsidP="00392C1F">
      <w:pPr>
        <w:pStyle w:val="PargrafodaLista"/>
        <w:numPr>
          <w:ilvl w:val="0"/>
          <w:numId w:val="1"/>
        </w:numPr>
        <w:rPr>
          <w:b/>
        </w:rPr>
      </w:pPr>
      <w:r w:rsidRPr="007C17A2">
        <w:rPr>
          <w:b/>
          <w:lang w:val="pt-PT"/>
        </w:rPr>
        <w:t>Eficácia das Intervenções Instrucionais para Prontidão d</w:t>
      </w:r>
      <w:r w:rsidRPr="00242A73">
        <w:rPr>
          <w:b/>
          <w:lang w:val="pt-PT"/>
        </w:rPr>
        <w:t>e Leigos no</w:t>
      </w:r>
      <w:r w:rsidRPr="007C17A2">
        <w:rPr>
          <w:b/>
          <w:lang w:val="pt-PT"/>
        </w:rPr>
        <w:t xml:space="preserve"> Controle da Hemorragia </w:t>
      </w:r>
      <w:r w:rsidR="008F0C38">
        <w:rPr>
          <w:b/>
          <w:lang w:val="pt-PT"/>
        </w:rPr>
        <w:t>A</w:t>
      </w:r>
      <w:r w:rsidRPr="00242A73">
        <w:rPr>
          <w:b/>
          <w:lang w:val="pt-PT"/>
        </w:rPr>
        <w:t xml:space="preserve">valiado </w:t>
      </w:r>
      <w:r w:rsidR="008F0C38">
        <w:rPr>
          <w:b/>
          <w:lang w:val="pt-PT"/>
        </w:rPr>
        <w:t>no</w:t>
      </w:r>
      <w:r w:rsidRPr="007C17A2">
        <w:rPr>
          <w:b/>
          <w:lang w:val="pt-PT"/>
        </w:rPr>
        <w:t xml:space="preserve"> Estudo de Acesso Público e Treinamento de Torniquete (</w:t>
      </w:r>
      <w:r w:rsidRPr="00242A73">
        <w:rPr>
          <w:b/>
          <w:lang w:val="pt-PT"/>
        </w:rPr>
        <w:t xml:space="preserve"> Public Access and Tourniquet Training Study - </w:t>
      </w:r>
      <w:r w:rsidRPr="007C17A2">
        <w:rPr>
          <w:b/>
          <w:lang w:val="pt-PT"/>
        </w:rPr>
        <w:t xml:space="preserve">PATTS). </w:t>
      </w:r>
      <w:r w:rsidR="00392C1F" w:rsidRPr="00392C1F">
        <w:rPr>
          <w:b/>
        </w:rPr>
        <w:t xml:space="preserve"> </w:t>
      </w:r>
      <w:r w:rsidRPr="00136F7E">
        <w:rPr>
          <w:b/>
          <w:bCs/>
          <w:lang w:val="pt-PT"/>
        </w:rPr>
        <w:t>Um Ensaio Clínico Randomizado</w:t>
      </w:r>
      <w:r w:rsidR="00392C1F" w:rsidRPr="00136F7E">
        <w:rPr>
          <w:b/>
          <w:bCs/>
        </w:rPr>
        <w:t>.</w:t>
      </w:r>
      <w:r w:rsidR="00392C1F" w:rsidRPr="00392C1F">
        <w:t xml:space="preserve">  Goralnick E, Chaudhary MA, McCarty JC, et al.  </w:t>
      </w:r>
      <w:r w:rsidR="00392C1F" w:rsidRPr="00392C1F">
        <w:rPr>
          <w:i/>
        </w:rPr>
        <w:t>JAMA Surg</w:t>
      </w:r>
      <w:r w:rsidR="00392C1F" w:rsidRPr="00392C1F">
        <w:t>. 2018;153(9):791-799.</w:t>
      </w:r>
    </w:p>
    <w:p w14:paraId="337E4FC6" w14:textId="2860E801" w:rsidR="00392C1F" w:rsidRPr="00392C1F" w:rsidRDefault="00F86D73" w:rsidP="00392C1F">
      <w:pPr>
        <w:pStyle w:val="PargrafodaLista"/>
        <w:numPr>
          <w:ilvl w:val="0"/>
          <w:numId w:val="1"/>
        </w:numPr>
        <w:rPr>
          <w:rFonts w:eastAsia="Times New Roman" w:cstheme="minorHAnsi"/>
          <w:b/>
        </w:rPr>
      </w:pPr>
      <w:r w:rsidRPr="007C17A2">
        <w:rPr>
          <w:rFonts w:eastAsia="Times New Roman" w:cstheme="minorHAnsi"/>
          <w:b/>
          <w:lang w:val="pt-PT"/>
        </w:rPr>
        <w:t xml:space="preserve">Características, </w:t>
      </w:r>
      <w:r>
        <w:rPr>
          <w:rFonts w:eastAsia="Times New Roman" w:cstheme="minorHAnsi"/>
          <w:b/>
          <w:lang w:val="pt-PT"/>
        </w:rPr>
        <w:t>T</w:t>
      </w:r>
      <w:r w:rsidRPr="007C17A2">
        <w:rPr>
          <w:rFonts w:eastAsia="Times New Roman" w:cstheme="minorHAnsi"/>
          <w:b/>
          <w:lang w:val="pt-PT"/>
        </w:rPr>
        <w:t xml:space="preserve">ratamento </w:t>
      </w:r>
      <w:r>
        <w:rPr>
          <w:rFonts w:eastAsia="Times New Roman" w:cstheme="minorHAnsi"/>
          <w:b/>
          <w:lang w:val="pt-PT"/>
        </w:rPr>
        <w:t>P</w:t>
      </w:r>
      <w:r w:rsidRPr="007C17A2">
        <w:rPr>
          <w:rFonts w:eastAsia="Times New Roman" w:cstheme="minorHAnsi"/>
          <w:b/>
          <w:lang w:val="pt-PT"/>
        </w:rPr>
        <w:t xml:space="preserve">ré-hospitalar e </w:t>
      </w:r>
      <w:r>
        <w:rPr>
          <w:rFonts w:eastAsia="Times New Roman" w:cstheme="minorHAnsi"/>
          <w:b/>
          <w:lang w:val="pt-PT"/>
        </w:rPr>
        <w:t>D</w:t>
      </w:r>
      <w:r w:rsidRPr="007C17A2">
        <w:rPr>
          <w:rFonts w:eastAsia="Times New Roman" w:cstheme="minorHAnsi"/>
          <w:b/>
          <w:lang w:val="pt-PT"/>
        </w:rPr>
        <w:t xml:space="preserve">esfechos em </w:t>
      </w:r>
      <w:r>
        <w:rPr>
          <w:rFonts w:eastAsia="Times New Roman" w:cstheme="minorHAnsi"/>
          <w:b/>
          <w:lang w:val="pt-PT"/>
        </w:rPr>
        <w:t>P</w:t>
      </w:r>
      <w:r w:rsidRPr="007C17A2">
        <w:rPr>
          <w:rFonts w:eastAsia="Times New Roman" w:cstheme="minorHAnsi"/>
          <w:b/>
          <w:lang w:val="pt-PT"/>
        </w:rPr>
        <w:t xml:space="preserve">acientes </w:t>
      </w:r>
      <w:r>
        <w:rPr>
          <w:rFonts w:eastAsia="Times New Roman" w:cstheme="minorHAnsi"/>
          <w:b/>
          <w:lang w:val="pt-PT"/>
        </w:rPr>
        <w:t>A</w:t>
      </w:r>
      <w:r w:rsidRPr="007C17A2">
        <w:rPr>
          <w:rFonts w:eastAsia="Times New Roman" w:cstheme="minorHAnsi"/>
          <w:b/>
          <w:lang w:val="pt-PT"/>
        </w:rPr>
        <w:t xml:space="preserve">valiados </w:t>
      </w:r>
      <w:r w:rsidRPr="00BD4649">
        <w:rPr>
          <w:rFonts w:eastAsia="Times New Roman" w:cstheme="minorHAnsi"/>
          <w:b/>
          <w:lang w:val="pt-PT"/>
        </w:rPr>
        <w:t>em</w:t>
      </w:r>
      <w:r w:rsidRPr="007C17A2">
        <w:rPr>
          <w:rFonts w:eastAsia="Times New Roman" w:cstheme="minorHAnsi"/>
          <w:b/>
          <w:lang w:val="pt-PT"/>
        </w:rPr>
        <w:t xml:space="preserve"> </w:t>
      </w:r>
      <w:r>
        <w:rPr>
          <w:rFonts w:eastAsia="Times New Roman" w:cstheme="minorHAnsi"/>
          <w:b/>
          <w:lang w:val="pt-PT"/>
        </w:rPr>
        <w:t>H</w:t>
      </w:r>
      <w:r w:rsidRPr="007C17A2">
        <w:rPr>
          <w:rFonts w:eastAsia="Times New Roman" w:cstheme="minorHAnsi"/>
          <w:b/>
          <w:lang w:val="pt-PT"/>
        </w:rPr>
        <w:t xml:space="preserve">ipoglicemia: </w:t>
      </w:r>
      <w:r>
        <w:rPr>
          <w:rFonts w:eastAsia="Times New Roman" w:cstheme="minorHAnsi"/>
          <w:b/>
          <w:lang w:val="pt-PT"/>
        </w:rPr>
        <w:t>A</w:t>
      </w:r>
      <w:r w:rsidRPr="007C17A2">
        <w:rPr>
          <w:rFonts w:eastAsia="Times New Roman" w:cstheme="minorHAnsi"/>
          <w:b/>
          <w:lang w:val="pt-PT"/>
        </w:rPr>
        <w:t xml:space="preserve">cesso </w:t>
      </w:r>
      <w:r>
        <w:rPr>
          <w:rFonts w:eastAsia="Times New Roman" w:cstheme="minorHAnsi"/>
          <w:b/>
          <w:lang w:val="pt-PT"/>
        </w:rPr>
        <w:t>R</w:t>
      </w:r>
      <w:r w:rsidRPr="007C17A2">
        <w:rPr>
          <w:rFonts w:eastAsia="Times New Roman" w:cstheme="minorHAnsi"/>
          <w:b/>
          <w:lang w:val="pt-PT"/>
        </w:rPr>
        <w:t xml:space="preserve">epetitivo a </w:t>
      </w:r>
      <w:r>
        <w:rPr>
          <w:rFonts w:eastAsia="Times New Roman" w:cstheme="minorHAnsi"/>
          <w:b/>
          <w:lang w:val="pt-PT"/>
        </w:rPr>
        <w:t>A</w:t>
      </w:r>
      <w:r w:rsidRPr="007C17A2">
        <w:rPr>
          <w:rFonts w:eastAsia="Times New Roman" w:cstheme="minorHAnsi"/>
          <w:b/>
          <w:lang w:val="pt-PT"/>
        </w:rPr>
        <w:t xml:space="preserve">tendimento </w:t>
      </w:r>
      <w:r>
        <w:rPr>
          <w:rFonts w:eastAsia="Times New Roman" w:cstheme="minorHAnsi"/>
          <w:b/>
          <w:lang w:val="pt-PT"/>
        </w:rPr>
        <w:t>P</w:t>
      </w:r>
      <w:r w:rsidRPr="007C17A2">
        <w:rPr>
          <w:rFonts w:eastAsia="Times New Roman" w:cstheme="minorHAnsi"/>
          <w:b/>
          <w:lang w:val="pt-PT"/>
        </w:rPr>
        <w:t>ré-</w:t>
      </w:r>
      <w:r>
        <w:rPr>
          <w:rFonts w:eastAsia="Times New Roman" w:cstheme="minorHAnsi"/>
          <w:b/>
          <w:lang w:val="pt-PT"/>
        </w:rPr>
        <w:t>H</w:t>
      </w:r>
      <w:r w:rsidRPr="007C17A2">
        <w:rPr>
          <w:rFonts w:eastAsia="Times New Roman" w:cstheme="minorHAnsi"/>
          <w:b/>
          <w:lang w:val="pt-PT"/>
        </w:rPr>
        <w:t xml:space="preserve">ospitalar ou de </w:t>
      </w:r>
      <w:r>
        <w:rPr>
          <w:rFonts w:eastAsia="Times New Roman" w:cstheme="minorHAnsi"/>
          <w:b/>
          <w:lang w:val="pt-PT"/>
        </w:rPr>
        <w:t>E</w:t>
      </w:r>
      <w:r w:rsidRPr="007C17A2">
        <w:rPr>
          <w:rFonts w:eastAsia="Times New Roman" w:cstheme="minorHAnsi"/>
          <w:b/>
          <w:lang w:val="pt-PT"/>
        </w:rPr>
        <w:t xml:space="preserve">mergência. </w:t>
      </w:r>
      <w:r w:rsidR="00392C1F" w:rsidRPr="002A0709">
        <w:rPr>
          <w:rFonts w:eastAsia="Times New Roman" w:cstheme="minorHAnsi"/>
          <w:lang w:val="en-US"/>
        </w:rPr>
        <w:t xml:space="preserve">Sinclair J.E., Austin M, </w:t>
      </w:r>
      <w:proofErr w:type="spellStart"/>
      <w:r w:rsidR="00392C1F" w:rsidRPr="002A0709">
        <w:rPr>
          <w:rFonts w:eastAsia="Times New Roman" w:cstheme="minorHAnsi"/>
          <w:lang w:val="en-US"/>
        </w:rPr>
        <w:t>Froats</w:t>
      </w:r>
      <w:proofErr w:type="spellEnd"/>
      <w:r w:rsidR="00392C1F" w:rsidRPr="002A0709">
        <w:rPr>
          <w:rFonts w:eastAsia="Times New Roman" w:cstheme="minorHAnsi"/>
          <w:lang w:val="en-US"/>
        </w:rPr>
        <w:t xml:space="preserve"> M, et al.  </w:t>
      </w:r>
      <w:proofErr w:type="spellStart"/>
      <w:r w:rsidR="00392C1F" w:rsidRPr="002A0709">
        <w:rPr>
          <w:rFonts w:eastAsia="Times New Roman" w:cstheme="minorHAnsi"/>
          <w:i/>
          <w:lang w:val="en-US"/>
        </w:rPr>
        <w:t>Prehosp</w:t>
      </w:r>
      <w:proofErr w:type="spellEnd"/>
      <w:r w:rsidR="00392C1F" w:rsidRPr="002A0709">
        <w:rPr>
          <w:rFonts w:eastAsia="Times New Roman" w:cstheme="minorHAnsi"/>
          <w:i/>
          <w:lang w:val="en-US"/>
        </w:rPr>
        <w:t xml:space="preserve"> </w:t>
      </w:r>
      <w:proofErr w:type="spellStart"/>
      <w:r w:rsidR="00392C1F" w:rsidRPr="002A0709">
        <w:rPr>
          <w:rFonts w:eastAsia="Times New Roman" w:cstheme="minorHAnsi"/>
          <w:i/>
          <w:lang w:val="en-US"/>
        </w:rPr>
        <w:t>Emerg</w:t>
      </w:r>
      <w:proofErr w:type="spellEnd"/>
      <w:r w:rsidR="00392C1F" w:rsidRPr="002A0709">
        <w:rPr>
          <w:rFonts w:eastAsia="Times New Roman" w:cstheme="minorHAnsi"/>
          <w:i/>
          <w:lang w:val="en-US"/>
        </w:rPr>
        <w:t xml:space="preserve"> Care</w:t>
      </w:r>
      <w:r w:rsidR="00392C1F" w:rsidRPr="002A0709">
        <w:rPr>
          <w:rFonts w:eastAsia="Times New Roman" w:cstheme="minorHAnsi"/>
          <w:lang w:val="en-US"/>
        </w:rPr>
        <w:t xml:space="preserve">.  </w:t>
      </w:r>
      <w:proofErr w:type="spellStart"/>
      <w:r w:rsidR="00392C1F" w:rsidRPr="00392C1F">
        <w:rPr>
          <w:rFonts w:eastAsia="Times New Roman" w:cstheme="minorHAnsi"/>
        </w:rPr>
        <w:t>Published</w:t>
      </w:r>
      <w:proofErr w:type="spellEnd"/>
      <w:r w:rsidR="00392C1F" w:rsidRPr="00392C1F">
        <w:rPr>
          <w:rFonts w:eastAsia="Times New Roman" w:cstheme="minorHAnsi"/>
        </w:rPr>
        <w:t xml:space="preserve"> on-line Se</w:t>
      </w:r>
      <w:r w:rsidR="00E04920">
        <w:rPr>
          <w:rFonts w:eastAsia="Times New Roman" w:cstheme="minorHAnsi"/>
        </w:rPr>
        <w:t>t</w:t>
      </w:r>
      <w:r w:rsidR="00392C1F" w:rsidRPr="00392C1F">
        <w:rPr>
          <w:rFonts w:eastAsia="Times New Roman" w:cstheme="minorHAnsi"/>
        </w:rPr>
        <w:t xml:space="preserve"> 2018.</w:t>
      </w:r>
    </w:p>
    <w:p w14:paraId="0FC74044" w14:textId="5B1B086E" w:rsidR="00392C1F" w:rsidRPr="00392C1F" w:rsidRDefault="00BD4649" w:rsidP="00392C1F">
      <w:pPr>
        <w:pStyle w:val="PargrafodaLista"/>
        <w:numPr>
          <w:ilvl w:val="0"/>
          <w:numId w:val="1"/>
        </w:numPr>
        <w:rPr>
          <w:rFonts w:eastAsia="Times New Roman" w:cstheme="minorHAnsi"/>
          <w:b/>
        </w:rPr>
      </w:pPr>
      <w:r w:rsidRPr="007C17A2">
        <w:rPr>
          <w:rFonts w:eastAsia="Times New Roman" w:cstheme="minorHAnsi"/>
          <w:b/>
          <w:lang w:val="pt-PT"/>
        </w:rPr>
        <w:t xml:space="preserve">Contramedidas Médicas de Contingência </w:t>
      </w:r>
      <w:r>
        <w:rPr>
          <w:rFonts w:eastAsia="Times New Roman" w:cstheme="minorHAnsi"/>
          <w:b/>
          <w:lang w:val="pt-PT"/>
        </w:rPr>
        <w:t>na</w:t>
      </w:r>
      <w:r w:rsidRPr="007C17A2">
        <w:rPr>
          <w:rFonts w:eastAsia="Times New Roman" w:cstheme="minorHAnsi"/>
          <w:b/>
          <w:lang w:val="pt-PT"/>
        </w:rPr>
        <w:t xml:space="preserve"> Exposição</w:t>
      </w:r>
      <w:r>
        <w:rPr>
          <w:rFonts w:eastAsia="Times New Roman" w:cstheme="minorHAnsi"/>
          <w:b/>
          <w:lang w:val="pt-PT"/>
        </w:rPr>
        <w:t xml:space="preserve"> em Massa</w:t>
      </w:r>
      <w:r w:rsidRPr="007C17A2">
        <w:rPr>
          <w:rFonts w:eastAsia="Times New Roman" w:cstheme="minorHAnsi"/>
          <w:b/>
          <w:lang w:val="pt-PT"/>
        </w:rPr>
        <w:t xml:space="preserve"> a</w:t>
      </w:r>
      <w:r>
        <w:rPr>
          <w:rFonts w:eastAsia="Times New Roman" w:cstheme="minorHAnsi"/>
          <w:b/>
          <w:lang w:val="pt-PT"/>
        </w:rPr>
        <w:t xml:space="preserve"> Agente Neurotóxico</w:t>
      </w:r>
      <w:r w:rsidRPr="007C17A2">
        <w:rPr>
          <w:rFonts w:eastAsia="Times New Roman" w:cstheme="minorHAnsi"/>
          <w:b/>
          <w:lang w:val="pt-PT"/>
        </w:rPr>
        <w:t>: Uso de Alternativas Farmacêuticas para Antídotos Armazenados na Comunidade</w:t>
      </w:r>
      <w:r>
        <w:rPr>
          <w:rFonts w:eastAsia="Times New Roman" w:cstheme="minorHAnsi"/>
          <w:b/>
          <w:lang w:val="pt-PT"/>
        </w:rPr>
        <w:t>.</w:t>
      </w:r>
      <w:r w:rsidR="00392C1F" w:rsidRPr="00392C1F">
        <w:rPr>
          <w:rFonts w:eastAsia="Times New Roman" w:cstheme="minorHAnsi"/>
          <w:b/>
        </w:rPr>
        <w:t xml:space="preserve">  </w:t>
      </w:r>
      <w:r w:rsidR="00392C1F" w:rsidRPr="002A0709">
        <w:rPr>
          <w:rFonts w:eastAsia="Times New Roman" w:cstheme="minorHAnsi"/>
          <w:lang w:val="en-US"/>
        </w:rPr>
        <w:t xml:space="preserve">Schwartz M, Sutter M, </w:t>
      </w:r>
      <w:proofErr w:type="spellStart"/>
      <w:r w:rsidR="00392C1F" w:rsidRPr="002A0709">
        <w:rPr>
          <w:rFonts w:eastAsia="Times New Roman" w:cstheme="minorHAnsi"/>
          <w:lang w:val="en-US"/>
        </w:rPr>
        <w:t>Eisnor</w:t>
      </w:r>
      <w:proofErr w:type="spellEnd"/>
      <w:r w:rsidR="00392C1F" w:rsidRPr="002A0709">
        <w:rPr>
          <w:rFonts w:eastAsia="Times New Roman" w:cstheme="minorHAnsi"/>
          <w:lang w:val="en-US"/>
        </w:rPr>
        <w:t xml:space="preserve"> D, Kirk M.  </w:t>
      </w:r>
      <w:r w:rsidR="00392C1F" w:rsidRPr="002A0709">
        <w:rPr>
          <w:rFonts w:eastAsia="Times New Roman" w:cstheme="minorHAnsi"/>
          <w:i/>
          <w:lang w:val="en-US"/>
        </w:rPr>
        <w:t>Disaster Med Public Health Preparedness</w:t>
      </w:r>
      <w:r w:rsidR="00392C1F" w:rsidRPr="002A0709">
        <w:rPr>
          <w:rFonts w:eastAsia="Times New Roman" w:cstheme="minorHAnsi"/>
          <w:lang w:val="en-US"/>
        </w:rPr>
        <w:t xml:space="preserve">.  </w:t>
      </w:r>
      <w:r w:rsidR="00392C1F" w:rsidRPr="00392C1F">
        <w:rPr>
          <w:rFonts w:eastAsia="Times New Roman" w:cstheme="minorHAnsi"/>
        </w:rPr>
        <w:t>Publi</w:t>
      </w:r>
      <w:r w:rsidR="00630F1B">
        <w:rPr>
          <w:rFonts w:eastAsia="Times New Roman" w:cstheme="minorHAnsi"/>
        </w:rPr>
        <w:t>cado</w:t>
      </w:r>
      <w:r w:rsidR="00392C1F" w:rsidRPr="00392C1F">
        <w:rPr>
          <w:rFonts w:eastAsia="Times New Roman" w:cstheme="minorHAnsi"/>
        </w:rPr>
        <w:t xml:space="preserve"> on-line </w:t>
      </w:r>
      <w:r w:rsidR="00E04920">
        <w:rPr>
          <w:rFonts w:eastAsia="Times New Roman" w:cstheme="minorHAnsi"/>
        </w:rPr>
        <w:t>O</w:t>
      </w:r>
      <w:r w:rsidR="00E04920" w:rsidRPr="00392C1F">
        <w:rPr>
          <w:rFonts w:eastAsia="Times New Roman" w:cstheme="minorHAnsi"/>
        </w:rPr>
        <w:t>utubro</w:t>
      </w:r>
      <w:r w:rsidR="00392C1F" w:rsidRPr="00392C1F">
        <w:rPr>
          <w:rFonts w:eastAsia="Times New Roman" w:cstheme="minorHAnsi"/>
        </w:rPr>
        <w:t xml:space="preserve"> 2018</w:t>
      </w:r>
      <w:r w:rsidR="00630F1B">
        <w:rPr>
          <w:rFonts w:eastAsia="Times New Roman" w:cstheme="minorHAnsi"/>
        </w:rPr>
        <w:t>.</w:t>
      </w:r>
      <w:r w:rsidR="00392C1F" w:rsidRPr="00392C1F">
        <w:rPr>
          <w:rFonts w:eastAsia="Times New Roman" w:cstheme="minorHAnsi"/>
          <w:b/>
        </w:rPr>
        <w:t xml:space="preserve"> </w:t>
      </w:r>
    </w:p>
    <w:p w14:paraId="69F9224E" w14:textId="77777777" w:rsidR="007419D9" w:rsidRPr="00392C1F" w:rsidRDefault="007419D9" w:rsidP="00392C1F">
      <w:pPr>
        <w:pStyle w:val="PargrafodaLista"/>
        <w:ind w:left="360"/>
        <w:rPr>
          <w:b/>
        </w:rPr>
      </w:pPr>
    </w:p>
    <w:p w14:paraId="15A5ED9E" w14:textId="3EC033B3" w:rsidR="006F7C8E" w:rsidRPr="00E85810" w:rsidRDefault="002B35F0" w:rsidP="00E85810">
      <w:pPr>
        <w:pStyle w:val="PargrafodaLista"/>
        <w:numPr>
          <w:ilvl w:val="0"/>
          <w:numId w:val="12"/>
        </w:numPr>
        <w:rPr>
          <w:rFonts w:cstheme="minorHAnsi"/>
          <w:lang w:val="en-US"/>
        </w:rPr>
      </w:pPr>
      <w:r w:rsidRPr="00E85810">
        <w:rPr>
          <w:rFonts w:cstheme="minorHAnsi"/>
          <w:b/>
          <w:lang w:val="pt-PT"/>
        </w:rPr>
        <w:t>C</w:t>
      </w:r>
      <w:r w:rsidR="00C16585">
        <w:rPr>
          <w:rFonts w:cstheme="minorHAnsi"/>
          <w:b/>
          <w:lang w:val="pt-PT"/>
        </w:rPr>
        <w:t>ut and Rip</w:t>
      </w:r>
      <w:r w:rsidRPr="00E85810">
        <w:rPr>
          <w:rFonts w:cstheme="minorHAnsi"/>
          <w:b/>
          <w:lang w:val="pt-PT"/>
        </w:rPr>
        <w:t xml:space="preserve"> e Técnicas Isoladas de Corte Versus Práticas Usuais na Remoção de Roupas Para Pacientes com Trauma.</w:t>
      </w:r>
      <w:r w:rsidR="004B7EE3" w:rsidRPr="00E85810">
        <w:rPr>
          <w:rFonts w:cstheme="minorHAnsi"/>
          <w:b/>
        </w:rPr>
        <w:t xml:space="preserve">  </w:t>
      </w:r>
      <w:r w:rsidR="004B7EE3" w:rsidRPr="00E85810">
        <w:rPr>
          <w:rFonts w:cstheme="minorHAnsi"/>
          <w:lang w:val="en-US"/>
        </w:rPr>
        <w:t xml:space="preserve">Sibley A, Jain T, Nicholson B, Atkinson P.  </w:t>
      </w:r>
      <w:proofErr w:type="spellStart"/>
      <w:r w:rsidR="004B7EE3" w:rsidRPr="00E85810">
        <w:rPr>
          <w:rFonts w:cstheme="minorHAnsi"/>
          <w:i/>
          <w:lang w:val="en-US"/>
        </w:rPr>
        <w:t>Canad</w:t>
      </w:r>
      <w:proofErr w:type="spellEnd"/>
      <w:r w:rsidR="004B7EE3" w:rsidRPr="00E85810">
        <w:rPr>
          <w:rFonts w:cstheme="minorHAnsi"/>
          <w:i/>
          <w:lang w:val="en-US"/>
        </w:rPr>
        <w:t xml:space="preserve"> J </w:t>
      </w:r>
      <w:proofErr w:type="spellStart"/>
      <w:r w:rsidR="004B7EE3" w:rsidRPr="00E85810">
        <w:rPr>
          <w:rFonts w:cstheme="minorHAnsi"/>
          <w:i/>
          <w:lang w:val="en-US"/>
        </w:rPr>
        <w:t>Emerg</w:t>
      </w:r>
      <w:proofErr w:type="spellEnd"/>
      <w:r w:rsidR="004B7EE3" w:rsidRPr="00E85810">
        <w:rPr>
          <w:rFonts w:cstheme="minorHAnsi"/>
          <w:i/>
          <w:lang w:val="en-US"/>
        </w:rPr>
        <w:t xml:space="preserve"> Med. </w:t>
      </w:r>
      <w:r w:rsidR="004B7EE3" w:rsidRPr="00E85810">
        <w:rPr>
          <w:rFonts w:cstheme="minorHAnsi"/>
          <w:lang w:val="en-US"/>
        </w:rPr>
        <w:t>2018;20(4):600-605.</w:t>
      </w:r>
    </w:p>
    <w:p w14:paraId="7114AC20" w14:textId="37F9C6D7" w:rsidR="001121E9" w:rsidRPr="00136F7E" w:rsidRDefault="009C602D" w:rsidP="001121E9">
      <w:pPr>
        <w:pStyle w:val="SemEspaamento"/>
        <w:ind w:firstLine="360"/>
        <w:rPr>
          <w:lang w:val="pt-BR"/>
        </w:rPr>
      </w:pPr>
      <w:r w:rsidRPr="00136F7E">
        <w:rPr>
          <w:lang w:val="pt-BR"/>
        </w:rPr>
        <w:t xml:space="preserve">A exposição rápida de um paciente traumatizado por </w:t>
      </w:r>
      <w:r w:rsidRPr="009274C6">
        <w:rPr>
          <w:lang w:val="pt-BR"/>
        </w:rPr>
        <w:t xml:space="preserve">provedores </w:t>
      </w:r>
      <w:r w:rsidR="00CA2ACA">
        <w:rPr>
          <w:lang w:val="pt-BR"/>
        </w:rPr>
        <w:t xml:space="preserve">de serviços de atendimento </w:t>
      </w:r>
      <w:r w:rsidR="00C16585">
        <w:rPr>
          <w:lang w:val="pt-BR"/>
        </w:rPr>
        <w:t>pré-hospitalar</w:t>
      </w:r>
      <w:r w:rsidRPr="00136F7E">
        <w:rPr>
          <w:lang w:val="pt-BR"/>
        </w:rPr>
        <w:t xml:space="preserve"> é fundamental para completar a avaliação primária. Não existe um padrão sobre qual técnica é melhor para remover rapidamente as roupas. O objetivo deste estudo foi comparar duas técnicas de remoção de roupas</w:t>
      </w:r>
      <w:r w:rsidR="0018097B">
        <w:rPr>
          <w:lang w:val="pt-BR"/>
        </w:rPr>
        <w:t xml:space="preserve"> com a</w:t>
      </w:r>
      <w:r w:rsidR="002C19FB">
        <w:rPr>
          <w:lang w:val="pt-BR"/>
        </w:rPr>
        <w:t xml:space="preserve"> </w:t>
      </w:r>
      <w:r w:rsidR="00EB3820" w:rsidRPr="00136F7E">
        <w:rPr>
          <w:lang w:val="pt-BR"/>
        </w:rPr>
        <w:t>prática cotidiana dos socorristas</w:t>
      </w:r>
      <w:r w:rsidRPr="00136F7E">
        <w:rPr>
          <w:lang w:val="pt-BR"/>
        </w:rPr>
        <w:t xml:space="preserve"> usando tesouras de trauma padrão</w:t>
      </w:r>
      <w:r w:rsidR="0018097B">
        <w:rPr>
          <w:lang w:val="pt-BR"/>
        </w:rPr>
        <w:t>,</w:t>
      </w:r>
      <w:r w:rsidRPr="00136F7E">
        <w:rPr>
          <w:lang w:val="pt-BR"/>
        </w:rPr>
        <w:t xml:space="preserve"> para</w:t>
      </w:r>
      <w:r w:rsidR="00302B1F">
        <w:rPr>
          <w:lang w:val="pt-BR"/>
        </w:rPr>
        <w:t xml:space="preserve"> verificar </w:t>
      </w:r>
      <w:r w:rsidRPr="00136F7E">
        <w:rPr>
          <w:lang w:val="pt-BR"/>
        </w:rPr>
        <w:t xml:space="preserve">se alguma das técnicas foi mais rápida. </w:t>
      </w:r>
      <w:r w:rsidR="00FE1310" w:rsidRPr="00136F7E">
        <w:rPr>
          <w:lang w:val="pt-BR"/>
        </w:rPr>
        <w:t>Este estudo foi uma comparação aleatória, cronometrada</w:t>
      </w:r>
      <w:r w:rsidR="00630F1B" w:rsidRPr="00136F7E">
        <w:rPr>
          <w:lang w:val="pt-BR"/>
        </w:rPr>
        <w:t xml:space="preserve"> e</w:t>
      </w:r>
      <w:r w:rsidR="00FE1310" w:rsidRPr="00136F7E">
        <w:rPr>
          <w:lang w:val="pt-BR"/>
        </w:rPr>
        <w:t xml:space="preserve"> observada</w:t>
      </w:r>
      <w:r w:rsidR="00630F1B" w:rsidRPr="00136F7E">
        <w:rPr>
          <w:lang w:val="pt-BR"/>
        </w:rPr>
        <w:t xml:space="preserve"> usando tesouras novas</w:t>
      </w:r>
      <w:r w:rsidR="00FE1310" w:rsidRPr="00136F7E">
        <w:rPr>
          <w:lang w:val="pt-BR"/>
        </w:rPr>
        <w:t xml:space="preserve">, </w:t>
      </w:r>
      <w:r w:rsidR="00630F1B" w:rsidRPr="00136F7E">
        <w:rPr>
          <w:lang w:val="pt-BR"/>
        </w:rPr>
        <w:t>em</w:t>
      </w:r>
      <w:r w:rsidR="00FE1310" w:rsidRPr="00136F7E">
        <w:rPr>
          <w:lang w:val="pt-BR"/>
        </w:rPr>
        <w:t xml:space="preserve"> duas técnicas diferentes</w:t>
      </w:r>
      <w:r w:rsidR="00630F1B" w:rsidRPr="00136F7E">
        <w:rPr>
          <w:lang w:val="pt-BR"/>
        </w:rPr>
        <w:t>, uma</w:t>
      </w:r>
      <w:r w:rsidR="00FE1310" w:rsidRPr="00136F7E">
        <w:rPr>
          <w:lang w:val="pt-BR"/>
        </w:rPr>
        <w:t xml:space="preserve"> </w:t>
      </w:r>
      <w:r w:rsidR="00630F1B" w:rsidRPr="00136F7E">
        <w:rPr>
          <w:lang w:val="pt-BR"/>
        </w:rPr>
        <w:t>de</w:t>
      </w:r>
      <w:r w:rsidR="00FE1310" w:rsidRPr="00136F7E">
        <w:rPr>
          <w:lang w:val="pt-BR"/>
        </w:rPr>
        <w:t xml:space="preserve"> corte e rasg</w:t>
      </w:r>
      <w:r w:rsidR="00630F1B" w:rsidRPr="00136F7E">
        <w:rPr>
          <w:lang w:val="pt-BR"/>
        </w:rPr>
        <w:t>ue</w:t>
      </w:r>
      <w:r w:rsidR="00FE1310" w:rsidRPr="00136F7E">
        <w:rPr>
          <w:lang w:val="pt-BR"/>
        </w:rPr>
        <w:t xml:space="preserve"> (</w:t>
      </w:r>
      <w:r w:rsidR="00630F1B" w:rsidRPr="00136F7E">
        <w:rPr>
          <w:lang w:val="pt-BR"/>
        </w:rPr>
        <w:t xml:space="preserve">Cut and Rip - </w:t>
      </w:r>
      <w:r w:rsidR="00FE1310" w:rsidRPr="00136F7E">
        <w:rPr>
          <w:lang w:val="pt-BR"/>
        </w:rPr>
        <w:t>CAR) e corte sozinho (</w:t>
      </w:r>
      <w:r w:rsidR="00630F1B" w:rsidRPr="00136F7E">
        <w:rPr>
          <w:lang w:val="pt-BR"/>
        </w:rPr>
        <w:t xml:space="preserve">Cut Alone - </w:t>
      </w:r>
      <w:r w:rsidR="00FE1310" w:rsidRPr="00136F7E">
        <w:rPr>
          <w:lang w:val="pt-BR"/>
        </w:rPr>
        <w:t xml:space="preserve">CAL) para remover a roupa de um paciente </w:t>
      </w:r>
      <w:r w:rsidR="009C5290" w:rsidRPr="00136F7E">
        <w:rPr>
          <w:lang w:val="pt-BR"/>
        </w:rPr>
        <w:t xml:space="preserve">de </w:t>
      </w:r>
      <w:r w:rsidR="00FE1310" w:rsidRPr="00136F7E">
        <w:rPr>
          <w:lang w:val="pt-BR"/>
        </w:rPr>
        <w:t xml:space="preserve">trauma em comparação com práticas usuais de </w:t>
      </w:r>
      <w:r w:rsidR="009C5290" w:rsidRPr="00136F7E">
        <w:rPr>
          <w:lang w:val="pt-BR"/>
        </w:rPr>
        <w:t>socorristas</w:t>
      </w:r>
      <w:r w:rsidR="00FE1310" w:rsidRPr="00136F7E">
        <w:rPr>
          <w:lang w:val="pt-BR"/>
        </w:rPr>
        <w:t xml:space="preserve"> (</w:t>
      </w:r>
      <w:r w:rsidR="009C5290" w:rsidRPr="00136F7E">
        <w:rPr>
          <w:lang w:val="pt-BR"/>
        </w:rPr>
        <w:t xml:space="preserve">usual practices - </w:t>
      </w:r>
      <w:r w:rsidR="00FE1310" w:rsidRPr="00136F7E">
        <w:rPr>
          <w:lang w:val="pt-BR"/>
        </w:rPr>
        <w:t xml:space="preserve">UP) usando tesouras </w:t>
      </w:r>
      <w:r w:rsidR="009C5290" w:rsidRPr="00136F7E">
        <w:rPr>
          <w:lang w:val="pt-BR"/>
        </w:rPr>
        <w:t xml:space="preserve">padrão </w:t>
      </w:r>
      <w:r w:rsidR="00FE1310" w:rsidRPr="00136F7E">
        <w:rPr>
          <w:lang w:val="pt-BR"/>
        </w:rPr>
        <w:t>de trauma. Um total de 24 indivíduos (8 por grupo) foram recrutados para participar do estudo.</w:t>
      </w:r>
      <w:r w:rsidR="00302B1F">
        <w:rPr>
          <w:lang w:val="pt-BR"/>
        </w:rPr>
        <w:t xml:space="preserve"> </w:t>
      </w:r>
      <w:r w:rsidR="00FE1310" w:rsidRPr="00136F7E">
        <w:rPr>
          <w:lang w:val="pt-BR"/>
        </w:rPr>
        <w:t xml:space="preserve">23 dos participantes </w:t>
      </w:r>
      <w:r w:rsidR="009548A5">
        <w:rPr>
          <w:lang w:val="pt-BR"/>
        </w:rPr>
        <w:t>foram</w:t>
      </w:r>
      <w:r w:rsidR="009548A5" w:rsidRPr="00136F7E">
        <w:rPr>
          <w:lang w:val="pt-BR"/>
        </w:rPr>
        <w:t xml:space="preserve"> </w:t>
      </w:r>
      <w:r w:rsidR="00FE1310" w:rsidRPr="00136F7E">
        <w:rPr>
          <w:lang w:val="pt-BR"/>
        </w:rPr>
        <w:t>incluídos no estudo</w:t>
      </w:r>
      <w:r w:rsidR="00302B1F">
        <w:rPr>
          <w:lang w:val="pt-BR"/>
        </w:rPr>
        <w:t>. U</w:t>
      </w:r>
      <w:r w:rsidR="00FE1310" w:rsidRPr="00136F7E">
        <w:rPr>
          <w:lang w:val="pt-BR"/>
        </w:rPr>
        <w:t>m participante foi retirado dos resultados devido a falha em seguir o protocolo. Os participantes eram formados pelos atuais alunos do Advanced Care Paramedic para os grupos CAR e CAL e os Paramédicos para o grupo UP. Um manequim adulto de corpo inteiro idêntico</w:t>
      </w:r>
      <w:r w:rsidR="001121E9" w:rsidRPr="00136F7E">
        <w:rPr>
          <w:lang w:val="pt-BR"/>
        </w:rPr>
        <w:t>,</w:t>
      </w:r>
      <w:r w:rsidR="00FE1310" w:rsidRPr="00136F7E">
        <w:rPr>
          <w:lang w:val="pt-BR"/>
        </w:rPr>
        <w:t xml:space="preserve"> colocado em um</w:t>
      </w:r>
      <w:r w:rsidR="001121E9" w:rsidRPr="00136F7E">
        <w:rPr>
          <w:lang w:val="pt-BR"/>
        </w:rPr>
        <w:t>a maca</w:t>
      </w:r>
      <w:r w:rsidR="00FE1310" w:rsidRPr="00136F7E">
        <w:rPr>
          <w:lang w:val="pt-BR"/>
        </w:rPr>
        <w:t xml:space="preserve"> padrão</w:t>
      </w:r>
      <w:r w:rsidR="00CF5709">
        <w:rPr>
          <w:lang w:val="pt-BR"/>
        </w:rPr>
        <w:t>,</w:t>
      </w:r>
      <w:r w:rsidR="00FE1310" w:rsidRPr="00136F7E">
        <w:rPr>
          <w:lang w:val="pt-BR"/>
        </w:rPr>
        <w:t xml:space="preserve"> foi utilizado</w:t>
      </w:r>
      <w:r w:rsidR="001121E9" w:rsidRPr="00136F7E">
        <w:rPr>
          <w:lang w:val="pt-BR"/>
        </w:rPr>
        <w:t>,</w:t>
      </w:r>
      <w:r w:rsidR="00FE1310" w:rsidRPr="00136F7E">
        <w:rPr>
          <w:lang w:val="pt-BR"/>
        </w:rPr>
        <w:t xml:space="preserve"> </w:t>
      </w:r>
      <w:r w:rsidR="00136F7E" w:rsidRPr="00136F7E">
        <w:rPr>
          <w:lang w:val="pt-BR"/>
        </w:rPr>
        <w:t>sendo vestido</w:t>
      </w:r>
      <w:r w:rsidR="00FE1310" w:rsidRPr="00136F7E">
        <w:rPr>
          <w:lang w:val="pt-BR"/>
        </w:rPr>
        <w:t xml:space="preserve"> com roupas de tipo</w:t>
      </w:r>
      <w:r w:rsidR="001121E9" w:rsidRPr="00136F7E">
        <w:rPr>
          <w:lang w:val="pt-BR"/>
        </w:rPr>
        <w:t>s</w:t>
      </w:r>
      <w:r w:rsidR="00FE1310" w:rsidRPr="00136F7E">
        <w:rPr>
          <w:lang w:val="pt-BR"/>
        </w:rPr>
        <w:t xml:space="preserve"> semelhante</w:t>
      </w:r>
      <w:r w:rsidR="001121E9" w:rsidRPr="00136F7E">
        <w:rPr>
          <w:lang w:val="pt-BR"/>
        </w:rPr>
        <w:t>s</w:t>
      </w:r>
      <w:r w:rsidR="00FE1310" w:rsidRPr="00136F7E">
        <w:rPr>
          <w:lang w:val="pt-BR"/>
        </w:rPr>
        <w:t xml:space="preserve"> </w:t>
      </w:r>
      <w:r w:rsidR="00FE1310" w:rsidRPr="00136F7E">
        <w:rPr>
          <w:lang w:val="pt-BR"/>
        </w:rPr>
        <w:lastRenderedPageBreak/>
        <w:t xml:space="preserve">para cada tentativa. O tempo foi iniciado quando o dispositivo de corte tocou na roupa e foi interrompido quando a roupa do paciente / manequim foi completamente removida e um </w:t>
      </w:r>
      <w:r w:rsidR="001121E9" w:rsidRPr="00136F7E">
        <w:rPr>
          <w:lang w:val="pt-BR"/>
        </w:rPr>
        <w:t>rolamento</w:t>
      </w:r>
      <w:r w:rsidR="00FE1310" w:rsidRPr="00136F7E">
        <w:rPr>
          <w:lang w:val="pt-BR"/>
        </w:rPr>
        <w:t xml:space="preserve"> foi realizado para expor </w:t>
      </w:r>
      <w:r w:rsidR="001121E9" w:rsidRPr="00136F7E">
        <w:rPr>
          <w:lang w:val="pt-BR"/>
        </w:rPr>
        <w:t>o dorso</w:t>
      </w:r>
      <w:r w:rsidR="00FE1310" w:rsidRPr="00136F7E">
        <w:rPr>
          <w:lang w:val="pt-BR"/>
        </w:rPr>
        <w:t>.</w:t>
      </w:r>
      <w:r w:rsidR="004B7EE3" w:rsidRPr="00136F7E">
        <w:rPr>
          <w:lang w:val="pt-BR"/>
        </w:rPr>
        <w:t xml:space="preserve">  </w:t>
      </w:r>
      <w:r w:rsidR="001121E9" w:rsidRPr="00136F7E">
        <w:rPr>
          <w:lang w:val="pt-BR"/>
        </w:rPr>
        <w:t>Com base nas observações cronometradas, a técnica do CAR (tempo médio de 104 segundos) foi mais rápida que a técnica UP (tempo médio de 124 segundos) ou a técnica CAL (tempo médio de 136 segundos).</w:t>
      </w:r>
    </w:p>
    <w:p w14:paraId="616C2CE0" w14:textId="747B5197" w:rsidR="004B7EE3" w:rsidRPr="00136F7E" w:rsidRDefault="001121E9" w:rsidP="004B7EE3">
      <w:pPr>
        <w:pStyle w:val="SemEspaamento"/>
        <w:ind w:firstLine="360"/>
        <w:rPr>
          <w:lang w:val="pt-BR"/>
        </w:rPr>
      </w:pPr>
      <w:r w:rsidRPr="00136F7E">
        <w:rPr>
          <w:lang w:val="pt-BR"/>
        </w:rPr>
        <w:t xml:space="preserve">Há vários problemas com o estudo. O número total de participantes foi baixo. O manequim utilizado não reproduz as diferenças de anatomia encontradas pelos provedores de </w:t>
      </w:r>
      <w:r w:rsidR="009274C6">
        <w:rPr>
          <w:lang w:val="pt-BR"/>
        </w:rPr>
        <w:t>serviços de atendimento pré hospitalar</w:t>
      </w:r>
      <w:r w:rsidRPr="00136F7E">
        <w:rPr>
          <w:lang w:val="pt-BR"/>
        </w:rPr>
        <w:t xml:space="preserve">. O estudo não reproduziu o ambiente tradicional em que a maioria dos provedores de serviços de emergência trabalha quando avalia um paciente traumatizado. </w:t>
      </w:r>
      <w:r w:rsidR="00CF5709">
        <w:rPr>
          <w:lang w:val="pt-BR"/>
        </w:rPr>
        <w:t>O</w:t>
      </w:r>
      <w:r w:rsidRPr="00136F7E">
        <w:rPr>
          <w:lang w:val="pt-BR"/>
        </w:rPr>
        <w:t xml:space="preserve">s manequins estavam vestidos com vários tipos diferentes de materiais, </w:t>
      </w:r>
      <w:r w:rsidR="00CF5709">
        <w:rPr>
          <w:lang w:val="pt-BR"/>
        </w:rPr>
        <w:t xml:space="preserve">porém, </w:t>
      </w:r>
      <w:r w:rsidRPr="00136F7E">
        <w:rPr>
          <w:lang w:val="pt-BR"/>
        </w:rPr>
        <w:t xml:space="preserve">roupas feitas de couro ou de materiais muito grossos não </w:t>
      </w:r>
      <w:r w:rsidR="00CE2B58">
        <w:rPr>
          <w:lang w:val="pt-BR"/>
        </w:rPr>
        <w:t>foram</w:t>
      </w:r>
      <w:r w:rsidRPr="00136F7E">
        <w:rPr>
          <w:lang w:val="pt-BR"/>
        </w:rPr>
        <w:t xml:space="preserve"> testadas e nenhuma das roupas estava molhada, como seria o caso se estivessem ensopadas de sangue. Este estudo também não abordou a importante questão de tentar preservar evidências, como facas ou buracos de bala, ao remover roupas. Embora este estudo tenha analisado duas técnicas específicas (CAR &amp; CAL) em comparação com as práticas usuais de paramédicos experientes, ele não reproduziu fatores importantes encontrados pelos prestadores de serviços de emergência médica ao avaliar e tratar pacientes com trauma. Com base neste estudo, seria difícil apoiar uma mudança específica na prática atual pelos provedores de </w:t>
      </w:r>
      <w:r w:rsidR="00CF5709">
        <w:rPr>
          <w:lang w:val="pt-BR"/>
        </w:rPr>
        <w:t>serviços de atendimento pré hospitalar</w:t>
      </w:r>
      <w:r w:rsidRPr="00136F7E">
        <w:rPr>
          <w:lang w:val="pt-BR"/>
        </w:rPr>
        <w:t>.</w:t>
      </w:r>
      <w:r w:rsidR="00F45597">
        <w:rPr>
          <w:lang w:val="pt-BR"/>
        </w:rPr>
        <w:t>, e</w:t>
      </w:r>
      <w:r w:rsidRPr="00136F7E">
        <w:rPr>
          <w:lang w:val="pt-BR"/>
        </w:rPr>
        <w:t>mbora este estudo tenha demonstrado que a técnica “cut and rip” foi ligeiramente mais rápida (aproximadamente 30 segundos)</w:t>
      </w:r>
      <w:r w:rsidR="00CE2B58">
        <w:rPr>
          <w:lang w:val="pt-BR"/>
        </w:rPr>
        <w:t>. O f</w:t>
      </w:r>
      <w:r w:rsidRPr="00136F7E">
        <w:rPr>
          <w:lang w:val="pt-BR"/>
        </w:rPr>
        <w:t xml:space="preserve">ato é que os provedores de </w:t>
      </w:r>
      <w:r w:rsidR="00CF5709">
        <w:rPr>
          <w:lang w:val="pt-BR"/>
        </w:rPr>
        <w:t xml:space="preserve">serviços de atendimento pré hospitalar </w:t>
      </w:r>
      <w:r w:rsidRPr="00136F7E">
        <w:rPr>
          <w:lang w:val="pt-BR"/>
        </w:rPr>
        <w:t xml:space="preserve"> devem usar qualquer técnica que seja melhor para remover roupas com base no paciente, sua escolha de roupas, ambiente e recursos disponíveis e deve ter experiência em mais de uma técnica. Nenhuma técnica única foi estabelecida como o "Padrão de Ouro" para a remoção de roupas e pode não ser viável devido à constante mudança de pacientes e condições encontradas pelos prestadores de serviços de emergência.</w:t>
      </w:r>
    </w:p>
    <w:p w14:paraId="118E5E51" w14:textId="77777777" w:rsidR="001121E9" w:rsidRPr="002A0709" w:rsidRDefault="001121E9" w:rsidP="004B7EE3">
      <w:pPr>
        <w:pStyle w:val="SemEspaamento"/>
        <w:ind w:firstLine="360"/>
        <w:rPr>
          <w:lang w:val="pt-BR"/>
        </w:rPr>
      </w:pPr>
    </w:p>
    <w:p w14:paraId="0E02741B" w14:textId="7A1F9C59" w:rsidR="008363AF" w:rsidRDefault="00136F7E" w:rsidP="00E85810">
      <w:pPr>
        <w:pStyle w:val="PargrafodaLista"/>
        <w:numPr>
          <w:ilvl w:val="0"/>
          <w:numId w:val="12"/>
        </w:numPr>
        <w:spacing w:line="240" w:lineRule="auto"/>
      </w:pPr>
      <w:r w:rsidRPr="00E85810">
        <w:rPr>
          <w:b/>
          <w:lang w:val="pt-PT"/>
        </w:rPr>
        <w:t xml:space="preserve">Eficácia das Intervenções Instrucionais para Prontidão de Leigos no Controle da Hemorragia </w:t>
      </w:r>
      <w:r w:rsidR="008F0C38" w:rsidRPr="00E85810">
        <w:rPr>
          <w:b/>
          <w:lang w:val="pt-PT"/>
        </w:rPr>
        <w:t>Avaliado no</w:t>
      </w:r>
      <w:r w:rsidRPr="00E85810">
        <w:rPr>
          <w:b/>
          <w:lang w:val="pt-PT"/>
        </w:rPr>
        <w:t xml:space="preserve"> Estudo de Acesso Público e Treinamento de Torniquete (Public Access and Tourniquet Training Study - PATTS). </w:t>
      </w:r>
      <w:r w:rsidRPr="00E85810">
        <w:rPr>
          <w:b/>
        </w:rPr>
        <w:t xml:space="preserve"> </w:t>
      </w:r>
      <w:r w:rsidRPr="00E85810">
        <w:rPr>
          <w:b/>
          <w:bCs/>
          <w:lang w:val="pt-PT"/>
        </w:rPr>
        <w:t>Um Ensaio Clínico Randomizado</w:t>
      </w:r>
      <w:r w:rsidRPr="00E85810">
        <w:rPr>
          <w:b/>
          <w:bCs/>
        </w:rPr>
        <w:t>.</w:t>
      </w:r>
      <w:r w:rsidRPr="00392C1F">
        <w:t xml:space="preserve">  </w:t>
      </w:r>
      <w:r w:rsidR="008363AF" w:rsidRPr="008363AF">
        <w:t>Goralnick</w:t>
      </w:r>
      <w:r w:rsidR="008363AF">
        <w:t xml:space="preserve"> E</w:t>
      </w:r>
      <w:r w:rsidR="008363AF" w:rsidRPr="008363AF">
        <w:t>, Chaudhary</w:t>
      </w:r>
      <w:r w:rsidR="008363AF">
        <w:t xml:space="preserve"> MA</w:t>
      </w:r>
      <w:r w:rsidR="008363AF" w:rsidRPr="008363AF">
        <w:t xml:space="preserve">, McCarty </w:t>
      </w:r>
      <w:r w:rsidR="008363AF">
        <w:t xml:space="preserve">JC, </w:t>
      </w:r>
      <w:r w:rsidR="00DC0273" w:rsidRPr="00DC0273">
        <w:t xml:space="preserve">et al.  </w:t>
      </w:r>
      <w:r w:rsidR="008363AF">
        <w:t>JAMA Surg. 2018</w:t>
      </w:r>
      <w:r w:rsidR="008363AF" w:rsidRPr="008363AF">
        <w:t>;153(9):791-799</w:t>
      </w:r>
      <w:r w:rsidR="00DC0273" w:rsidRPr="00DC0273">
        <w:t>.</w:t>
      </w:r>
    </w:p>
    <w:p w14:paraId="648506DC" w14:textId="3DBEE121" w:rsidR="00193065" w:rsidRDefault="00136F7E" w:rsidP="008363AF">
      <w:pPr>
        <w:pStyle w:val="SemEspaamento"/>
        <w:ind w:firstLine="360"/>
        <w:rPr>
          <w:lang w:val="pt-BR"/>
        </w:rPr>
      </w:pPr>
      <w:r w:rsidRPr="00C6252C">
        <w:rPr>
          <w:lang w:val="pt-BR"/>
        </w:rPr>
        <w:t xml:space="preserve">Com o recente foco nacional no controle da hemorragia após </w:t>
      </w:r>
      <w:r w:rsidR="009A39F2" w:rsidRPr="00C6252C">
        <w:rPr>
          <w:lang w:val="pt-BR"/>
        </w:rPr>
        <w:t>os tiroteios</w:t>
      </w:r>
      <w:r w:rsidRPr="00C6252C">
        <w:rPr>
          <w:lang w:val="pt-BR"/>
        </w:rPr>
        <w:t xml:space="preserve"> em massa e </w:t>
      </w:r>
      <w:r w:rsidR="00193065">
        <w:rPr>
          <w:lang w:val="pt-BR"/>
        </w:rPr>
        <w:t>a possibilidade de início de tratamento “point of care” por leigos, para vítimas</w:t>
      </w:r>
      <w:r w:rsidRPr="00C6252C">
        <w:rPr>
          <w:lang w:val="pt-BR"/>
        </w:rPr>
        <w:t xml:space="preserve"> de trauma com hemorragia grave, </w:t>
      </w:r>
      <w:r w:rsidR="00193065">
        <w:rPr>
          <w:lang w:val="pt-BR"/>
        </w:rPr>
        <w:t xml:space="preserve">se faz necessário </w:t>
      </w:r>
      <w:r w:rsidRPr="00C6252C">
        <w:rPr>
          <w:lang w:val="pt-BR"/>
        </w:rPr>
        <w:t>identifica</w:t>
      </w:r>
      <w:r w:rsidR="00E04920">
        <w:rPr>
          <w:lang w:val="pt-BR"/>
        </w:rPr>
        <w:t>r</w:t>
      </w:r>
      <w:r w:rsidRPr="00C6252C">
        <w:rPr>
          <w:lang w:val="pt-BR"/>
        </w:rPr>
        <w:t xml:space="preserve"> metodologias de treinamento ideais, usando cursos padronizados disponíveis nacionalmente, bem como </w:t>
      </w:r>
      <w:r w:rsidR="00C6252C" w:rsidRPr="00C6252C">
        <w:rPr>
          <w:lang w:val="pt-BR"/>
        </w:rPr>
        <w:t xml:space="preserve">instruções </w:t>
      </w:r>
      <w:r w:rsidR="00504E50">
        <w:rPr>
          <w:lang w:val="pt-BR"/>
        </w:rPr>
        <w:t>“point of care”</w:t>
      </w:r>
      <w:r w:rsidRPr="00C6252C">
        <w:rPr>
          <w:lang w:val="pt-BR"/>
        </w:rPr>
        <w:t xml:space="preserve"> (</w:t>
      </w:r>
      <w:r w:rsidR="00C6252C" w:rsidRPr="00C6252C">
        <w:rPr>
          <w:lang w:val="pt-BR"/>
        </w:rPr>
        <w:t>na hora certa</w:t>
      </w:r>
      <w:r w:rsidRPr="00C6252C">
        <w:rPr>
          <w:lang w:val="pt-BR"/>
        </w:rPr>
        <w:t xml:space="preserve">) é de suma importância. </w:t>
      </w:r>
    </w:p>
    <w:p w14:paraId="677A820E" w14:textId="77777777" w:rsidR="00193065" w:rsidRDefault="00193065" w:rsidP="008363AF">
      <w:pPr>
        <w:pStyle w:val="SemEspaamento"/>
        <w:ind w:firstLine="360"/>
        <w:rPr>
          <w:lang w:val="pt-BR"/>
        </w:rPr>
      </w:pPr>
    </w:p>
    <w:p w14:paraId="48435740" w14:textId="0335F179" w:rsidR="008363AF" w:rsidRPr="00C6252C" w:rsidRDefault="00C6252C" w:rsidP="008363AF">
      <w:pPr>
        <w:pStyle w:val="SemEspaamento"/>
        <w:ind w:firstLine="360"/>
        <w:rPr>
          <w:lang w:val="pt-BR"/>
        </w:rPr>
      </w:pPr>
      <w:r w:rsidRPr="00C6252C">
        <w:rPr>
          <w:lang w:val="pt-BR"/>
        </w:rPr>
        <w:t xml:space="preserve">Este estudo observacional randomizado foi realizado em um grande complexo esportivo de Massachusetts de abril de 2017 a agosto de 2017, </w:t>
      </w:r>
      <w:r w:rsidRPr="00504E50">
        <w:rPr>
          <w:lang w:val="pt-BR"/>
        </w:rPr>
        <w:t xml:space="preserve">utilizando </w:t>
      </w:r>
      <w:r w:rsidRPr="00C6252C">
        <w:rPr>
          <w:lang w:val="pt-BR"/>
        </w:rPr>
        <w:t>funcionários do estádio</w:t>
      </w:r>
      <w:r>
        <w:rPr>
          <w:lang w:val="pt-BR"/>
        </w:rPr>
        <w:t xml:space="preserve"> e equipe</w:t>
      </w:r>
      <w:r w:rsidRPr="00C6252C">
        <w:rPr>
          <w:lang w:val="pt-BR"/>
        </w:rPr>
        <w:t xml:space="preserve">. Quinhentos e sessenta e dois (562) participantes foram incluídos no estudo. Noventa e sete (97) participantes foram excluídos devido ao treinamento prévio de controle de hemorragia. Os voluntários restantes foram distribuídos aleatoriamente em 4 grupos: (1) </w:t>
      </w:r>
      <w:r w:rsidR="00504E50">
        <w:rPr>
          <w:lang w:val="pt-BR"/>
        </w:rPr>
        <w:t>G</w:t>
      </w:r>
      <w:r w:rsidRPr="00C6252C">
        <w:rPr>
          <w:lang w:val="pt-BR"/>
        </w:rPr>
        <w:t>rupo control</w:t>
      </w:r>
      <w:r>
        <w:rPr>
          <w:lang w:val="pt-BR"/>
        </w:rPr>
        <w:t>e</w:t>
      </w:r>
      <w:r w:rsidRPr="00C6252C">
        <w:rPr>
          <w:lang w:val="pt-BR"/>
        </w:rPr>
        <w:t xml:space="preserve"> </w:t>
      </w:r>
      <w:bookmarkStart w:id="1" w:name="_Hlk16533969"/>
      <w:r w:rsidRPr="00C6252C">
        <w:rPr>
          <w:lang w:val="pt-BR"/>
        </w:rPr>
        <w:t xml:space="preserve">(sem </w:t>
      </w:r>
      <w:r w:rsidR="00463424">
        <w:rPr>
          <w:lang w:val="pt-BR"/>
        </w:rPr>
        <w:t xml:space="preserve">treinamento ou </w:t>
      </w:r>
      <w:r w:rsidRPr="00C6252C">
        <w:rPr>
          <w:lang w:val="pt-BR"/>
        </w:rPr>
        <w:t xml:space="preserve">instruções </w:t>
      </w:r>
      <w:r w:rsidR="00463424">
        <w:rPr>
          <w:lang w:val="pt-BR"/>
        </w:rPr>
        <w:t>“point of care”</w:t>
      </w:r>
      <w:r w:rsidRPr="00C6252C">
        <w:rPr>
          <w:lang w:val="pt-BR"/>
        </w:rPr>
        <w:t>)</w:t>
      </w:r>
      <w:bookmarkEnd w:id="1"/>
      <w:r w:rsidRPr="00C6252C">
        <w:rPr>
          <w:lang w:val="pt-BR"/>
        </w:rPr>
        <w:t>, (2) kits de instruç</w:t>
      </w:r>
      <w:r w:rsidR="00823277">
        <w:rPr>
          <w:lang w:val="pt-BR"/>
        </w:rPr>
        <w:t>ã</w:t>
      </w:r>
      <w:r w:rsidR="00504E50">
        <w:rPr>
          <w:lang w:val="pt-BR"/>
        </w:rPr>
        <w:t>o</w:t>
      </w:r>
      <w:r w:rsidRPr="00C6252C">
        <w:rPr>
          <w:lang w:val="pt-BR"/>
        </w:rPr>
        <w:t xml:space="preserve"> de áudio</w:t>
      </w:r>
      <w:r w:rsidR="00463424">
        <w:rPr>
          <w:lang w:val="pt-BR"/>
        </w:rPr>
        <w:t xml:space="preserve"> “point of care”</w:t>
      </w:r>
      <w:r w:rsidRPr="00C6252C">
        <w:rPr>
          <w:lang w:val="pt-BR"/>
        </w:rPr>
        <w:t xml:space="preserve">, (3) </w:t>
      </w:r>
      <w:r w:rsidR="00463424">
        <w:rPr>
          <w:lang w:val="pt-BR"/>
        </w:rPr>
        <w:t>Instruções visuais “point of care”</w:t>
      </w:r>
      <w:r w:rsidRPr="00C6252C">
        <w:rPr>
          <w:lang w:val="pt-BR"/>
        </w:rPr>
        <w:t>, e (4) Curso de Controle de Sangramento</w:t>
      </w:r>
      <w:r w:rsidR="00E04920">
        <w:rPr>
          <w:lang w:val="pt-BR"/>
        </w:rPr>
        <w:t xml:space="preserve"> do</w:t>
      </w:r>
      <w:r w:rsidRPr="00C6252C">
        <w:rPr>
          <w:lang w:val="pt-BR"/>
        </w:rPr>
        <w:t xml:space="preserve"> </w:t>
      </w:r>
      <w:r w:rsidR="00E04920" w:rsidRPr="00C6252C">
        <w:rPr>
          <w:lang w:val="pt-BR"/>
        </w:rPr>
        <w:t xml:space="preserve">Colégio Americano de Cirurgiões (ACS) </w:t>
      </w:r>
      <w:r w:rsidRPr="00C6252C">
        <w:rPr>
          <w:lang w:val="pt-BR"/>
        </w:rPr>
        <w:t>(B-Con). Não houve diferença estatística</w:t>
      </w:r>
      <w:r w:rsidR="00463424">
        <w:rPr>
          <w:lang w:val="pt-BR"/>
        </w:rPr>
        <w:t xml:space="preserve"> na demografia</w:t>
      </w:r>
      <w:r w:rsidRPr="00C6252C">
        <w:rPr>
          <w:lang w:val="pt-BR"/>
        </w:rPr>
        <w:t xml:space="preserve"> entre os quatro (4) grupos. O estudo também analisou as taxas de degradação de 3 a 9 meses após o treinamento. A avaliação e os testes foram conduzidos com um resultado positivo, sendo a aplicação adequada de um torniquete.</w:t>
      </w:r>
    </w:p>
    <w:p w14:paraId="70977CDC" w14:textId="5639508E" w:rsidR="00766776" w:rsidRPr="002A0709" w:rsidRDefault="00C6252C" w:rsidP="008363AF">
      <w:pPr>
        <w:pStyle w:val="SemEspaamento"/>
        <w:ind w:firstLine="360"/>
        <w:rPr>
          <w:lang w:val="pt-BR"/>
        </w:rPr>
      </w:pPr>
      <w:r w:rsidRPr="00C6252C">
        <w:rPr>
          <w:lang w:val="pt-BR"/>
        </w:rPr>
        <w:t xml:space="preserve">Dos quatro grupos, o grupo que fez o curso B-Con teve a maior taxa de aplicação de torniquete correta em 87,7%. O grupo controle apresentou o menor valor, com 16,3%, e os grupos áudio e </w:t>
      </w:r>
      <w:r w:rsidR="006D568F">
        <w:rPr>
          <w:lang w:val="pt-BR"/>
        </w:rPr>
        <w:t>instruções visuais</w:t>
      </w:r>
      <w:r w:rsidRPr="00C6252C">
        <w:rPr>
          <w:lang w:val="pt-BR"/>
        </w:rPr>
        <w:t xml:space="preserve">, 23,0% e 19,7%, respectivamente. Não houve diferenças estatísticas entre o grupo </w:t>
      </w:r>
      <w:r w:rsidRPr="00C6252C">
        <w:rPr>
          <w:lang w:val="pt-BR"/>
        </w:rPr>
        <w:lastRenderedPageBreak/>
        <w:t>controle</w:t>
      </w:r>
      <w:r w:rsidR="006D568F">
        <w:rPr>
          <w:lang w:val="pt-BR"/>
        </w:rPr>
        <w:t xml:space="preserve"> </w:t>
      </w:r>
      <w:r w:rsidR="006D568F" w:rsidRPr="00C6252C">
        <w:rPr>
          <w:lang w:val="pt-BR"/>
        </w:rPr>
        <w:t xml:space="preserve">(sem </w:t>
      </w:r>
      <w:r w:rsidR="006D568F">
        <w:rPr>
          <w:lang w:val="pt-BR"/>
        </w:rPr>
        <w:t xml:space="preserve">treinamento ou </w:t>
      </w:r>
      <w:r w:rsidR="006D568F" w:rsidRPr="00C6252C">
        <w:rPr>
          <w:lang w:val="pt-BR"/>
        </w:rPr>
        <w:t xml:space="preserve">instruções </w:t>
      </w:r>
      <w:r w:rsidR="006D568F">
        <w:rPr>
          <w:lang w:val="pt-BR"/>
        </w:rPr>
        <w:t>“point of care”</w:t>
      </w:r>
      <w:r w:rsidR="006D568F" w:rsidRPr="00C6252C">
        <w:rPr>
          <w:lang w:val="pt-BR"/>
        </w:rPr>
        <w:t>)</w:t>
      </w:r>
      <w:r w:rsidRPr="00C6252C">
        <w:rPr>
          <w:lang w:val="pt-BR"/>
        </w:rPr>
        <w:t xml:space="preserve"> e os grupos de áudio ou </w:t>
      </w:r>
      <w:r w:rsidR="006D568F">
        <w:rPr>
          <w:lang w:val="pt-BR"/>
        </w:rPr>
        <w:t>instruções visuais</w:t>
      </w:r>
      <w:r w:rsidRPr="00C6252C">
        <w:rPr>
          <w:lang w:val="pt-BR"/>
        </w:rPr>
        <w:t xml:space="preserve">. A principal razão para o </w:t>
      </w:r>
      <w:r w:rsidRPr="006D568F">
        <w:rPr>
          <w:lang w:val="pt-BR"/>
        </w:rPr>
        <w:t xml:space="preserve">fracasso </w:t>
      </w:r>
      <w:r w:rsidRPr="00C6252C">
        <w:rPr>
          <w:lang w:val="pt-BR"/>
        </w:rPr>
        <w:t>em atingir o objetivo final de aplicação adequada do torniquete em todos os grupos foi o torniquete sendo aplicado de forma muito frouxa</w:t>
      </w:r>
      <w:r w:rsidR="006D568F">
        <w:rPr>
          <w:lang w:val="pt-BR"/>
        </w:rPr>
        <w:t>,</w:t>
      </w:r>
      <w:r w:rsidRPr="00C6252C">
        <w:rPr>
          <w:lang w:val="pt-BR"/>
        </w:rPr>
        <w:t xml:space="preserve"> para controlar efetivamente o sangramento. </w:t>
      </w:r>
      <w:r w:rsidR="00823277">
        <w:rPr>
          <w:lang w:val="pt-BR"/>
        </w:rPr>
        <w:t>Nota-se que</w:t>
      </w:r>
      <w:r w:rsidRPr="00C6252C">
        <w:rPr>
          <w:lang w:val="pt-BR"/>
        </w:rPr>
        <w:t xml:space="preserve"> que menos de metade dos participantes nos grupos de áudio ou </w:t>
      </w:r>
      <w:r w:rsidR="00952808">
        <w:rPr>
          <w:lang w:val="pt-BR"/>
        </w:rPr>
        <w:t>instruções visuais</w:t>
      </w:r>
      <w:r w:rsidRPr="00C6252C">
        <w:rPr>
          <w:lang w:val="pt-BR"/>
        </w:rPr>
        <w:t xml:space="preserve"> usaram realmente a orientação </w:t>
      </w:r>
      <w:r w:rsidRPr="00766776">
        <w:rPr>
          <w:lang w:val="pt-BR"/>
        </w:rPr>
        <w:t xml:space="preserve">fornecida. </w:t>
      </w:r>
      <w:r w:rsidR="00766776" w:rsidRPr="00766776">
        <w:rPr>
          <w:lang w:val="pt-BR"/>
        </w:rPr>
        <w:t>Após a avaliação inicial, todos os três grupos não B-Con receberam treinamento padrão B-Con. Os participantes foram então reavaliados 3-9 meses após o treinamento inicial, usando o posicionamento adequado do torniquete para determinar a retenção d</w:t>
      </w:r>
      <w:r w:rsidR="006D568F">
        <w:rPr>
          <w:lang w:val="pt-BR"/>
        </w:rPr>
        <w:t>a</w:t>
      </w:r>
      <w:r w:rsidR="00766776" w:rsidRPr="00766776">
        <w:rPr>
          <w:lang w:val="pt-BR"/>
        </w:rPr>
        <w:t xml:space="preserve"> habilidade. No total, 303 dos 465 participantes originais foram reavaliados. Dos que foram </w:t>
      </w:r>
      <w:r w:rsidR="00766776">
        <w:rPr>
          <w:lang w:val="pt-BR"/>
        </w:rPr>
        <w:t>reavaliados</w:t>
      </w:r>
      <w:r w:rsidR="00766776" w:rsidRPr="00766776">
        <w:rPr>
          <w:lang w:val="pt-BR"/>
        </w:rPr>
        <w:t>, 54,5% aplicaram o torniquete corretamente após o treinamento.</w:t>
      </w:r>
    </w:p>
    <w:p w14:paraId="32FC620D" w14:textId="2FDE854D" w:rsidR="00D05E66" w:rsidRPr="00D05E66" w:rsidRDefault="00D05E66" w:rsidP="008363AF">
      <w:pPr>
        <w:pStyle w:val="SemEspaamento"/>
        <w:ind w:firstLine="360"/>
        <w:rPr>
          <w:lang w:val="pt-BR"/>
        </w:rPr>
      </w:pPr>
      <w:r w:rsidRPr="00D05E66">
        <w:rPr>
          <w:lang w:val="pt-BR"/>
        </w:rPr>
        <w:t xml:space="preserve">Os resultados deste estudo mostram que o treinamento didático ao vivo com um componente de aplicação de habilidades psicomotoras (atividade prática), </w:t>
      </w:r>
      <w:r w:rsidR="00823277">
        <w:rPr>
          <w:lang w:val="pt-BR"/>
        </w:rPr>
        <w:t>apresentou</w:t>
      </w:r>
      <w:r w:rsidR="00823277" w:rsidRPr="00D05E66">
        <w:rPr>
          <w:lang w:val="pt-BR"/>
        </w:rPr>
        <w:t xml:space="preserve"> </w:t>
      </w:r>
      <w:r w:rsidRPr="00D05E66">
        <w:rPr>
          <w:lang w:val="pt-BR"/>
        </w:rPr>
        <w:t xml:space="preserve">resultados iniciais </w:t>
      </w:r>
      <w:r w:rsidR="006D568F">
        <w:rPr>
          <w:lang w:val="pt-BR"/>
        </w:rPr>
        <w:t xml:space="preserve">e de retenção </w:t>
      </w:r>
      <w:r w:rsidRPr="00D05E66">
        <w:rPr>
          <w:lang w:val="pt-BR"/>
        </w:rPr>
        <w:t xml:space="preserve">mais </w:t>
      </w:r>
      <w:r w:rsidR="00823277">
        <w:rPr>
          <w:lang w:val="pt-BR"/>
        </w:rPr>
        <w:t>elevados</w:t>
      </w:r>
      <w:r w:rsidRPr="00D05E66">
        <w:rPr>
          <w:lang w:val="pt-BR"/>
        </w:rPr>
        <w:t xml:space="preserve"> do que os outros três grupos. Ele também mostrou que </w:t>
      </w:r>
      <w:r w:rsidR="006D568F">
        <w:rPr>
          <w:lang w:val="pt-BR"/>
        </w:rPr>
        <w:t xml:space="preserve">as instruções visuais </w:t>
      </w:r>
      <w:r w:rsidRPr="00D05E66">
        <w:rPr>
          <w:lang w:val="pt-BR"/>
        </w:rPr>
        <w:t xml:space="preserve">ou </w:t>
      </w:r>
      <w:r w:rsidR="006D568F">
        <w:rPr>
          <w:lang w:val="pt-BR"/>
        </w:rPr>
        <w:t xml:space="preserve">de </w:t>
      </w:r>
      <w:r w:rsidRPr="00D05E66">
        <w:rPr>
          <w:lang w:val="pt-BR"/>
        </w:rPr>
        <w:t>áudio</w:t>
      </w:r>
      <w:r w:rsidR="006D568F">
        <w:rPr>
          <w:lang w:val="pt-BR"/>
        </w:rPr>
        <w:t xml:space="preserve"> “point of care” </w:t>
      </w:r>
      <w:r w:rsidRPr="00D05E66">
        <w:rPr>
          <w:lang w:val="pt-BR"/>
        </w:rPr>
        <w:t xml:space="preserve">tiveram pouco ou nenhum aumento na aplicação bem-sucedida do torniquete </w:t>
      </w:r>
      <w:r w:rsidR="00823277">
        <w:rPr>
          <w:lang w:val="pt-BR"/>
        </w:rPr>
        <w:t>se comparados com</w:t>
      </w:r>
      <w:r w:rsidR="00823277" w:rsidRPr="00D05E66">
        <w:rPr>
          <w:lang w:val="pt-BR"/>
        </w:rPr>
        <w:t xml:space="preserve"> </w:t>
      </w:r>
      <w:r w:rsidRPr="00D05E66">
        <w:rPr>
          <w:lang w:val="pt-BR"/>
        </w:rPr>
        <w:t>o grupo de controle.</w:t>
      </w:r>
    </w:p>
    <w:p w14:paraId="5E1022C8" w14:textId="00F7A58F" w:rsidR="00D05E66" w:rsidRPr="00D05E66" w:rsidRDefault="00D05E66" w:rsidP="008363AF">
      <w:pPr>
        <w:pStyle w:val="SemEspaamento"/>
        <w:ind w:firstLine="360"/>
        <w:rPr>
          <w:lang w:val="pt-BR"/>
        </w:rPr>
      </w:pPr>
      <w:r w:rsidRPr="00D05E66">
        <w:rPr>
          <w:lang w:val="pt-BR"/>
        </w:rPr>
        <w:t>Tem havido muita discussão sobre a duração ideal do treinamento de controle de hemorragia para o atendente leigo. Este estudo mostra claramente que a combinação de aulas teóricas e prática</w:t>
      </w:r>
      <w:r w:rsidR="00823277">
        <w:rPr>
          <w:lang w:val="pt-BR"/>
        </w:rPr>
        <w:t>s</w:t>
      </w:r>
      <w:r w:rsidR="006D568F">
        <w:rPr>
          <w:lang w:val="pt-BR"/>
        </w:rPr>
        <w:t>,</w:t>
      </w:r>
      <w:r w:rsidRPr="006D568F">
        <w:rPr>
          <w:lang w:val="pt-BR"/>
        </w:rPr>
        <w:t xml:space="preserve"> oferecidas </w:t>
      </w:r>
      <w:r w:rsidRPr="00D05E66">
        <w:rPr>
          <w:lang w:val="pt-BR"/>
        </w:rPr>
        <w:t>no curso do American College of Surgeons B-Con</w:t>
      </w:r>
      <w:r w:rsidR="006D568F">
        <w:rPr>
          <w:lang w:val="pt-BR"/>
        </w:rPr>
        <w:t>,</w:t>
      </w:r>
      <w:r w:rsidRPr="00D05E66">
        <w:rPr>
          <w:lang w:val="pt-BR"/>
        </w:rPr>
        <w:t xml:space="preserve"> foi superior a ambos instruções</w:t>
      </w:r>
      <w:r w:rsidR="006D568F">
        <w:rPr>
          <w:lang w:val="pt-BR"/>
        </w:rPr>
        <w:t xml:space="preserve"> visuais e</w:t>
      </w:r>
      <w:r w:rsidRPr="00D05E66">
        <w:rPr>
          <w:lang w:val="pt-BR"/>
        </w:rPr>
        <w:t xml:space="preserve"> de áudio no estilo </w:t>
      </w:r>
      <w:r w:rsidRPr="00E04920">
        <w:rPr>
          <w:lang w:val="pt-BR"/>
        </w:rPr>
        <w:t>DEA</w:t>
      </w:r>
      <w:r w:rsidR="00E04920" w:rsidRPr="00E04920">
        <w:rPr>
          <w:lang w:val="pt-BR"/>
        </w:rPr>
        <w:t xml:space="preserve"> (Desfibrilador Externo Automático)</w:t>
      </w:r>
      <w:r w:rsidRPr="00D05E66">
        <w:rPr>
          <w:lang w:val="pt-BR"/>
        </w:rPr>
        <w:t>. Há vários pontos adicionais a serem considerados:</w:t>
      </w:r>
    </w:p>
    <w:p w14:paraId="3858A482" w14:textId="77777777" w:rsidR="00D05E66" w:rsidRPr="002A0709" w:rsidRDefault="00D05E66" w:rsidP="00D05E66">
      <w:pPr>
        <w:pStyle w:val="SemEspaamento"/>
        <w:ind w:left="720"/>
        <w:rPr>
          <w:lang w:val="pt-BR"/>
        </w:rPr>
      </w:pPr>
    </w:p>
    <w:p w14:paraId="332A6985" w14:textId="38DBBA95" w:rsidR="00D05E66" w:rsidRPr="00D05E66" w:rsidRDefault="00D05E66" w:rsidP="00D05E66">
      <w:pPr>
        <w:pStyle w:val="SemEspaamento"/>
        <w:ind w:left="720"/>
        <w:rPr>
          <w:lang w:val="pt-BR"/>
        </w:rPr>
      </w:pPr>
      <w:r w:rsidRPr="00D05E66">
        <w:rPr>
          <w:lang w:val="pt-BR"/>
        </w:rPr>
        <w:t xml:space="preserve">1. O principal motivo para a aplicação </w:t>
      </w:r>
      <w:r w:rsidR="00263093" w:rsidRPr="00D05E66">
        <w:rPr>
          <w:lang w:val="pt-BR"/>
        </w:rPr>
        <w:t>mal</w:t>
      </w:r>
      <w:r w:rsidR="00263093">
        <w:rPr>
          <w:lang w:val="pt-BR"/>
        </w:rPr>
        <w:t>sucedida</w:t>
      </w:r>
      <w:r w:rsidRPr="00D05E66">
        <w:rPr>
          <w:lang w:val="pt-BR"/>
        </w:rPr>
        <w:t xml:space="preserve"> do torniquete foi o dispositivo sendo aplicado sem a tensão adequada (muito froux</w:t>
      </w:r>
      <w:r>
        <w:rPr>
          <w:lang w:val="pt-BR"/>
        </w:rPr>
        <w:t>o</w:t>
      </w:r>
      <w:r w:rsidRPr="00D05E66">
        <w:rPr>
          <w:lang w:val="pt-BR"/>
        </w:rPr>
        <w:t>). Isso é consistente com outros estudos e a questão da firmeza correta deve ser reforçada em todo o treinamento de torniquete.</w:t>
      </w:r>
    </w:p>
    <w:p w14:paraId="23C2654B" w14:textId="77777777" w:rsidR="00D05E66" w:rsidRPr="00D05E66" w:rsidRDefault="00D05E66" w:rsidP="00D05E66">
      <w:pPr>
        <w:pStyle w:val="SemEspaamento"/>
        <w:ind w:left="720"/>
        <w:rPr>
          <w:lang w:val="pt-BR"/>
        </w:rPr>
      </w:pPr>
    </w:p>
    <w:p w14:paraId="7D1EDC4B" w14:textId="6A13DECD" w:rsidR="00D05E66" w:rsidRPr="00D05E66" w:rsidRDefault="00D05E66" w:rsidP="00D05E66">
      <w:pPr>
        <w:pStyle w:val="SemEspaamento"/>
        <w:ind w:left="720"/>
        <w:rPr>
          <w:lang w:val="pt-BR"/>
        </w:rPr>
      </w:pPr>
      <w:r w:rsidRPr="00D05E66">
        <w:rPr>
          <w:lang w:val="pt-BR"/>
        </w:rPr>
        <w:t xml:space="preserve">2. O intervalo ótimo </w:t>
      </w:r>
      <w:r w:rsidR="001C2497" w:rsidRPr="00D05E66">
        <w:rPr>
          <w:lang w:val="pt-BR"/>
        </w:rPr>
        <w:t xml:space="preserve">de </w:t>
      </w:r>
      <w:r w:rsidR="001C2497">
        <w:rPr>
          <w:lang w:val="pt-BR"/>
        </w:rPr>
        <w:t>novo</w:t>
      </w:r>
      <w:r>
        <w:rPr>
          <w:lang w:val="pt-BR"/>
        </w:rPr>
        <w:t xml:space="preserve"> </w:t>
      </w:r>
      <w:r w:rsidRPr="00D05E66">
        <w:rPr>
          <w:lang w:val="pt-BR"/>
        </w:rPr>
        <w:t>treinamento é desconhecido e estudos adicionais seriam úteis.</w:t>
      </w:r>
    </w:p>
    <w:p w14:paraId="49C06963" w14:textId="77777777" w:rsidR="00D05E66" w:rsidRPr="00D05E66" w:rsidRDefault="00D05E66" w:rsidP="00D05E66">
      <w:pPr>
        <w:pStyle w:val="SemEspaamento"/>
        <w:ind w:left="720"/>
        <w:rPr>
          <w:lang w:val="pt-BR"/>
        </w:rPr>
      </w:pPr>
    </w:p>
    <w:p w14:paraId="23F6264E" w14:textId="011AA054" w:rsidR="00D05E66" w:rsidRPr="00D05E66" w:rsidRDefault="00D05E66" w:rsidP="00D05E66">
      <w:pPr>
        <w:pStyle w:val="SemEspaamento"/>
        <w:ind w:left="720"/>
        <w:rPr>
          <w:lang w:val="pt-BR"/>
        </w:rPr>
      </w:pPr>
      <w:r w:rsidRPr="00D05E66">
        <w:rPr>
          <w:lang w:val="pt-BR"/>
        </w:rPr>
        <w:t xml:space="preserve">3. Embora as instruções </w:t>
      </w:r>
      <w:r w:rsidR="009274C6">
        <w:rPr>
          <w:lang w:val="pt-BR"/>
        </w:rPr>
        <w:t>“point of care”</w:t>
      </w:r>
      <w:r w:rsidRPr="00D05E66">
        <w:rPr>
          <w:lang w:val="pt-BR"/>
        </w:rPr>
        <w:t xml:space="preserve"> fornecidas por </w:t>
      </w:r>
      <w:r w:rsidR="006D568F">
        <w:rPr>
          <w:lang w:val="pt-BR"/>
        </w:rPr>
        <w:t>instruções visuais ou</w:t>
      </w:r>
      <w:r w:rsidR="006D568F" w:rsidRPr="00D05E66">
        <w:rPr>
          <w:lang w:val="pt-BR"/>
        </w:rPr>
        <w:t xml:space="preserve"> de áudio </w:t>
      </w:r>
      <w:r w:rsidRPr="00D05E66">
        <w:rPr>
          <w:lang w:val="pt-BR"/>
        </w:rPr>
        <w:t>não tenham apresentado melhores resultados em comparação ao grupo de controle, várias outras opções devem ser avaliadas:</w:t>
      </w:r>
    </w:p>
    <w:p w14:paraId="352837F5" w14:textId="42D9A7BA" w:rsidR="00D05E66" w:rsidRPr="00D05E66" w:rsidRDefault="00D05E66" w:rsidP="00D05E66">
      <w:pPr>
        <w:pStyle w:val="SemEspaamento"/>
        <w:numPr>
          <w:ilvl w:val="0"/>
          <w:numId w:val="10"/>
        </w:numPr>
        <w:rPr>
          <w:lang w:val="pt-BR"/>
        </w:rPr>
      </w:pPr>
      <w:r w:rsidRPr="00D05E66">
        <w:rPr>
          <w:lang w:val="pt-BR"/>
        </w:rPr>
        <w:t xml:space="preserve">Um grupo usando o </w:t>
      </w:r>
      <w:r w:rsidR="00CA2ACA">
        <w:rPr>
          <w:lang w:val="pt-BR"/>
        </w:rPr>
        <w:t>serviço de atendimento pré-hospitalar de regulação</w:t>
      </w:r>
      <w:r w:rsidRPr="00D05E66">
        <w:rPr>
          <w:lang w:val="pt-BR"/>
        </w:rPr>
        <w:t>,</w:t>
      </w:r>
      <w:r>
        <w:rPr>
          <w:lang w:val="pt-BR"/>
        </w:rPr>
        <w:t xml:space="preserve"> com</w:t>
      </w:r>
      <w:r w:rsidRPr="00D05E66">
        <w:rPr>
          <w:lang w:val="pt-BR"/>
        </w:rPr>
        <w:t xml:space="preserve"> orientação em tempo real.</w:t>
      </w:r>
    </w:p>
    <w:p w14:paraId="202505DF" w14:textId="1C5A48BD" w:rsidR="00DC0273" w:rsidRPr="00D05E66" w:rsidRDefault="00D05E66" w:rsidP="00D05E66">
      <w:pPr>
        <w:pStyle w:val="SemEspaamento"/>
        <w:numPr>
          <w:ilvl w:val="0"/>
          <w:numId w:val="10"/>
        </w:numPr>
        <w:rPr>
          <w:lang w:val="pt-BR"/>
        </w:rPr>
      </w:pPr>
      <w:r w:rsidRPr="00D05E66">
        <w:rPr>
          <w:lang w:val="pt-BR"/>
        </w:rPr>
        <w:t>Um grupo que combin</w:t>
      </w:r>
      <w:r w:rsidR="001C2497">
        <w:rPr>
          <w:lang w:val="pt-BR"/>
        </w:rPr>
        <w:t>e</w:t>
      </w:r>
      <w:r w:rsidRPr="00D05E66">
        <w:rPr>
          <w:lang w:val="pt-BR"/>
        </w:rPr>
        <w:t xml:space="preserve"> o treinamento inicial de B-Con com </w:t>
      </w:r>
      <w:r w:rsidR="006D568F">
        <w:rPr>
          <w:lang w:val="pt-BR"/>
        </w:rPr>
        <w:t>instruções visuais ou</w:t>
      </w:r>
      <w:r w:rsidRPr="00D05E66">
        <w:rPr>
          <w:lang w:val="pt-BR"/>
        </w:rPr>
        <w:t xml:space="preserve"> de áudio em uma tentativa de diminuir a taxa de </w:t>
      </w:r>
      <w:r w:rsidRPr="006404F3">
        <w:rPr>
          <w:lang w:val="pt-BR"/>
        </w:rPr>
        <w:t xml:space="preserve">degradação </w:t>
      </w:r>
      <w:r w:rsidRPr="00D05E66">
        <w:rPr>
          <w:lang w:val="pt-BR"/>
        </w:rPr>
        <w:t>de 33,2% no novo teste.</w:t>
      </w:r>
      <w:r w:rsidR="008363AF" w:rsidRPr="00D05E66">
        <w:rPr>
          <w:lang w:val="pt-BR"/>
        </w:rPr>
        <w:tab/>
      </w:r>
    </w:p>
    <w:p w14:paraId="475F0BA9" w14:textId="77777777" w:rsidR="00DC0273" w:rsidRPr="002A0709" w:rsidRDefault="00DC0273" w:rsidP="00DC0273">
      <w:pPr>
        <w:pStyle w:val="SemEspaamento"/>
        <w:rPr>
          <w:lang w:val="pt-BR"/>
        </w:rPr>
      </w:pPr>
    </w:p>
    <w:p w14:paraId="0CDC65E9" w14:textId="0A63F4DE" w:rsidR="00096298" w:rsidRPr="00E85810" w:rsidRDefault="00F86D73" w:rsidP="00E85810">
      <w:pPr>
        <w:pStyle w:val="PargrafodaLista"/>
        <w:numPr>
          <w:ilvl w:val="0"/>
          <w:numId w:val="12"/>
        </w:numPr>
        <w:spacing w:after="0" w:line="240" w:lineRule="auto"/>
        <w:rPr>
          <w:rFonts w:eastAsia="Times New Roman" w:cstheme="minorHAnsi"/>
        </w:rPr>
      </w:pPr>
      <w:r w:rsidRPr="00E85810">
        <w:rPr>
          <w:rFonts w:eastAsia="Times New Roman" w:cstheme="minorHAnsi"/>
          <w:b/>
          <w:lang w:val="pt-PT"/>
        </w:rPr>
        <w:t xml:space="preserve">Características, Tratamento Pré-hospitalar e Desfechos em Pacientes Avaliados em Hipoglicemia: Acesso Repetitivo a Atendimento Pré-Hospitalar ou de Emergência. </w:t>
      </w:r>
      <w:r w:rsidR="008363AF" w:rsidRPr="00E85810">
        <w:rPr>
          <w:rFonts w:eastAsia="Times New Roman" w:cstheme="minorHAnsi"/>
          <w:lang w:val="en-US"/>
        </w:rPr>
        <w:t xml:space="preserve">Sinclair J.E., Austin M, </w:t>
      </w:r>
      <w:proofErr w:type="spellStart"/>
      <w:r w:rsidR="008363AF" w:rsidRPr="00E85810">
        <w:rPr>
          <w:rFonts w:eastAsia="Times New Roman" w:cstheme="minorHAnsi"/>
          <w:lang w:val="en-US"/>
        </w:rPr>
        <w:t>Froats</w:t>
      </w:r>
      <w:proofErr w:type="spellEnd"/>
      <w:r w:rsidR="008363AF" w:rsidRPr="00E85810">
        <w:rPr>
          <w:rFonts w:eastAsia="Times New Roman" w:cstheme="minorHAnsi"/>
          <w:lang w:val="en-US"/>
        </w:rPr>
        <w:t xml:space="preserve"> M, et </w:t>
      </w:r>
      <w:proofErr w:type="spellStart"/>
      <w:proofErr w:type="gramStart"/>
      <w:r w:rsidR="008363AF" w:rsidRPr="00E85810">
        <w:rPr>
          <w:rFonts w:eastAsia="Times New Roman" w:cstheme="minorHAnsi"/>
          <w:lang w:val="en-US"/>
        </w:rPr>
        <w:t>al.</w:t>
      </w:r>
      <w:r w:rsidR="00096298" w:rsidRPr="00E85810">
        <w:rPr>
          <w:rFonts w:eastAsia="Times New Roman" w:cstheme="minorHAnsi"/>
          <w:lang w:val="en-US"/>
        </w:rPr>
        <w:t>Prehosp</w:t>
      </w:r>
      <w:proofErr w:type="spellEnd"/>
      <w:proofErr w:type="gramEnd"/>
      <w:r w:rsidR="00096298" w:rsidRPr="00E85810">
        <w:rPr>
          <w:rFonts w:eastAsia="Times New Roman" w:cstheme="minorHAnsi"/>
          <w:lang w:val="en-US"/>
        </w:rPr>
        <w:t xml:space="preserve"> </w:t>
      </w:r>
      <w:proofErr w:type="spellStart"/>
      <w:r w:rsidR="000B2DC9" w:rsidRPr="00E85810">
        <w:rPr>
          <w:rFonts w:eastAsia="Times New Roman" w:cstheme="minorHAnsi"/>
          <w:lang w:val="en-US"/>
        </w:rPr>
        <w:t>Emerg</w:t>
      </w:r>
      <w:proofErr w:type="spellEnd"/>
      <w:r w:rsidR="000B2DC9" w:rsidRPr="00E85810">
        <w:rPr>
          <w:rFonts w:eastAsia="Times New Roman" w:cstheme="minorHAnsi"/>
          <w:lang w:val="en-US"/>
        </w:rPr>
        <w:t xml:space="preserve"> Care</w:t>
      </w:r>
      <w:r w:rsidR="00096298" w:rsidRPr="00E85810">
        <w:rPr>
          <w:rFonts w:eastAsia="Times New Roman" w:cstheme="minorHAnsi"/>
          <w:lang w:val="en-US"/>
        </w:rPr>
        <w:t xml:space="preserve">.  </w:t>
      </w:r>
      <w:proofErr w:type="spellStart"/>
      <w:r w:rsidR="008363AF" w:rsidRPr="00E85810">
        <w:rPr>
          <w:rFonts w:eastAsia="Times New Roman" w:cstheme="minorHAnsi"/>
          <w:lang w:val="en-US"/>
        </w:rPr>
        <w:t>Publi</w:t>
      </w:r>
      <w:r w:rsidR="00E04920" w:rsidRPr="00E85810">
        <w:rPr>
          <w:rFonts w:eastAsia="Times New Roman" w:cstheme="minorHAnsi"/>
          <w:lang w:val="en-US"/>
        </w:rPr>
        <w:t>cado</w:t>
      </w:r>
      <w:proofErr w:type="spellEnd"/>
      <w:r w:rsidR="00E04920" w:rsidRPr="00E85810">
        <w:rPr>
          <w:rFonts w:eastAsia="Times New Roman" w:cstheme="minorHAnsi"/>
          <w:lang w:val="en-US"/>
        </w:rPr>
        <w:t xml:space="preserve"> </w:t>
      </w:r>
      <w:r w:rsidR="008363AF" w:rsidRPr="00E85810">
        <w:rPr>
          <w:rFonts w:eastAsia="Times New Roman" w:cstheme="minorHAnsi"/>
          <w:lang w:val="en-US"/>
        </w:rPr>
        <w:t>on-line Se</w:t>
      </w:r>
      <w:r w:rsidR="00E04920" w:rsidRPr="00E85810">
        <w:rPr>
          <w:rFonts w:eastAsia="Times New Roman" w:cstheme="minorHAnsi"/>
          <w:lang w:val="en-US"/>
        </w:rPr>
        <w:t>t</w:t>
      </w:r>
      <w:r w:rsidR="008363AF" w:rsidRPr="00E85810">
        <w:rPr>
          <w:rFonts w:eastAsia="Times New Roman" w:cstheme="minorHAnsi"/>
          <w:lang w:val="en-US"/>
        </w:rPr>
        <w:t xml:space="preserve"> 2018</w:t>
      </w:r>
      <w:r w:rsidR="00096298" w:rsidRPr="00E85810">
        <w:rPr>
          <w:rFonts w:eastAsia="Times New Roman" w:cstheme="minorHAnsi"/>
          <w:lang w:val="en-US"/>
        </w:rPr>
        <w:t>.</w:t>
      </w:r>
    </w:p>
    <w:p w14:paraId="7E3E5D47" w14:textId="77777777" w:rsidR="00392C1F" w:rsidRPr="002A0709" w:rsidRDefault="00392C1F" w:rsidP="00392C1F">
      <w:pPr>
        <w:pStyle w:val="PargrafodaLista"/>
        <w:spacing w:after="0" w:line="240" w:lineRule="auto"/>
        <w:ind w:left="360"/>
        <w:rPr>
          <w:rFonts w:eastAsia="Times New Roman" w:cstheme="minorHAnsi"/>
          <w:lang w:val="en-US"/>
        </w:rPr>
      </w:pPr>
    </w:p>
    <w:p w14:paraId="3A7E5DC7" w14:textId="7F8A6398" w:rsidR="00F86D73" w:rsidRPr="005561D4" w:rsidRDefault="00F86D73" w:rsidP="008363AF">
      <w:pPr>
        <w:pStyle w:val="SemEspaamento"/>
        <w:ind w:firstLine="360"/>
        <w:rPr>
          <w:lang w:val="pt-BR"/>
        </w:rPr>
      </w:pPr>
      <w:r w:rsidRPr="005561D4">
        <w:rPr>
          <w:lang w:val="pt-BR"/>
        </w:rPr>
        <w:t>Atualmente, o Canadá não possui um protocolo de tratamento e liberação</w:t>
      </w:r>
      <w:r w:rsidR="006404F3">
        <w:rPr>
          <w:lang w:val="pt-BR"/>
        </w:rPr>
        <w:t>,</w:t>
      </w:r>
      <w:r w:rsidRPr="005561D4">
        <w:rPr>
          <w:lang w:val="pt-BR"/>
        </w:rPr>
        <w:t xml:space="preserve"> para uso do pessoal do </w:t>
      </w:r>
      <w:r w:rsidR="00E04920" w:rsidRPr="00E04920">
        <w:rPr>
          <w:lang w:val="pt-BR"/>
        </w:rPr>
        <w:t>serviço médico de emergência</w:t>
      </w:r>
      <w:r w:rsidR="006404F3">
        <w:rPr>
          <w:lang w:val="pt-BR"/>
        </w:rPr>
        <w:t>,</w:t>
      </w:r>
      <w:r w:rsidRPr="00E04920">
        <w:rPr>
          <w:lang w:val="pt-BR"/>
        </w:rPr>
        <w:t xml:space="preserve"> </w:t>
      </w:r>
      <w:r w:rsidRPr="005561D4">
        <w:rPr>
          <w:lang w:val="pt-BR"/>
        </w:rPr>
        <w:t>no manejo de pacientes diabéticos que apresentam hipoglicemia. Além disso, a segurança dessa prática ainda não está clara. Também é preocupante o custo associado à avaliação, tratamento e transporte pré-hospitalar, bem como o custo</w:t>
      </w:r>
      <w:r w:rsidR="006404F3">
        <w:rPr>
          <w:lang w:val="pt-BR"/>
        </w:rPr>
        <w:t xml:space="preserve"> do</w:t>
      </w:r>
      <w:r w:rsidRPr="005561D4">
        <w:rPr>
          <w:lang w:val="pt-BR"/>
        </w:rPr>
        <w:t xml:space="preserve"> departamento de emergência </w:t>
      </w:r>
      <w:r w:rsidR="006404F3">
        <w:rPr>
          <w:lang w:val="pt-BR"/>
        </w:rPr>
        <w:t xml:space="preserve">na avaliação </w:t>
      </w:r>
      <w:r w:rsidRPr="005561D4">
        <w:rPr>
          <w:lang w:val="pt-BR"/>
        </w:rPr>
        <w:t xml:space="preserve">de pacientes que não recebem tratamento </w:t>
      </w:r>
      <w:r w:rsidR="006404F3">
        <w:rPr>
          <w:lang w:val="pt-BR"/>
        </w:rPr>
        <w:t>inicial</w:t>
      </w:r>
      <w:r w:rsidRPr="005561D4">
        <w:rPr>
          <w:lang w:val="pt-BR"/>
        </w:rPr>
        <w:t>. Este estudo foi realizado para descrever as características, o manejo e os desfechos de pacientes com hipoglicemia tratados por paramédicos e para determinar os preditores de acesso repetido ao atendimento pré-hospitalar ou de emergência dentro de 72 horas da avaliação inicial do paramédico.</w:t>
      </w:r>
    </w:p>
    <w:p w14:paraId="1611AA8F" w14:textId="59D5E02F" w:rsidR="005561D4" w:rsidRPr="005561D4" w:rsidRDefault="005561D4" w:rsidP="00363F26">
      <w:pPr>
        <w:pStyle w:val="SemEspaamento"/>
        <w:ind w:firstLine="360"/>
        <w:rPr>
          <w:lang w:val="pt-BR"/>
        </w:rPr>
      </w:pPr>
      <w:r w:rsidRPr="005561D4">
        <w:rPr>
          <w:lang w:val="pt-BR"/>
        </w:rPr>
        <w:lastRenderedPageBreak/>
        <w:t>Uma revisão de relatórios de atendimento pré-hospitalar do Serviço Paramédico de Ottawa (Canadá) e registros de 4 departamentos de emergência localizados em Ottawa, Canadá, foi conduzida por um período de 12 meses (1 de janeiro de 2011 a 31 de dezembro de 2011). A seleção dos doentes para consideração foi baseada em adultos (18 anos ou</w:t>
      </w:r>
      <w:r w:rsidR="00510F7A">
        <w:rPr>
          <w:lang w:val="pt-BR"/>
        </w:rPr>
        <w:t xml:space="preserve"> </w:t>
      </w:r>
      <w:r w:rsidRPr="005561D4">
        <w:rPr>
          <w:lang w:val="pt-BR"/>
        </w:rPr>
        <w:t>&gt;) que tinham pelo menos um</w:t>
      </w:r>
      <w:r w:rsidR="006404F3">
        <w:rPr>
          <w:lang w:val="pt-BR"/>
        </w:rPr>
        <w:t>a medição</w:t>
      </w:r>
      <w:r w:rsidRPr="005561D4">
        <w:rPr>
          <w:lang w:val="pt-BR"/>
        </w:rPr>
        <w:t xml:space="preserve"> de glicose no sangue documentad</w:t>
      </w:r>
      <w:r w:rsidR="006404F3">
        <w:rPr>
          <w:lang w:val="pt-BR"/>
        </w:rPr>
        <w:t>a com nível</w:t>
      </w:r>
      <w:r w:rsidRPr="005561D4">
        <w:rPr>
          <w:lang w:val="pt-BR"/>
        </w:rPr>
        <w:t xml:space="preserve"> inferior a 72 mg / dl (4,0 mmol / L) com ou sem história de diabetes e que tinha sido avaliado por paramédicos independentemente de tratamento ou transporte. Foram identificados 1.177 pacientes que preencheram os critérios iniciais de inclusão. Após a aplicação dos critérios de exclusão (idade inferior a 18 anos, necessidade de intervenção ativa nas vias aéreas, ausência de sinais vitais, presença de doença terminal), a amostra final para revisão foi de 791 pacientes.</w:t>
      </w:r>
    </w:p>
    <w:p w14:paraId="4E2382C6" w14:textId="3915736E" w:rsidR="005561D4" w:rsidRPr="006F14C3" w:rsidRDefault="005561D4" w:rsidP="00363F26">
      <w:pPr>
        <w:pStyle w:val="SemEspaamento"/>
        <w:ind w:firstLine="360"/>
        <w:rPr>
          <w:lang w:val="pt-BR"/>
        </w:rPr>
      </w:pPr>
      <w:r w:rsidRPr="006F14C3">
        <w:rPr>
          <w:lang w:val="pt-BR"/>
        </w:rPr>
        <w:t>Dos 791 pacientes avaliados e tratados pelos paramédicos para hipoglicemia, 235 pacientes (29,7%) recusaram o transporte, enquanto 556 pacientes (70,3%) foram transportados para um dos 4 departamentos de emergência participantes. O nível médio de glicose na avaliação pré-hospitalar foi de 50 mg / dl (2,8 mmol / L). Curiosamente, 487 pacientes (61,6%) tinham história de diabetes e 343 pacientes (46,1%) estavam em uso de insulina, enquanto 304 não relataram história de diabetes. Dos 556 pacientes transportados para um departamento de emergência</w:t>
      </w:r>
      <w:r w:rsidR="00510F7A" w:rsidRPr="006F14C3">
        <w:rPr>
          <w:lang w:val="pt-BR"/>
        </w:rPr>
        <w:t>,</w:t>
      </w:r>
      <w:r w:rsidRPr="006F14C3">
        <w:rPr>
          <w:lang w:val="pt-BR"/>
        </w:rPr>
        <w:t xml:space="preserve"> 134 (24,1%) foram admitidos no hospital, 9 (1,6%) morreram no departamento de emergência (sepse, infarto do miocárdio, hemorragia intracerebral), 383 (68,9%) tiveram alta do departamento de emergência, e 29 (5,2%) </w:t>
      </w:r>
      <w:r w:rsidR="006404F3" w:rsidRPr="006F14C3">
        <w:rPr>
          <w:lang w:val="pt-BR"/>
        </w:rPr>
        <w:t>deixaram o serviço contra orientação médica.</w:t>
      </w:r>
      <w:r w:rsidRPr="006F14C3">
        <w:rPr>
          <w:lang w:val="pt-BR"/>
        </w:rPr>
        <w:t xml:space="preserve"> Dos 383 pacientes que receberam alta do departamento de emergência</w:t>
      </w:r>
      <w:r w:rsidR="00510F7A" w:rsidRPr="006F14C3">
        <w:rPr>
          <w:lang w:val="pt-BR"/>
        </w:rPr>
        <w:t>,</w:t>
      </w:r>
      <w:r w:rsidRPr="006F14C3">
        <w:rPr>
          <w:lang w:val="pt-BR"/>
        </w:rPr>
        <w:t xml:space="preserve"> 199 (51,9%) não tiveram tratamento </w:t>
      </w:r>
      <w:r w:rsidR="006404F3" w:rsidRPr="006F14C3">
        <w:rPr>
          <w:lang w:val="pt-BR"/>
        </w:rPr>
        <w:t>a</w:t>
      </w:r>
      <w:r w:rsidRPr="006F14C3">
        <w:rPr>
          <w:lang w:val="pt-BR"/>
        </w:rPr>
        <w:t xml:space="preserve">dicional no departamento de emergência, com exceção do exame de sangue. No total, 43 (5,4%) pacientes necessitaram de atendimento pré-hospitalar e / ou de emergência no prazo de 72 horas após o evento hipoglicêmico inicial. Dos 43 pacientes </w:t>
      </w:r>
      <w:r w:rsidR="006F14C3" w:rsidRPr="006F14C3">
        <w:rPr>
          <w:lang w:val="pt-BR"/>
        </w:rPr>
        <w:t>que necessitaram novo atendimento</w:t>
      </w:r>
      <w:r w:rsidRPr="006F14C3">
        <w:rPr>
          <w:lang w:val="pt-BR"/>
        </w:rPr>
        <w:t xml:space="preserve">, 8 pacientes (18,6%) </w:t>
      </w:r>
      <w:r w:rsidR="006F14C3" w:rsidRPr="006F14C3">
        <w:rPr>
          <w:lang w:val="pt-BR"/>
        </w:rPr>
        <w:t xml:space="preserve">evoluíram para evento </w:t>
      </w:r>
      <w:r w:rsidRPr="006F14C3">
        <w:rPr>
          <w:lang w:val="pt-BR"/>
        </w:rPr>
        <w:t>hipoglicêmico recorrente. A análise mostrou que, em comparação com os pacientes que não necessitaram de acesso repetido aos cuidados, os que com frequência tinham histórico de convulsões e dependência de álcool tinham maior probabilidade de receber gel oral de glicose pelos paramédicos e provavelmente não usavam insulina.</w:t>
      </w:r>
    </w:p>
    <w:p w14:paraId="4ACE41D2" w14:textId="6F3DF02D" w:rsidR="005561D4" w:rsidRPr="006007F2" w:rsidRDefault="005561D4" w:rsidP="008363AF">
      <w:pPr>
        <w:pStyle w:val="SemEspaamento"/>
        <w:ind w:firstLine="360"/>
        <w:rPr>
          <w:lang w:val="pt-BR"/>
        </w:rPr>
      </w:pPr>
      <w:r w:rsidRPr="006007F2">
        <w:rPr>
          <w:lang w:val="pt-BR"/>
        </w:rPr>
        <w:t xml:space="preserve">Devido à natureza retrospectiva do estudo, existe a possibilidade de que eventos adversos possam ter sido perdidos. A definição de hipoglicemia utilizada para o estudo foi menor do que a tradicionalmente utilizada em estudos anteriores de 72 mg / dl ou menos versus 80 mg / dl ou menos). </w:t>
      </w:r>
      <w:r w:rsidR="006007F2">
        <w:rPr>
          <w:lang w:val="pt-BR"/>
        </w:rPr>
        <w:t>P</w:t>
      </w:r>
      <w:r w:rsidRPr="006007F2">
        <w:rPr>
          <w:lang w:val="pt-BR"/>
        </w:rPr>
        <w:t>acientes</w:t>
      </w:r>
      <w:r w:rsidR="006F14C3">
        <w:rPr>
          <w:lang w:val="pt-BR"/>
        </w:rPr>
        <w:t xml:space="preserve"> </w:t>
      </w:r>
      <w:r w:rsidR="006F14C3" w:rsidRPr="006F14C3">
        <w:rPr>
          <w:lang w:val="pt-BR"/>
        </w:rPr>
        <w:t xml:space="preserve">que necessitaram </w:t>
      </w:r>
      <w:r w:rsidR="006F14C3">
        <w:rPr>
          <w:lang w:val="pt-BR"/>
        </w:rPr>
        <w:t xml:space="preserve">de </w:t>
      </w:r>
      <w:r w:rsidR="006F14C3" w:rsidRPr="006F14C3">
        <w:rPr>
          <w:lang w:val="pt-BR"/>
        </w:rPr>
        <w:t>novo atendimento</w:t>
      </w:r>
      <w:r w:rsidR="006F14C3">
        <w:rPr>
          <w:lang w:val="pt-BR"/>
        </w:rPr>
        <w:t xml:space="preserve"> p</w:t>
      </w:r>
      <w:r w:rsidRPr="006007F2">
        <w:rPr>
          <w:lang w:val="pt-BR"/>
        </w:rPr>
        <w:t xml:space="preserve">odem ter sido </w:t>
      </w:r>
      <w:r w:rsidR="006F14C3" w:rsidRPr="006F14C3">
        <w:rPr>
          <w:lang w:val="pt-BR"/>
        </w:rPr>
        <w:t>faltado no</w:t>
      </w:r>
      <w:r w:rsidR="006F14C3">
        <w:rPr>
          <w:lang w:val="pt-BR"/>
        </w:rPr>
        <w:t xml:space="preserve">s dados do </w:t>
      </w:r>
      <w:r w:rsidR="006F14C3" w:rsidRPr="006F14C3">
        <w:rPr>
          <w:lang w:val="pt-BR"/>
        </w:rPr>
        <w:t>estudo</w:t>
      </w:r>
      <w:r w:rsidRPr="006F14C3">
        <w:rPr>
          <w:lang w:val="pt-BR"/>
        </w:rPr>
        <w:t xml:space="preserve"> </w:t>
      </w:r>
      <w:r w:rsidRPr="006007F2">
        <w:rPr>
          <w:lang w:val="pt-BR"/>
        </w:rPr>
        <w:t>se eles foram transportados por um programa de serviço diferente</w:t>
      </w:r>
      <w:r w:rsidR="006F14C3">
        <w:rPr>
          <w:lang w:val="pt-BR"/>
        </w:rPr>
        <w:t xml:space="preserve"> ou</w:t>
      </w:r>
      <w:r w:rsidRPr="006007F2">
        <w:rPr>
          <w:lang w:val="pt-BR"/>
        </w:rPr>
        <w:t xml:space="preserve"> para um hospital fora do grupo de estudo.</w:t>
      </w:r>
    </w:p>
    <w:p w14:paraId="57B21F34" w14:textId="4C901F19" w:rsidR="000B2DC9" w:rsidRPr="006007F2" w:rsidRDefault="005561D4" w:rsidP="000B2DC9">
      <w:pPr>
        <w:pStyle w:val="SemEspaamento"/>
        <w:ind w:firstLine="360"/>
        <w:rPr>
          <w:lang w:val="pt-BR"/>
        </w:rPr>
      </w:pPr>
      <w:r w:rsidRPr="006007F2">
        <w:rPr>
          <w:lang w:val="pt-BR"/>
        </w:rPr>
        <w:t>Este estudo constatou que os pacientes com um evento hipoglicêmico pré-hospitalar, particularmente aqueles com insulina, eram menos propensos a precisar de repetição do SME ou atendimento do departamento de emergência após o tratamento inicial pelos paramédicos. Além disso, um número significativo de pacientes tratados por hipoglicemia por paramédicos e transportados para o departamento de emergência receberam alta sem qualquer tratamento adicional. Esses achados sugerem que o tratamento e a liberação de pacientes que apresentam um evento hipoglicêmico podem ser seguros e adequados. Estudos adicionais devem ser considerados para estabelecer condições de pacientes predisponentes para apoiar protocolos de tratamento e liberação por paramédicos para auxiliar na diminuição de visitas ao departamento de emergência e custo associado com transporte e visitas de emergência, bem como identificar causas de hipoglicemia em pacientes sem diabetes documentad</w:t>
      </w:r>
      <w:r w:rsidR="006F14C3">
        <w:rPr>
          <w:lang w:val="pt-BR"/>
        </w:rPr>
        <w:t>a</w:t>
      </w:r>
      <w:r w:rsidRPr="006007F2">
        <w:rPr>
          <w:lang w:val="pt-BR"/>
        </w:rPr>
        <w:t>.</w:t>
      </w:r>
    </w:p>
    <w:p w14:paraId="6D1BDAF0" w14:textId="77777777" w:rsidR="005561D4" w:rsidRPr="002A0709" w:rsidRDefault="005561D4" w:rsidP="000B2DC9">
      <w:pPr>
        <w:pStyle w:val="SemEspaamento"/>
        <w:ind w:firstLine="360"/>
        <w:rPr>
          <w:lang w:val="pt-BR"/>
        </w:rPr>
      </w:pPr>
    </w:p>
    <w:p w14:paraId="75B87047" w14:textId="77777777" w:rsidR="002A0709" w:rsidRPr="002A0709" w:rsidRDefault="002A0709" w:rsidP="002A0709">
      <w:pPr>
        <w:pStyle w:val="SemEspaamento"/>
        <w:ind w:left="1440"/>
      </w:pPr>
    </w:p>
    <w:p w14:paraId="680C3E11" w14:textId="77777777" w:rsidR="00E85810" w:rsidRPr="00E85810" w:rsidRDefault="00E85810" w:rsidP="00E85810">
      <w:pPr>
        <w:pStyle w:val="SemEspaamento"/>
        <w:ind w:left="720"/>
      </w:pPr>
    </w:p>
    <w:p w14:paraId="39B59E63" w14:textId="77777777" w:rsidR="00E85810" w:rsidRPr="00E85810" w:rsidRDefault="00E85810" w:rsidP="00E85810">
      <w:pPr>
        <w:pStyle w:val="SemEspaamento"/>
        <w:ind w:left="720"/>
      </w:pPr>
    </w:p>
    <w:p w14:paraId="676405A0" w14:textId="38B6039E" w:rsidR="00BD171A" w:rsidRDefault="006007F2" w:rsidP="00E85810">
      <w:pPr>
        <w:pStyle w:val="SemEspaamento"/>
        <w:numPr>
          <w:ilvl w:val="0"/>
          <w:numId w:val="12"/>
        </w:numPr>
      </w:pPr>
      <w:r w:rsidRPr="007C17A2">
        <w:rPr>
          <w:rFonts w:eastAsia="Times New Roman" w:cstheme="minorHAnsi"/>
          <w:b/>
          <w:lang w:val="pt-PT"/>
        </w:rPr>
        <w:lastRenderedPageBreak/>
        <w:t xml:space="preserve">Contramedidas Médicas de Contingência </w:t>
      </w:r>
      <w:r>
        <w:rPr>
          <w:rFonts w:eastAsia="Times New Roman" w:cstheme="minorHAnsi"/>
          <w:b/>
          <w:lang w:val="pt-PT"/>
        </w:rPr>
        <w:t>na</w:t>
      </w:r>
      <w:r w:rsidRPr="007C17A2">
        <w:rPr>
          <w:rFonts w:eastAsia="Times New Roman" w:cstheme="minorHAnsi"/>
          <w:b/>
          <w:lang w:val="pt-PT"/>
        </w:rPr>
        <w:t xml:space="preserve"> Exposição</w:t>
      </w:r>
      <w:r>
        <w:rPr>
          <w:rFonts w:eastAsia="Times New Roman" w:cstheme="minorHAnsi"/>
          <w:b/>
          <w:lang w:val="pt-PT"/>
        </w:rPr>
        <w:t xml:space="preserve"> em Massa</w:t>
      </w:r>
      <w:r w:rsidRPr="007C17A2">
        <w:rPr>
          <w:rFonts w:eastAsia="Times New Roman" w:cstheme="minorHAnsi"/>
          <w:b/>
          <w:lang w:val="pt-PT"/>
        </w:rPr>
        <w:t xml:space="preserve"> a</w:t>
      </w:r>
      <w:r>
        <w:rPr>
          <w:rFonts w:eastAsia="Times New Roman" w:cstheme="minorHAnsi"/>
          <w:b/>
          <w:lang w:val="pt-PT"/>
        </w:rPr>
        <w:t xml:space="preserve"> Agente Neurotóxico</w:t>
      </w:r>
      <w:r w:rsidRPr="007C17A2">
        <w:rPr>
          <w:rFonts w:eastAsia="Times New Roman" w:cstheme="minorHAnsi"/>
          <w:b/>
          <w:lang w:val="pt-PT"/>
        </w:rPr>
        <w:t xml:space="preserve">: Uso de Alternativas Farmacêuticas para Antídotos </w:t>
      </w:r>
      <w:r w:rsidRPr="006F14C3">
        <w:rPr>
          <w:rFonts w:eastAsia="Times New Roman" w:cstheme="minorHAnsi"/>
          <w:b/>
          <w:lang w:val="pt-PT"/>
        </w:rPr>
        <w:t xml:space="preserve">Armazenados </w:t>
      </w:r>
      <w:r w:rsidRPr="007C17A2">
        <w:rPr>
          <w:rFonts w:eastAsia="Times New Roman" w:cstheme="minorHAnsi"/>
          <w:b/>
          <w:lang w:val="pt-PT"/>
        </w:rPr>
        <w:t>na Comunidade</w:t>
      </w:r>
      <w:r>
        <w:rPr>
          <w:rFonts w:eastAsia="Times New Roman" w:cstheme="minorHAnsi"/>
          <w:b/>
          <w:lang w:val="pt-PT"/>
        </w:rPr>
        <w:t>.</w:t>
      </w:r>
      <w:r w:rsidRPr="002A0709">
        <w:rPr>
          <w:rFonts w:eastAsia="Times New Roman" w:cstheme="minorHAnsi"/>
          <w:b/>
          <w:lang w:val="pt-BR"/>
        </w:rPr>
        <w:t xml:space="preserve">  </w:t>
      </w:r>
      <w:r w:rsidR="0049245A">
        <w:t xml:space="preserve">Schwartz </w:t>
      </w:r>
      <w:r w:rsidR="0049245A" w:rsidRPr="0049245A">
        <w:t xml:space="preserve">M, Sutter M, </w:t>
      </w:r>
      <w:proofErr w:type="spellStart"/>
      <w:r w:rsidR="0049245A" w:rsidRPr="0049245A">
        <w:t>Eisnor</w:t>
      </w:r>
      <w:proofErr w:type="spellEnd"/>
      <w:r w:rsidR="0049245A" w:rsidRPr="0049245A">
        <w:t xml:space="preserve"> D, Kirk M.</w:t>
      </w:r>
      <w:r w:rsidR="0024264F">
        <w:t xml:space="preserve">  </w:t>
      </w:r>
      <w:r w:rsidR="000B2DC9">
        <w:t>Disaster Med</w:t>
      </w:r>
      <w:r w:rsidR="0024264F">
        <w:t xml:space="preserve"> </w:t>
      </w:r>
      <w:r w:rsidR="0049245A">
        <w:t>Public Health Preparedness</w:t>
      </w:r>
      <w:r w:rsidR="00852D41">
        <w:t xml:space="preserve">. </w:t>
      </w:r>
      <w:r w:rsidR="0049245A">
        <w:t xml:space="preserve"> </w:t>
      </w:r>
      <w:proofErr w:type="spellStart"/>
      <w:r w:rsidR="0049245A">
        <w:t>Publi</w:t>
      </w:r>
      <w:r>
        <w:t>cado</w:t>
      </w:r>
      <w:proofErr w:type="spellEnd"/>
      <w:r w:rsidR="0049245A">
        <w:t xml:space="preserve"> on-line </w:t>
      </w:r>
      <w:proofErr w:type="spellStart"/>
      <w:r w:rsidR="0049245A">
        <w:t>O</w:t>
      </w:r>
      <w:r>
        <w:t>utubro</w:t>
      </w:r>
      <w:proofErr w:type="spellEnd"/>
      <w:r w:rsidR="0049245A">
        <w:t xml:space="preserve"> 2018</w:t>
      </w:r>
      <w:r w:rsidR="0049245A" w:rsidRPr="00BD171A">
        <w:t xml:space="preserve"> </w:t>
      </w:r>
    </w:p>
    <w:p w14:paraId="0338AF02" w14:textId="77777777" w:rsidR="0049245A" w:rsidRPr="00BD171A" w:rsidRDefault="0049245A" w:rsidP="0049245A">
      <w:pPr>
        <w:pStyle w:val="SemEspaamento"/>
        <w:ind w:left="360"/>
      </w:pPr>
    </w:p>
    <w:p w14:paraId="309E9813" w14:textId="6287A680" w:rsidR="0049245A" w:rsidRPr="002A0709" w:rsidRDefault="006007F2" w:rsidP="0049245A">
      <w:pPr>
        <w:pStyle w:val="SemEspaamento"/>
        <w:ind w:firstLine="360"/>
        <w:rPr>
          <w:lang w:val="pt-BR"/>
        </w:rPr>
      </w:pPr>
      <w:r w:rsidRPr="006007F2">
        <w:rPr>
          <w:lang w:val="pt-BR"/>
        </w:rPr>
        <w:t xml:space="preserve">Ter estoque suficiente de contramedidas médicas para o tratamento de múltiplos pacientes envenenados por um agente </w:t>
      </w:r>
      <w:proofErr w:type="spellStart"/>
      <w:r w:rsidRPr="006007F2">
        <w:rPr>
          <w:lang w:val="pt-BR"/>
        </w:rPr>
        <w:t>ne</w:t>
      </w:r>
      <w:r w:rsidR="00A7399D">
        <w:rPr>
          <w:lang w:val="pt-BR"/>
        </w:rPr>
        <w:t>urot</w:t>
      </w:r>
      <w:r w:rsidR="00C16585">
        <w:rPr>
          <w:lang w:val="pt-BR"/>
        </w:rPr>
        <w:t>óxico</w:t>
      </w:r>
      <w:proofErr w:type="spellEnd"/>
      <w:r w:rsidRPr="006007F2">
        <w:rPr>
          <w:lang w:val="pt-BR"/>
        </w:rPr>
        <w:t xml:space="preserve"> inibidor da acetilcolinesterase após uma exposição química em massa é um desafio para todas as comunidades. Embora existam agentes farmacêuticos de primeira linha atuais (atropina, </w:t>
      </w:r>
      <w:proofErr w:type="spellStart"/>
      <w:r w:rsidRPr="006007F2">
        <w:rPr>
          <w:lang w:val="pt-BR"/>
        </w:rPr>
        <w:t>diazepam</w:t>
      </w:r>
      <w:proofErr w:type="spellEnd"/>
      <w:r w:rsidRPr="006007F2">
        <w:rPr>
          <w:lang w:val="pt-BR"/>
        </w:rPr>
        <w:t xml:space="preserve">, </w:t>
      </w:r>
      <w:proofErr w:type="spellStart"/>
      <w:r w:rsidRPr="006007F2">
        <w:rPr>
          <w:lang w:val="pt-BR"/>
        </w:rPr>
        <w:t>pralidoxima</w:t>
      </w:r>
      <w:proofErr w:type="spellEnd"/>
      <w:r w:rsidRPr="006007F2">
        <w:rPr>
          <w:lang w:val="pt-BR"/>
        </w:rPr>
        <w:t xml:space="preserve">) disponíveis para a exposição </w:t>
      </w:r>
      <w:r w:rsidR="00C16585">
        <w:rPr>
          <w:lang w:val="pt-BR"/>
        </w:rPr>
        <w:t>ao</w:t>
      </w:r>
      <w:r w:rsidRPr="006007F2">
        <w:rPr>
          <w:lang w:val="pt-BR"/>
        </w:rPr>
        <w:t xml:space="preserve"> </w:t>
      </w:r>
      <w:r w:rsidRPr="006F14C3">
        <w:rPr>
          <w:lang w:val="pt-BR"/>
        </w:rPr>
        <w:t xml:space="preserve">agente </w:t>
      </w:r>
      <w:proofErr w:type="spellStart"/>
      <w:r w:rsidR="006F14C3" w:rsidRPr="006F14C3">
        <w:rPr>
          <w:lang w:val="pt-BR"/>
        </w:rPr>
        <w:t>neu</w:t>
      </w:r>
      <w:r w:rsidR="00C16585">
        <w:rPr>
          <w:lang w:val="pt-BR"/>
        </w:rPr>
        <w:t>r</w:t>
      </w:r>
      <w:r w:rsidR="006F14C3" w:rsidRPr="006F14C3">
        <w:rPr>
          <w:lang w:val="pt-BR"/>
        </w:rPr>
        <w:t>otóxico</w:t>
      </w:r>
      <w:proofErr w:type="spellEnd"/>
      <w:r w:rsidRPr="006007F2">
        <w:rPr>
          <w:lang w:val="pt-BR"/>
        </w:rPr>
        <w:t>, eles são</w:t>
      </w:r>
      <w:r w:rsidRPr="002A0709">
        <w:rPr>
          <w:lang w:val="pt-BR"/>
        </w:rPr>
        <w:t xml:space="preserve"> </w:t>
      </w:r>
      <w:r w:rsidRPr="006007F2">
        <w:rPr>
          <w:lang w:val="pt-BR"/>
        </w:rPr>
        <w:t xml:space="preserve">limitados em número e podem não ser suficiente para uma exposição em grande escala. Agentes farmacêuticos alternativos, </w:t>
      </w:r>
      <w:r w:rsidR="002B35F0">
        <w:rPr>
          <w:lang w:val="pt-BR"/>
        </w:rPr>
        <w:t>vias</w:t>
      </w:r>
      <w:r w:rsidRPr="006007F2">
        <w:rPr>
          <w:lang w:val="pt-BR"/>
        </w:rPr>
        <w:t xml:space="preserve"> de administração e dispositivos de liberação precisam ser explorados.</w:t>
      </w:r>
    </w:p>
    <w:p w14:paraId="7A3819F2" w14:textId="3564F8D7" w:rsidR="006007F2" w:rsidRPr="002E59A6" w:rsidRDefault="006007F2" w:rsidP="006007F2">
      <w:pPr>
        <w:pStyle w:val="SemEspaamento"/>
        <w:ind w:firstLine="360"/>
        <w:rPr>
          <w:lang w:val="pt-BR"/>
        </w:rPr>
      </w:pPr>
      <w:r w:rsidRPr="002E59A6">
        <w:rPr>
          <w:lang w:val="pt-BR"/>
        </w:rPr>
        <w:t xml:space="preserve">Um grupo de trabalho de especialistas </w:t>
      </w:r>
      <w:r w:rsidR="002B35F0" w:rsidRPr="00E04920">
        <w:rPr>
          <w:lang w:val="pt-BR"/>
        </w:rPr>
        <w:t>a</w:t>
      </w:r>
      <w:r w:rsidRPr="00E04920">
        <w:rPr>
          <w:lang w:val="pt-BR"/>
        </w:rPr>
        <w:t xml:space="preserve">d hoc </w:t>
      </w:r>
      <w:r w:rsidRPr="002E59A6">
        <w:rPr>
          <w:lang w:val="pt-BR"/>
        </w:rPr>
        <w:t xml:space="preserve">foi convocado e realizou uma revisão de artigos publicados e discutiu agentes farmacêuticos alternativos que atendiam aos requisitos da Empresa de Contramedidas Médicas de Emergências </w:t>
      </w:r>
      <w:r w:rsidR="002B35F0">
        <w:rPr>
          <w:lang w:val="pt-BR"/>
        </w:rPr>
        <w:t xml:space="preserve">em Saúde Pública </w:t>
      </w:r>
      <w:r w:rsidRPr="002E59A6">
        <w:rPr>
          <w:lang w:val="pt-BR"/>
        </w:rPr>
        <w:t>(</w:t>
      </w:r>
      <w:r w:rsidR="002B35F0" w:rsidRPr="002B35F0">
        <w:rPr>
          <w:lang w:val="pt-BR"/>
        </w:rPr>
        <w:t xml:space="preserve">Public Health Emergency Medical Countermeasures Enterprise </w:t>
      </w:r>
      <w:r w:rsidR="002B35F0">
        <w:rPr>
          <w:lang w:val="pt-BR"/>
        </w:rPr>
        <w:t xml:space="preserve">- </w:t>
      </w:r>
      <w:r w:rsidRPr="002E59A6">
        <w:rPr>
          <w:lang w:val="pt-BR"/>
        </w:rPr>
        <w:t xml:space="preserve">PHEMCE) para contramedidas de agentes </w:t>
      </w:r>
      <w:bookmarkStart w:id="2" w:name="_Hlk16535954"/>
      <w:r w:rsidR="00B62F90">
        <w:rPr>
          <w:lang w:val="pt-BR"/>
        </w:rPr>
        <w:t>neurotóxicos</w:t>
      </w:r>
      <w:bookmarkEnd w:id="2"/>
      <w:r w:rsidRPr="002E59A6">
        <w:rPr>
          <w:lang w:val="pt-BR"/>
        </w:rPr>
        <w:t xml:space="preserve">. A evidência disponível foi revisada e discutida para apoiar a utilização </w:t>
      </w:r>
      <w:r w:rsidR="002B35F0" w:rsidRPr="002E59A6">
        <w:rPr>
          <w:lang w:val="pt-BR"/>
        </w:rPr>
        <w:t xml:space="preserve">de vias de administração </w:t>
      </w:r>
      <w:r w:rsidR="002B35F0">
        <w:rPr>
          <w:lang w:val="pt-BR"/>
        </w:rPr>
        <w:t xml:space="preserve">e </w:t>
      </w:r>
      <w:r w:rsidRPr="002E59A6">
        <w:rPr>
          <w:lang w:val="pt-BR"/>
        </w:rPr>
        <w:t xml:space="preserve">de antídotos de agentes </w:t>
      </w:r>
      <w:r w:rsidR="00B62F90">
        <w:rPr>
          <w:lang w:val="pt-BR"/>
        </w:rPr>
        <w:t>neurotóxicos</w:t>
      </w:r>
      <w:r w:rsidR="00B62F90" w:rsidRPr="002E59A6">
        <w:rPr>
          <w:lang w:val="pt-BR"/>
        </w:rPr>
        <w:t xml:space="preserve"> </w:t>
      </w:r>
      <w:r w:rsidRPr="002E59A6">
        <w:rPr>
          <w:lang w:val="pt-BR"/>
        </w:rPr>
        <w:t>de primeira linha não tradicionais</w:t>
      </w:r>
      <w:r w:rsidR="002B35F0">
        <w:rPr>
          <w:lang w:val="pt-BR"/>
        </w:rPr>
        <w:t xml:space="preserve">, </w:t>
      </w:r>
      <w:r w:rsidRPr="002E59A6">
        <w:rPr>
          <w:lang w:val="pt-BR"/>
        </w:rPr>
        <w:t>durante a liberação em larga escala de um agente inibidor da acetilcolinesterase. Alternativas à atropina incluem ciclopentolato, glicopirrolato, propantelina e ipratrópio ou tiotrópio. Benzodiazepínicos alternativos ao diazepam incluem midazolam e lorazepam.</w:t>
      </w:r>
    </w:p>
    <w:p w14:paraId="6CCC1391" w14:textId="433727DB" w:rsidR="00943813" w:rsidRPr="00B62F90" w:rsidRDefault="006007F2" w:rsidP="006007F2">
      <w:pPr>
        <w:pStyle w:val="SemEspaamento"/>
        <w:ind w:firstLine="360"/>
        <w:rPr>
          <w:lang w:val="pt-BR"/>
        </w:rPr>
      </w:pPr>
      <w:r w:rsidRPr="00B62F90">
        <w:rPr>
          <w:lang w:val="pt-BR"/>
        </w:rPr>
        <w:t>A utilização de agentes farmacêuticos alternativos (se prontamente disponíveis) e vias de administração podem ser benéficas durante o tratamento de múltiplos pacientes após uma liber</w:t>
      </w:r>
      <w:r w:rsidR="006F14C3" w:rsidRPr="00B62F90">
        <w:rPr>
          <w:lang w:val="pt-BR"/>
        </w:rPr>
        <w:t>ação</w:t>
      </w:r>
      <w:r w:rsidRPr="00B62F90">
        <w:rPr>
          <w:lang w:val="pt-BR"/>
        </w:rPr>
        <w:t xml:space="preserve"> em grande escala de um agente </w:t>
      </w:r>
      <w:r w:rsidR="006F14C3" w:rsidRPr="00B62F90">
        <w:rPr>
          <w:lang w:val="pt-BR"/>
        </w:rPr>
        <w:t>neurotóxico</w:t>
      </w:r>
      <w:r w:rsidRPr="00B62F90">
        <w:rPr>
          <w:lang w:val="pt-BR"/>
        </w:rPr>
        <w:t xml:space="preserve">. Infelizmente, a maioria dos programas de </w:t>
      </w:r>
      <w:r w:rsidR="00CA2ACA" w:rsidRPr="00B62F90">
        <w:rPr>
          <w:lang w:val="pt-BR"/>
        </w:rPr>
        <w:t>serviços de atendimento pré-hospitalar</w:t>
      </w:r>
      <w:r w:rsidRPr="00B62F90">
        <w:rPr>
          <w:lang w:val="pt-BR"/>
        </w:rPr>
        <w:t xml:space="preserve"> não será capaz de utilizar os resultados deste grupo de estudo sem o envolvimento de orientação médica e mudanças no protocolo local</w:t>
      </w:r>
      <w:r w:rsidR="002B35F0" w:rsidRPr="00B62F90">
        <w:rPr>
          <w:lang w:val="pt-BR"/>
        </w:rPr>
        <w:t>, além de</w:t>
      </w:r>
      <w:r w:rsidRPr="00B62F90">
        <w:rPr>
          <w:lang w:val="pt-BR"/>
        </w:rPr>
        <w:t xml:space="preserve"> possíveis mudanças no escopo de prática do provedor de </w:t>
      </w:r>
      <w:r w:rsidR="00CA2ACA" w:rsidRPr="00B62F90">
        <w:rPr>
          <w:lang w:val="pt-BR"/>
        </w:rPr>
        <w:t>serviços de atendimento pré-hospitalar</w:t>
      </w:r>
      <w:r w:rsidRPr="00B62F90">
        <w:rPr>
          <w:lang w:val="pt-BR"/>
        </w:rPr>
        <w:t>. Além disso, a maioria dos medicamentos alternativos não está disponível rotineiramente nos veículos</w:t>
      </w:r>
      <w:r w:rsidR="00CA2ACA" w:rsidRPr="00B62F90">
        <w:rPr>
          <w:lang w:val="pt-BR"/>
        </w:rPr>
        <w:t xml:space="preserve"> dos</w:t>
      </w:r>
      <w:r w:rsidRPr="00B62F90">
        <w:rPr>
          <w:lang w:val="pt-BR"/>
        </w:rPr>
        <w:t xml:space="preserve"> </w:t>
      </w:r>
      <w:r w:rsidR="00CA2ACA" w:rsidRPr="00B62F90">
        <w:rPr>
          <w:lang w:val="pt-BR"/>
        </w:rPr>
        <w:t>serviços de atendimento pré-hospitalar</w:t>
      </w:r>
      <w:r w:rsidRPr="00B62F90">
        <w:rPr>
          <w:lang w:val="pt-BR"/>
        </w:rPr>
        <w:t>.</w:t>
      </w:r>
    </w:p>
    <w:sectPr w:rsidR="00943813" w:rsidRPr="00B62F9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3807A" w14:textId="77777777" w:rsidR="00305B68" w:rsidRDefault="00305B68" w:rsidP="00CC1ECE">
      <w:pPr>
        <w:spacing w:after="0" w:line="240" w:lineRule="auto"/>
      </w:pPr>
      <w:r>
        <w:separator/>
      </w:r>
    </w:p>
  </w:endnote>
  <w:endnote w:type="continuationSeparator" w:id="0">
    <w:p w14:paraId="75A469DB" w14:textId="77777777" w:rsidR="00305B68" w:rsidRDefault="00305B68" w:rsidP="00CC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EBF37" w14:textId="77777777" w:rsidR="00EC556A" w:rsidRPr="00CC0C6C" w:rsidRDefault="00EC556A" w:rsidP="00EC556A">
    <w:pPr>
      <w:pStyle w:val="Rodap"/>
      <w:jc w:val="center"/>
      <w:rPr>
        <w:b/>
      </w:rPr>
    </w:pPr>
    <w:r w:rsidRPr="00CC0C6C">
      <w:rPr>
        <w:b/>
      </w:rPr>
      <w:t>www.IPHMI.com</w:t>
    </w:r>
  </w:p>
  <w:p w14:paraId="41FA8742" w14:textId="77777777" w:rsidR="00EC556A" w:rsidRDefault="00EC55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AD22C" w14:textId="77777777" w:rsidR="00305B68" w:rsidRDefault="00305B68" w:rsidP="00CC1ECE">
      <w:pPr>
        <w:spacing w:after="0" w:line="240" w:lineRule="auto"/>
      </w:pPr>
      <w:r>
        <w:separator/>
      </w:r>
    </w:p>
  </w:footnote>
  <w:footnote w:type="continuationSeparator" w:id="0">
    <w:p w14:paraId="1757F6C6" w14:textId="77777777" w:rsidR="00305B68" w:rsidRDefault="00305B68" w:rsidP="00CC1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111CC" w14:textId="6EBCD0C3" w:rsidR="00EC556A" w:rsidRPr="00CC0C6C" w:rsidRDefault="009274C6" w:rsidP="00EC556A">
    <w:pPr>
      <w:pStyle w:val="Cabealho"/>
      <w:jc w:val="center"/>
      <w:rPr>
        <w:b/>
        <w:i/>
        <w:sz w:val="36"/>
        <w:u w:val="single"/>
      </w:rPr>
    </w:pPr>
    <w:r>
      <w:rPr>
        <w:b/>
        <w:i/>
        <w:sz w:val="36"/>
        <w:u w:val="single"/>
      </w:rPr>
      <w:t>Instituto Internacional de Medicina Pré-Hospitalar (IPHMI)</w:t>
    </w:r>
  </w:p>
  <w:p w14:paraId="52046060" w14:textId="77777777" w:rsidR="00EC556A" w:rsidRDefault="00EC55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01013"/>
    <w:multiLevelType w:val="hybridMultilevel"/>
    <w:tmpl w:val="87C296B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F85298"/>
    <w:multiLevelType w:val="hybridMultilevel"/>
    <w:tmpl w:val="F4E20414"/>
    <w:lvl w:ilvl="0" w:tplc="7D9E9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048FC"/>
    <w:multiLevelType w:val="hybridMultilevel"/>
    <w:tmpl w:val="FCE46FF0"/>
    <w:lvl w:ilvl="0" w:tplc="EE34C6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62C4E"/>
    <w:multiLevelType w:val="hybridMultilevel"/>
    <w:tmpl w:val="2870A420"/>
    <w:lvl w:ilvl="0" w:tplc="7D9E92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CA0DD8"/>
    <w:multiLevelType w:val="hybridMultilevel"/>
    <w:tmpl w:val="C3B8E628"/>
    <w:lvl w:ilvl="0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5" w15:restartNumberingAfterBreak="0">
    <w:nsid w:val="63B1598A"/>
    <w:multiLevelType w:val="hybridMultilevel"/>
    <w:tmpl w:val="0F14B0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94FED"/>
    <w:multiLevelType w:val="hybridMultilevel"/>
    <w:tmpl w:val="F2DA5E30"/>
    <w:lvl w:ilvl="0" w:tplc="7D9E9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D5529"/>
    <w:multiLevelType w:val="hybridMultilevel"/>
    <w:tmpl w:val="08AC2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6E24A6"/>
    <w:multiLevelType w:val="hybridMultilevel"/>
    <w:tmpl w:val="5E28BEB2"/>
    <w:lvl w:ilvl="0" w:tplc="BBE6F0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4843FF"/>
    <w:multiLevelType w:val="hybridMultilevel"/>
    <w:tmpl w:val="01F0A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06AC324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47E79"/>
    <w:multiLevelType w:val="hybridMultilevel"/>
    <w:tmpl w:val="90C67F46"/>
    <w:lvl w:ilvl="0" w:tplc="DA267B0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AA2A4C"/>
    <w:multiLevelType w:val="hybridMultilevel"/>
    <w:tmpl w:val="2DE0738E"/>
    <w:lvl w:ilvl="0" w:tplc="8A7AD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11"/>
  </w:num>
  <w:num w:numId="10">
    <w:abstractNumId w:val="4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B7"/>
    <w:rsid w:val="00000FEC"/>
    <w:rsid w:val="00046471"/>
    <w:rsid w:val="00053DC7"/>
    <w:rsid w:val="00096298"/>
    <w:rsid w:val="000B2DC9"/>
    <w:rsid w:val="000B5810"/>
    <w:rsid w:val="001121E9"/>
    <w:rsid w:val="0012112A"/>
    <w:rsid w:val="00136F7E"/>
    <w:rsid w:val="0018097B"/>
    <w:rsid w:val="00193065"/>
    <w:rsid w:val="001C2497"/>
    <w:rsid w:val="00221F53"/>
    <w:rsid w:val="00230AD4"/>
    <w:rsid w:val="0024264F"/>
    <w:rsid w:val="00242A73"/>
    <w:rsid w:val="00263093"/>
    <w:rsid w:val="002A0709"/>
    <w:rsid w:val="002A448D"/>
    <w:rsid w:val="002B35F0"/>
    <w:rsid w:val="002C1093"/>
    <w:rsid w:val="002C19FB"/>
    <w:rsid w:val="002E59A6"/>
    <w:rsid w:val="00302B1F"/>
    <w:rsid w:val="00305B68"/>
    <w:rsid w:val="00362F86"/>
    <w:rsid w:val="00363F26"/>
    <w:rsid w:val="00381AF1"/>
    <w:rsid w:val="00392C1F"/>
    <w:rsid w:val="003F4BB7"/>
    <w:rsid w:val="00404F6F"/>
    <w:rsid w:val="0041124D"/>
    <w:rsid w:val="00424314"/>
    <w:rsid w:val="0042718E"/>
    <w:rsid w:val="00463424"/>
    <w:rsid w:val="0049245A"/>
    <w:rsid w:val="00493BCD"/>
    <w:rsid w:val="004A2499"/>
    <w:rsid w:val="004B7EE3"/>
    <w:rsid w:val="004E5E28"/>
    <w:rsid w:val="004F3CB0"/>
    <w:rsid w:val="00504E50"/>
    <w:rsid w:val="00510F7A"/>
    <w:rsid w:val="00523D0F"/>
    <w:rsid w:val="00530542"/>
    <w:rsid w:val="005561D4"/>
    <w:rsid w:val="005C15E3"/>
    <w:rsid w:val="005D21B6"/>
    <w:rsid w:val="006007F2"/>
    <w:rsid w:val="00612DB7"/>
    <w:rsid w:val="00630F1B"/>
    <w:rsid w:val="00632D45"/>
    <w:rsid w:val="006404F3"/>
    <w:rsid w:val="0064535D"/>
    <w:rsid w:val="006B4BCB"/>
    <w:rsid w:val="006B4C49"/>
    <w:rsid w:val="006D568F"/>
    <w:rsid w:val="006F14C3"/>
    <w:rsid w:val="006F7C8E"/>
    <w:rsid w:val="007419D9"/>
    <w:rsid w:val="00755895"/>
    <w:rsid w:val="007614F6"/>
    <w:rsid w:val="00766776"/>
    <w:rsid w:val="00791B09"/>
    <w:rsid w:val="007C7235"/>
    <w:rsid w:val="007F3B34"/>
    <w:rsid w:val="00823277"/>
    <w:rsid w:val="008363AF"/>
    <w:rsid w:val="00837F82"/>
    <w:rsid w:val="00847214"/>
    <w:rsid w:val="00851996"/>
    <w:rsid w:val="00852D41"/>
    <w:rsid w:val="008A0008"/>
    <w:rsid w:val="008F0C38"/>
    <w:rsid w:val="00912F3D"/>
    <w:rsid w:val="009274C6"/>
    <w:rsid w:val="00943813"/>
    <w:rsid w:val="00952808"/>
    <w:rsid w:val="009548A5"/>
    <w:rsid w:val="009A39F2"/>
    <w:rsid w:val="009A5621"/>
    <w:rsid w:val="009C5290"/>
    <w:rsid w:val="009C602D"/>
    <w:rsid w:val="009D2B40"/>
    <w:rsid w:val="00A33F37"/>
    <w:rsid w:val="00A36579"/>
    <w:rsid w:val="00A7399D"/>
    <w:rsid w:val="00A850A8"/>
    <w:rsid w:val="00AD7ED9"/>
    <w:rsid w:val="00AF3DA0"/>
    <w:rsid w:val="00B5424E"/>
    <w:rsid w:val="00B62F90"/>
    <w:rsid w:val="00BA7F59"/>
    <w:rsid w:val="00BD0725"/>
    <w:rsid w:val="00BD171A"/>
    <w:rsid w:val="00BD4649"/>
    <w:rsid w:val="00BE7361"/>
    <w:rsid w:val="00C16585"/>
    <w:rsid w:val="00C6252C"/>
    <w:rsid w:val="00C627AA"/>
    <w:rsid w:val="00C97C08"/>
    <w:rsid w:val="00CA2ACA"/>
    <w:rsid w:val="00CC1ECE"/>
    <w:rsid w:val="00CD2933"/>
    <w:rsid w:val="00CE2B58"/>
    <w:rsid w:val="00CF5709"/>
    <w:rsid w:val="00D05E66"/>
    <w:rsid w:val="00D21EC7"/>
    <w:rsid w:val="00D27263"/>
    <w:rsid w:val="00D50450"/>
    <w:rsid w:val="00D6189B"/>
    <w:rsid w:val="00DC0273"/>
    <w:rsid w:val="00E04920"/>
    <w:rsid w:val="00E06170"/>
    <w:rsid w:val="00E21606"/>
    <w:rsid w:val="00E85810"/>
    <w:rsid w:val="00E918D6"/>
    <w:rsid w:val="00EB3820"/>
    <w:rsid w:val="00EC556A"/>
    <w:rsid w:val="00F30BD1"/>
    <w:rsid w:val="00F45597"/>
    <w:rsid w:val="00F86D73"/>
    <w:rsid w:val="00FA51B5"/>
    <w:rsid w:val="00FE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B966"/>
  <w15:docId w15:val="{072B46C4-696D-42D4-A25F-801B14D4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9D9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19D9"/>
    <w:pPr>
      <w:ind w:left="720"/>
      <w:contextualSpacing/>
    </w:pPr>
  </w:style>
  <w:style w:type="character" w:customStyle="1" w:styleId="journaltitlesp1">
    <w:name w:val="journaltitlesp1"/>
    <w:basedOn w:val="Fontepargpadro"/>
    <w:rsid w:val="00523D0F"/>
    <w:rPr>
      <w:i/>
      <w:iCs/>
    </w:rPr>
  </w:style>
  <w:style w:type="character" w:customStyle="1" w:styleId="issuevolsp">
    <w:name w:val="issuevolsp"/>
    <w:basedOn w:val="Fontepargpadro"/>
    <w:rsid w:val="00523D0F"/>
  </w:style>
  <w:style w:type="character" w:customStyle="1" w:styleId="pagerange">
    <w:name w:val="pagerange"/>
    <w:basedOn w:val="Fontepargpadro"/>
    <w:rsid w:val="00523D0F"/>
  </w:style>
  <w:style w:type="paragraph" w:styleId="Textodebalo">
    <w:name w:val="Balloon Text"/>
    <w:basedOn w:val="Normal"/>
    <w:link w:val="TextodebaloChar"/>
    <w:uiPriority w:val="99"/>
    <w:semiHidden/>
    <w:unhideWhenUsed/>
    <w:rsid w:val="007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23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542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CC1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1ECE"/>
  </w:style>
  <w:style w:type="paragraph" w:styleId="Rodap">
    <w:name w:val="footer"/>
    <w:basedOn w:val="Normal"/>
    <w:link w:val="RodapChar"/>
    <w:uiPriority w:val="99"/>
    <w:unhideWhenUsed/>
    <w:rsid w:val="00CC1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1ECE"/>
  </w:style>
  <w:style w:type="character" w:styleId="Hyperlink">
    <w:name w:val="Hyperlink"/>
    <w:basedOn w:val="Fontepargpadro"/>
    <w:uiPriority w:val="99"/>
    <w:unhideWhenUsed/>
    <w:rsid w:val="0094381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548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48A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48A5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48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48A5"/>
    <w:rPr>
      <w:b/>
      <w:bCs/>
      <w:sz w:val="20"/>
      <w:szCs w:val="20"/>
      <w:lang w:val="pt-BR"/>
    </w:rPr>
  </w:style>
  <w:style w:type="paragraph" w:styleId="NormalWeb">
    <w:name w:val="Normal (Web)"/>
    <w:basedOn w:val="Normal"/>
    <w:uiPriority w:val="99"/>
    <w:semiHidden/>
    <w:unhideWhenUsed/>
    <w:rsid w:val="002C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2C19FB"/>
    <w:pPr>
      <w:spacing w:after="0" w:line="240" w:lineRule="auto"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C6577-5588-4B75-95A5-07B2E5B9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2589</Words>
  <Characters>13981</Characters>
  <Application>Microsoft Office Word</Application>
  <DocSecurity>0</DocSecurity>
  <Lines>116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PTP</dc:creator>
  <cp:lastModifiedBy>User</cp:lastModifiedBy>
  <cp:revision>6</cp:revision>
  <cp:lastPrinted>2019-01-15T22:34:00Z</cp:lastPrinted>
  <dcterms:created xsi:type="dcterms:W3CDTF">2019-08-13T00:09:00Z</dcterms:created>
  <dcterms:modified xsi:type="dcterms:W3CDTF">2019-08-13T00:58:00Z</dcterms:modified>
</cp:coreProperties>
</file>