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263" w:rsidRPr="00262797" w:rsidRDefault="00C627AA" w:rsidP="00D27263">
      <w:pPr>
        <w:spacing w:after="0"/>
        <w:rPr>
          <w:rFonts w:ascii="Times New Roman" w:hAnsi="Times New Roman" w:cs="Times New Roman"/>
          <w:sz w:val="48"/>
          <w:lang w:val="pt-BR"/>
        </w:rPr>
      </w:pPr>
      <w:r>
        <w:rPr>
          <w:b/>
          <w:noProof/>
        </w:rPr>
        <w:drawing>
          <wp:inline distT="0" distB="0" distL="0" distR="0" wp14:anchorId="20022CE2">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sidRPr="00153937">
        <w:rPr>
          <w:b/>
          <w:lang w:val="pt-BR"/>
        </w:rPr>
        <w:t xml:space="preserve">     </w:t>
      </w:r>
      <w:bookmarkStart w:id="0" w:name="_GoBack"/>
      <w:bookmarkEnd w:id="0"/>
      <w:r w:rsidR="00153937" w:rsidRPr="00262797">
        <w:rPr>
          <w:rFonts w:ascii="Times New Roman" w:hAnsi="Times New Roman" w:cs="Times New Roman"/>
          <w:sz w:val="40"/>
          <w:lang w:val="pt-BR"/>
        </w:rPr>
        <w:t xml:space="preserve">Revisão de Literatura do IPHMI </w:t>
      </w:r>
      <w:r w:rsidR="00D27263" w:rsidRPr="00262797">
        <w:rPr>
          <w:rFonts w:ascii="Times New Roman" w:hAnsi="Times New Roman" w:cs="Times New Roman"/>
          <w:b/>
          <w:noProof/>
        </w:rPr>
        <w:drawing>
          <wp:inline distT="0" distB="0" distL="0" distR="0" wp14:anchorId="29645218" wp14:editId="08AE34EB">
            <wp:extent cx="1402080" cy="881243"/>
            <wp:effectExtent l="19050" t="19050" r="26670"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rsidR="00153937" w:rsidRPr="00262797" w:rsidRDefault="00153937" w:rsidP="00153937">
      <w:pPr>
        <w:jc w:val="center"/>
        <w:rPr>
          <w:rFonts w:ascii="Times New Roman" w:hAnsi="Times New Roman" w:cs="Times New Roman"/>
          <w:sz w:val="28"/>
          <w:szCs w:val="28"/>
          <w:lang w:val="pt-BR"/>
        </w:rPr>
      </w:pPr>
      <w:r w:rsidRPr="00262797">
        <w:rPr>
          <w:rFonts w:ascii="Times New Roman" w:hAnsi="Times New Roman" w:cs="Times New Roman"/>
          <w:sz w:val="28"/>
          <w:szCs w:val="28"/>
          <w:lang w:val="pt-BR"/>
        </w:rPr>
        <w:t>Mantendo você atualizado por meio dos estudos mais atuais relacionados ao atendimento pré-hospitalar</w:t>
      </w:r>
    </w:p>
    <w:p w:rsidR="00D27263" w:rsidRPr="00262797" w:rsidRDefault="00046471" w:rsidP="003D7D09">
      <w:pPr>
        <w:jc w:val="center"/>
        <w:rPr>
          <w:rFonts w:ascii="Times New Roman" w:hAnsi="Times New Roman" w:cs="Times New Roman"/>
        </w:rPr>
      </w:pPr>
      <w:r w:rsidRPr="00262797">
        <w:rPr>
          <w:rFonts w:ascii="Times New Roman" w:hAnsi="Times New Roman" w:cs="Times New Roman"/>
          <w:sz w:val="48"/>
        </w:rPr>
        <w:t>V</w:t>
      </w:r>
      <w:r w:rsidR="00E06170" w:rsidRPr="00262797">
        <w:rPr>
          <w:rFonts w:ascii="Times New Roman" w:hAnsi="Times New Roman" w:cs="Times New Roman"/>
          <w:sz w:val="48"/>
        </w:rPr>
        <w:t>ol</w:t>
      </w:r>
      <w:r w:rsidRPr="00262797">
        <w:rPr>
          <w:rFonts w:ascii="Times New Roman" w:hAnsi="Times New Roman" w:cs="Times New Roman"/>
          <w:sz w:val="48"/>
        </w:rPr>
        <w:t xml:space="preserve">. </w:t>
      </w:r>
      <w:r w:rsidR="008E2104" w:rsidRPr="00262797">
        <w:rPr>
          <w:rFonts w:ascii="Times New Roman" w:hAnsi="Times New Roman" w:cs="Times New Roman"/>
          <w:sz w:val="48"/>
        </w:rPr>
        <w:t>2</w:t>
      </w:r>
      <w:r w:rsidR="004B7EE3" w:rsidRPr="00262797">
        <w:rPr>
          <w:rFonts w:ascii="Times New Roman" w:hAnsi="Times New Roman" w:cs="Times New Roman"/>
          <w:sz w:val="48"/>
        </w:rPr>
        <w:t>.</w:t>
      </w:r>
      <w:r w:rsidR="00153937" w:rsidRPr="00262797">
        <w:rPr>
          <w:rFonts w:ascii="Times New Roman" w:hAnsi="Times New Roman" w:cs="Times New Roman"/>
          <w:sz w:val="48"/>
        </w:rPr>
        <w:t>2</w:t>
      </w:r>
    </w:p>
    <w:p w:rsidR="00F04F34" w:rsidRPr="00262797" w:rsidRDefault="000429CE" w:rsidP="00084B69">
      <w:pPr>
        <w:pStyle w:val="PargrafodaLista"/>
        <w:numPr>
          <w:ilvl w:val="0"/>
          <w:numId w:val="1"/>
        </w:numPr>
        <w:spacing w:before="100" w:beforeAutospacing="1" w:after="100" w:afterAutospacing="1"/>
        <w:jc w:val="both"/>
        <w:rPr>
          <w:rFonts w:ascii="Times New Roman" w:eastAsia="Times New Roman" w:hAnsi="Times New Roman" w:cs="Times New Roman"/>
          <w:b/>
          <w:color w:val="000000" w:themeColor="text1"/>
        </w:rPr>
      </w:pPr>
      <w:hyperlink r:id="rId9" w:history="1">
        <w:r w:rsidR="00F04F34" w:rsidRPr="00262797">
          <w:rPr>
            <w:rFonts w:ascii="Times New Roman" w:eastAsia="Times New Roman" w:hAnsi="Times New Roman" w:cs="Times New Roman"/>
            <w:b/>
            <w:bCs/>
            <w:color w:val="000000" w:themeColor="text1"/>
          </w:rPr>
          <w:t>Prehospital</w:t>
        </w:r>
        <w:r w:rsidR="00F04F34" w:rsidRPr="00262797">
          <w:rPr>
            <w:rFonts w:ascii="Times New Roman" w:eastAsia="Times New Roman" w:hAnsi="Times New Roman" w:cs="Times New Roman"/>
            <w:b/>
            <w:color w:val="000000" w:themeColor="text1"/>
          </w:rPr>
          <w:t xml:space="preserve"> </w:t>
        </w:r>
        <w:r w:rsidR="00F04F34" w:rsidRPr="00262797">
          <w:rPr>
            <w:rFonts w:ascii="Times New Roman" w:eastAsia="Times New Roman" w:hAnsi="Times New Roman" w:cs="Times New Roman"/>
            <w:b/>
            <w:bCs/>
            <w:color w:val="000000" w:themeColor="text1"/>
          </w:rPr>
          <w:t>Blood</w:t>
        </w:r>
        <w:r w:rsidR="00F04F34" w:rsidRPr="00262797">
          <w:rPr>
            <w:rFonts w:ascii="Times New Roman" w:eastAsia="Times New Roman" w:hAnsi="Times New Roman" w:cs="Times New Roman"/>
            <w:b/>
            <w:color w:val="000000" w:themeColor="text1"/>
          </w:rPr>
          <w:t xml:space="preserve"> </w:t>
        </w:r>
        <w:r w:rsidR="00F04F34" w:rsidRPr="00262797">
          <w:rPr>
            <w:rFonts w:ascii="Times New Roman" w:eastAsia="Times New Roman" w:hAnsi="Times New Roman" w:cs="Times New Roman"/>
            <w:b/>
            <w:bCs/>
            <w:color w:val="000000" w:themeColor="text1"/>
          </w:rPr>
          <w:t>Product</w:t>
        </w:r>
        <w:r w:rsidR="00F04F34" w:rsidRPr="00262797">
          <w:rPr>
            <w:rFonts w:ascii="Times New Roman" w:eastAsia="Times New Roman" w:hAnsi="Times New Roman" w:cs="Times New Roman"/>
            <w:b/>
            <w:color w:val="000000" w:themeColor="text1"/>
          </w:rPr>
          <w:t xml:space="preserve"> and </w:t>
        </w:r>
        <w:r w:rsidR="00F04F34" w:rsidRPr="00262797">
          <w:rPr>
            <w:rFonts w:ascii="Times New Roman" w:eastAsia="Times New Roman" w:hAnsi="Times New Roman" w:cs="Times New Roman"/>
            <w:b/>
            <w:bCs/>
            <w:color w:val="000000" w:themeColor="text1"/>
          </w:rPr>
          <w:t>Crystalloid</w:t>
        </w:r>
        <w:r w:rsidR="00F04F34" w:rsidRPr="00262797">
          <w:rPr>
            <w:rFonts w:ascii="Times New Roman" w:eastAsia="Times New Roman" w:hAnsi="Times New Roman" w:cs="Times New Roman"/>
            <w:b/>
            <w:color w:val="000000" w:themeColor="text1"/>
          </w:rPr>
          <w:t xml:space="preserve"> Resuscitation in the</w:t>
        </w:r>
        <w:r w:rsidR="00F04F34" w:rsidRPr="00262797">
          <w:rPr>
            <w:rFonts w:ascii="Times New Roman" w:eastAsia="Times New Roman" w:hAnsi="Times New Roman" w:cs="Times New Roman"/>
            <w:b/>
            <w:color w:val="000000" w:themeColor="text1"/>
          </w:rPr>
          <w:t xml:space="preserve"> </w:t>
        </w:r>
        <w:r w:rsidR="00F04F34" w:rsidRPr="00262797">
          <w:rPr>
            <w:rFonts w:ascii="Times New Roman" w:eastAsia="Times New Roman" w:hAnsi="Times New Roman" w:cs="Times New Roman"/>
            <w:b/>
            <w:color w:val="000000" w:themeColor="text1"/>
          </w:rPr>
          <w:t xml:space="preserve">Severely Injured Patient: A Secondary Analysis of the </w:t>
        </w:r>
        <w:r w:rsidR="00F04F34" w:rsidRPr="00262797">
          <w:rPr>
            <w:rFonts w:ascii="Times New Roman" w:eastAsia="Times New Roman" w:hAnsi="Times New Roman" w:cs="Times New Roman"/>
            <w:b/>
            <w:bCs/>
            <w:color w:val="000000" w:themeColor="text1"/>
          </w:rPr>
          <w:t>Prehospital</w:t>
        </w:r>
        <w:r w:rsidR="00F04F34" w:rsidRPr="00262797">
          <w:rPr>
            <w:rFonts w:ascii="Times New Roman" w:eastAsia="Times New Roman" w:hAnsi="Times New Roman" w:cs="Times New Roman"/>
            <w:b/>
            <w:color w:val="000000" w:themeColor="text1"/>
          </w:rPr>
          <w:t xml:space="preserve"> Air Medical Plasma Trial.</w:t>
        </w:r>
      </w:hyperlink>
      <w:r w:rsidR="00F04F34" w:rsidRPr="00262797">
        <w:rPr>
          <w:rFonts w:ascii="Times New Roman" w:eastAsia="Times New Roman" w:hAnsi="Times New Roman" w:cs="Times New Roman"/>
          <w:b/>
          <w:color w:val="000000" w:themeColor="text1"/>
        </w:rPr>
        <w:t xml:space="preserve">  </w:t>
      </w:r>
      <w:proofErr w:type="spellStart"/>
      <w:r w:rsidR="00F04F34" w:rsidRPr="00262797">
        <w:rPr>
          <w:rFonts w:ascii="Times New Roman" w:eastAsia="Times New Roman" w:hAnsi="Times New Roman" w:cs="Times New Roman"/>
          <w:b/>
        </w:rPr>
        <w:t>Guyette</w:t>
      </w:r>
      <w:proofErr w:type="spellEnd"/>
      <w:r w:rsidR="00F04F34" w:rsidRPr="00262797">
        <w:rPr>
          <w:rFonts w:ascii="Times New Roman" w:eastAsia="Times New Roman" w:hAnsi="Times New Roman" w:cs="Times New Roman"/>
          <w:b/>
        </w:rPr>
        <w:t xml:space="preserve"> FX, Sperry JL, </w:t>
      </w:r>
      <w:proofErr w:type="spellStart"/>
      <w:r w:rsidR="00F04F34" w:rsidRPr="00262797">
        <w:rPr>
          <w:rFonts w:ascii="Times New Roman" w:eastAsia="Times New Roman" w:hAnsi="Times New Roman" w:cs="Times New Roman"/>
          <w:b/>
        </w:rPr>
        <w:t>Peitzman</w:t>
      </w:r>
      <w:proofErr w:type="spellEnd"/>
      <w:r w:rsidR="00F04F34" w:rsidRPr="00262797">
        <w:rPr>
          <w:rFonts w:ascii="Times New Roman" w:eastAsia="Times New Roman" w:hAnsi="Times New Roman" w:cs="Times New Roman"/>
          <w:b/>
        </w:rPr>
        <w:t xml:space="preserve"> AB,</w:t>
      </w:r>
      <w:r w:rsidR="00DC1BDF" w:rsidRPr="00262797">
        <w:rPr>
          <w:rFonts w:ascii="Times New Roman" w:eastAsia="Times New Roman" w:hAnsi="Times New Roman" w:cs="Times New Roman"/>
          <w:b/>
        </w:rPr>
        <w:t xml:space="preserve"> et al. </w:t>
      </w:r>
      <w:r w:rsidR="00F04F34" w:rsidRPr="00262797">
        <w:rPr>
          <w:rFonts w:ascii="Times New Roman" w:eastAsia="Times New Roman" w:hAnsi="Times New Roman" w:cs="Times New Roman"/>
          <w:b/>
        </w:rPr>
        <w:t xml:space="preserve"> Ann Surg. 2019 Apr 13. </w:t>
      </w:r>
      <w:proofErr w:type="spellStart"/>
      <w:r w:rsidR="00F04F34" w:rsidRPr="00262797">
        <w:rPr>
          <w:rFonts w:ascii="Times New Roman" w:eastAsia="Times New Roman" w:hAnsi="Times New Roman" w:cs="Times New Roman"/>
          <w:b/>
        </w:rPr>
        <w:t>doi</w:t>
      </w:r>
      <w:proofErr w:type="spellEnd"/>
      <w:r w:rsidR="00F04F34" w:rsidRPr="00262797">
        <w:rPr>
          <w:rFonts w:ascii="Times New Roman" w:eastAsia="Times New Roman" w:hAnsi="Times New Roman" w:cs="Times New Roman"/>
          <w:b/>
        </w:rPr>
        <w:t>: 10.1097/SLA.0000000000003324. [</w:t>
      </w:r>
      <w:proofErr w:type="spellStart"/>
      <w:r w:rsidR="00F04F34" w:rsidRPr="00262797">
        <w:rPr>
          <w:rFonts w:ascii="Times New Roman" w:eastAsia="Times New Roman" w:hAnsi="Times New Roman" w:cs="Times New Roman"/>
          <w:b/>
        </w:rPr>
        <w:t>Epub</w:t>
      </w:r>
      <w:proofErr w:type="spellEnd"/>
      <w:r w:rsidR="00F04F34" w:rsidRPr="00262797">
        <w:rPr>
          <w:rFonts w:ascii="Times New Roman" w:eastAsia="Times New Roman" w:hAnsi="Times New Roman" w:cs="Times New Roman"/>
          <w:b/>
        </w:rPr>
        <w:t xml:space="preserve"> ahead of print]</w:t>
      </w:r>
    </w:p>
    <w:p w:rsidR="00470F1A" w:rsidRPr="00262797" w:rsidRDefault="00470F1A" w:rsidP="00084B69">
      <w:pPr>
        <w:pStyle w:val="PargrafodaLista"/>
        <w:numPr>
          <w:ilvl w:val="0"/>
          <w:numId w:val="1"/>
        </w:numPr>
        <w:spacing w:after="0"/>
        <w:jc w:val="both"/>
        <w:rPr>
          <w:rFonts w:ascii="Times New Roman" w:eastAsia="Times New Roman" w:hAnsi="Times New Roman" w:cs="Times New Roman"/>
          <w:b/>
        </w:rPr>
      </w:pPr>
      <w:r w:rsidRPr="00262797">
        <w:rPr>
          <w:rFonts w:ascii="Times New Roman" w:hAnsi="Times New Roman" w:cs="Times New Roman"/>
          <w:b/>
          <w:lang w:val="pt-BR"/>
        </w:rPr>
        <w:t xml:space="preserve">Avaliação comparativa randomizada de três dispositivos de </w:t>
      </w:r>
      <w:proofErr w:type="spellStart"/>
      <w:r w:rsidRPr="00262797">
        <w:rPr>
          <w:rFonts w:ascii="Times New Roman" w:hAnsi="Times New Roman" w:cs="Times New Roman"/>
          <w:b/>
          <w:lang w:val="pt-BR"/>
        </w:rPr>
        <w:t>cricotireoidostomia</w:t>
      </w:r>
      <w:proofErr w:type="spellEnd"/>
      <w:r w:rsidRPr="00262797">
        <w:rPr>
          <w:rFonts w:ascii="Times New Roman" w:hAnsi="Times New Roman" w:cs="Times New Roman"/>
          <w:b/>
          <w:lang w:val="pt-BR"/>
        </w:rPr>
        <w:t xml:space="preserve"> em manequins de via aérea. </w:t>
      </w:r>
      <w:proofErr w:type="spellStart"/>
      <w:r w:rsidRPr="00262797">
        <w:rPr>
          <w:rFonts w:ascii="Times New Roman" w:hAnsi="Times New Roman" w:cs="Times New Roman"/>
          <w:b/>
        </w:rPr>
        <w:t>Dorsam</w:t>
      </w:r>
      <w:proofErr w:type="spellEnd"/>
      <w:r w:rsidRPr="00262797">
        <w:rPr>
          <w:rFonts w:ascii="Times New Roman" w:hAnsi="Times New Roman" w:cs="Times New Roman"/>
          <w:b/>
        </w:rPr>
        <w:t xml:space="preserve"> J, Cornelius S, McLean J, et al. Prehospital Emergency Care, 2019:23; 411-419</w:t>
      </w:r>
      <w:r w:rsidRPr="00262797">
        <w:rPr>
          <w:rFonts w:ascii="Times New Roman" w:hAnsi="Times New Roman" w:cs="Times New Roman"/>
          <w:bCs/>
        </w:rPr>
        <w:t>.</w:t>
      </w:r>
    </w:p>
    <w:p w:rsidR="006B1A43" w:rsidRPr="00262797" w:rsidRDefault="006B1A43" w:rsidP="00084B69">
      <w:pPr>
        <w:pStyle w:val="PargrafodaLista"/>
        <w:numPr>
          <w:ilvl w:val="0"/>
          <w:numId w:val="1"/>
        </w:numPr>
        <w:spacing w:after="0"/>
        <w:jc w:val="both"/>
        <w:rPr>
          <w:rFonts w:ascii="Times New Roman" w:eastAsia="Times New Roman" w:hAnsi="Times New Roman" w:cs="Times New Roman"/>
          <w:b/>
        </w:rPr>
      </w:pPr>
      <w:r w:rsidRPr="00262797">
        <w:rPr>
          <w:rFonts w:ascii="Times New Roman" w:eastAsia="Times New Roman" w:hAnsi="Times New Roman" w:cs="Times New Roman"/>
          <w:b/>
          <w:lang w:val="pt-BR"/>
        </w:rPr>
        <w:t xml:space="preserve">Equipamentos de oxigênio em serviços de atendimento pré-hospitalar: uma fonte de transmissão de MRSA? </w:t>
      </w:r>
      <w:r w:rsidRPr="00262797">
        <w:rPr>
          <w:rFonts w:ascii="Times New Roman" w:eastAsia="Times New Roman" w:hAnsi="Times New Roman" w:cs="Times New Roman"/>
          <w:b/>
        </w:rPr>
        <w:t xml:space="preserve">Gibson, CV. </w:t>
      </w:r>
      <w:proofErr w:type="spellStart"/>
      <w:r w:rsidRPr="00262797">
        <w:rPr>
          <w:rFonts w:ascii="Times New Roman" w:eastAsia="Times New Roman" w:hAnsi="Times New Roman" w:cs="Times New Roman"/>
          <w:b/>
        </w:rPr>
        <w:t>Emerg</w:t>
      </w:r>
      <w:proofErr w:type="spellEnd"/>
      <w:r w:rsidRPr="00262797">
        <w:rPr>
          <w:rFonts w:ascii="Times New Roman" w:eastAsia="Times New Roman" w:hAnsi="Times New Roman" w:cs="Times New Roman"/>
          <w:b/>
        </w:rPr>
        <w:t xml:space="preserve"> Med J 2019:36. doi:10.1136/emermed-2018-207758 [</w:t>
      </w:r>
      <w:proofErr w:type="spellStart"/>
      <w:r w:rsidRPr="00262797">
        <w:rPr>
          <w:rFonts w:ascii="Times New Roman" w:eastAsia="Times New Roman" w:hAnsi="Times New Roman" w:cs="Times New Roman"/>
          <w:b/>
        </w:rPr>
        <w:t>Epub</w:t>
      </w:r>
      <w:proofErr w:type="spellEnd"/>
      <w:r w:rsidRPr="00262797">
        <w:rPr>
          <w:rFonts w:ascii="Times New Roman" w:eastAsia="Times New Roman" w:hAnsi="Times New Roman" w:cs="Times New Roman"/>
          <w:b/>
        </w:rPr>
        <w:t xml:space="preserve"> ahead of print. Dec 1, 2018]</w:t>
      </w:r>
    </w:p>
    <w:p w:rsidR="00084B69" w:rsidRPr="00262797" w:rsidRDefault="00084B69" w:rsidP="00084B69">
      <w:pPr>
        <w:pStyle w:val="PargrafodaLista"/>
        <w:numPr>
          <w:ilvl w:val="0"/>
          <w:numId w:val="1"/>
        </w:numPr>
        <w:jc w:val="both"/>
        <w:rPr>
          <w:rFonts w:ascii="Times New Roman" w:hAnsi="Times New Roman" w:cs="Times New Roman"/>
          <w:b/>
        </w:rPr>
      </w:pPr>
      <w:r w:rsidRPr="00262797">
        <w:rPr>
          <w:rFonts w:ascii="Times New Roman" w:hAnsi="Times New Roman" w:cs="Times New Roman"/>
          <w:b/>
          <w:lang w:val="pt-BR"/>
        </w:rPr>
        <w:t xml:space="preserve">Revisão sistemática e meta-análise do uso da </w:t>
      </w:r>
      <w:proofErr w:type="spellStart"/>
      <w:r w:rsidRPr="00262797">
        <w:rPr>
          <w:rFonts w:ascii="Times New Roman" w:hAnsi="Times New Roman" w:cs="Times New Roman"/>
          <w:b/>
          <w:lang w:val="pt-BR"/>
        </w:rPr>
        <w:t>cetamina</w:t>
      </w:r>
      <w:proofErr w:type="spellEnd"/>
      <w:r w:rsidRPr="00262797">
        <w:rPr>
          <w:rFonts w:ascii="Times New Roman" w:hAnsi="Times New Roman" w:cs="Times New Roman"/>
          <w:b/>
          <w:lang w:val="pt-BR"/>
        </w:rPr>
        <w:t xml:space="preserve"> como alternativa aos </w:t>
      </w:r>
      <w:proofErr w:type="spellStart"/>
      <w:r w:rsidRPr="00262797">
        <w:rPr>
          <w:rFonts w:ascii="Times New Roman" w:hAnsi="Times New Roman" w:cs="Times New Roman"/>
          <w:b/>
          <w:lang w:val="pt-BR"/>
        </w:rPr>
        <w:t>opi</w:t>
      </w:r>
      <w:r w:rsidR="00934589" w:rsidRPr="00262797">
        <w:rPr>
          <w:rFonts w:ascii="Times New Roman" w:hAnsi="Times New Roman" w:cs="Times New Roman"/>
          <w:b/>
          <w:lang w:val="pt-BR"/>
        </w:rPr>
        <w:t>o</w:t>
      </w:r>
      <w:r w:rsidRPr="00262797">
        <w:rPr>
          <w:rFonts w:ascii="Times New Roman" w:hAnsi="Times New Roman" w:cs="Times New Roman"/>
          <w:b/>
          <w:lang w:val="pt-BR"/>
        </w:rPr>
        <w:t>ides</w:t>
      </w:r>
      <w:proofErr w:type="spellEnd"/>
      <w:r w:rsidRPr="00262797">
        <w:rPr>
          <w:rFonts w:ascii="Times New Roman" w:hAnsi="Times New Roman" w:cs="Times New Roman"/>
          <w:b/>
          <w:lang w:val="pt-BR"/>
        </w:rPr>
        <w:t xml:space="preserve"> para dor aguda no Departamento de Emergência. </w:t>
      </w:r>
      <w:proofErr w:type="spellStart"/>
      <w:r w:rsidRPr="00262797">
        <w:rPr>
          <w:rFonts w:ascii="Times New Roman" w:hAnsi="Times New Roman" w:cs="Times New Roman"/>
          <w:b/>
        </w:rPr>
        <w:t>Karlow</w:t>
      </w:r>
      <w:proofErr w:type="spellEnd"/>
      <w:r w:rsidRPr="00262797">
        <w:rPr>
          <w:rFonts w:ascii="Times New Roman" w:hAnsi="Times New Roman" w:cs="Times New Roman"/>
          <w:b/>
        </w:rPr>
        <w:t xml:space="preserve">, N, </w:t>
      </w:r>
      <w:proofErr w:type="spellStart"/>
      <w:proofErr w:type="gramStart"/>
      <w:r w:rsidRPr="00262797">
        <w:rPr>
          <w:rFonts w:ascii="Times New Roman" w:hAnsi="Times New Roman" w:cs="Times New Roman"/>
          <w:b/>
        </w:rPr>
        <w:t>Schlaepfer,C</w:t>
      </w:r>
      <w:proofErr w:type="spellEnd"/>
      <w:proofErr w:type="gramEnd"/>
      <w:r w:rsidRPr="00262797">
        <w:rPr>
          <w:rFonts w:ascii="Times New Roman" w:hAnsi="Times New Roman" w:cs="Times New Roman"/>
          <w:b/>
        </w:rPr>
        <w:t xml:space="preserve">, </w:t>
      </w:r>
      <w:proofErr w:type="spellStart"/>
      <w:r w:rsidRPr="00262797">
        <w:rPr>
          <w:rFonts w:ascii="Times New Roman" w:hAnsi="Times New Roman" w:cs="Times New Roman"/>
          <w:b/>
        </w:rPr>
        <w:t>Stoll,C</w:t>
      </w:r>
      <w:proofErr w:type="spellEnd"/>
      <w:r w:rsidRPr="00262797">
        <w:rPr>
          <w:rFonts w:ascii="Times New Roman" w:hAnsi="Times New Roman" w:cs="Times New Roman"/>
          <w:b/>
        </w:rPr>
        <w:t xml:space="preserve">, </w:t>
      </w:r>
      <w:proofErr w:type="spellStart"/>
      <w:r w:rsidRPr="00262797">
        <w:rPr>
          <w:rFonts w:ascii="Times New Roman" w:hAnsi="Times New Roman" w:cs="Times New Roman"/>
          <w:b/>
        </w:rPr>
        <w:t>Doering,M</w:t>
      </w:r>
      <w:proofErr w:type="spellEnd"/>
      <w:r w:rsidRPr="00262797">
        <w:rPr>
          <w:rFonts w:ascii="Times New Roman" w:hAnsi="Times New Roman" w:cs="Times New Roman"/>
          <w:b/>
        </w:rPr>
        <w:t xml:space="preserve">, </w:t>
      </w:r>
      <w:proofErr w:type="spellStart"/>
      <w:r w:rsidRPr="00262797">
        <w:rPr>
          <w:rFonts w:ascii="Times New Roman" w:hAnsi="Times New Roman" w:cs="Times New Roman"/>
          <w:b/>
        </w:rPr>
        <w:t>Carpenter,C</w:t>
      </w:r>
      <w:proofErr w:type="spellEnd"/>
      <w:r w:rsidRPr="00262797">
        <w:rPr>
          <w:rFonts w:ascii="Times New Roman" w:hAnsi="Times New Roman" w:cs="Times New Roman"/>
          <w:b/>
        </w:rPr>
        <w:t xml:space="preserve">, </w:t>
      </w:r>
      <w:proofErr w:type="spellStart"/>
      <w:r w:rsidRPr="00262797">
        <w:rPr>
          <w:rFonts w:ascii="Times New Roman" w:hAnsi="Times New Roman" w:cs="Times New Roman"/>
          <w:b/>
        </w:rPr>
        <w:t>Colditz,G</w:t>
      </w:r>
      <w:proofErr w:type="spellEnd"/>
      <w:r w:rsidRPr="00262797">
        <w:rPr>
          <w:rFonts w:ascii="Times New Roman" w:hAnsi="Times New Roman" w:cs="Times New Roman"/>
          <w:b/>
        </w:rPr>
        <w:t xml:space="preserve">, et al. </w:t>
      </w:r>
      <w:proofErr w:type="spellStart"/>
      <w:r w:rsidRPr="00262797">
        <w:rPr>
          <w:rFonts w:ascii="Times New Roman" w:hAnsi="Times New Roman" w:cs="Times New Roman"/>
          <w:b/>
        </w:rPr>
        <w:t>Acad</w:t>
      </w:r>
      <w:proofErr w:type="spellEnd"/>
      <w:r w:rsidRPr="00262797">
        <w:rPr>
          <w:rFonts w:ascii="Times New Roman" w:hAnsi="Times New Roman" w:cs="Times New Roman"/>
          <w:b/>
        </w:rPr>
        <w:t xml:space="preserve"> </w:t>
      </w:r>
      <w:proofErr w:type="spellStart"/>
      <w:r w:rsidRPr="00262797">
        <w:rPr>
          <w:rFonts w:ascii="Times New Roman" w:hAnsi="Times New Roman" w:cs="Times New Roman"/>
          <w:b/>
        </w:rPr>
        <w:t>Emerg</w:t>
      </w:r>
      <w:proofErr w:type="spellEnd"/>
      <w:r w:rsidRPr="00262797">
        <w:rPr>
          <w:rFonts w:ascii="Times New Roman" w:hAnsi="Times New Roman" w:cs="Times New Roman"/>
          <w:b/>
        </w:rPr>
        <w:t xml:space="preserve"> Med. 2018;25:1086-1097. </w:t>
      </w:r>
      <w:proofErr w:type="spellStart"/>
      <w:r w:rsidRPr="00262797">
        <w:rPr>
          <w:rFonts w:ascii="Times New Roman" w:hAnsi="Times New Roman" w:cs="Times New Roman"/>
          <w:b/>
        </w:rPr>
        <w:t>doi</w:t>
      </w:r>
      <w:proofErr w:type="spellEnd"/>
      <w:r w:rsidRPr="00262797">
        <w:rPr>
          <w:rFonts w:ascii="Times New Roman" w:hAnsi="Times New Roman" w:cs="Times New Roman"/>
          <w:b/>
        </w:rPr>
        <w:t>: 10.1111/acem.13502</w:t>
      </w:r>
    </w:p>
    <w:p w:rsidR="007E2B63" w:rsidRPr="00262797" w:rsidRDefault="007E2B63" w:rsidP="007E2B63">
      <w:pPr>
        <w:pStyle w:val="PargrafodaLista"/>
        <w:rPr>
          <w:rFonts w:ascii="Times New Roman" w:hAnsi="Times New Roman" w:cs="Times New Roman"/>
          <w:b/>
        </w:rPr>
      </w:pPr>
    </w:p>
    <w:p w:rsidR="00F04F34" w:rsidRPr="00262797" w:rsidRDefault="00F04F34" w:rsidP="00F04F34">
      <w:pPr>
        <w:pStyle w:val="PargrafodaLista"/>
        <w:rPr>
          <w:rFonts w:ascii="Times New Roman" w:hAnsi="Times New Roman" w:cs="Times New Roman"/>
          <w:b/>
        </w:rPr>
      </w:pPr>
    </w:p>
    <w:p w:rsidR="00790ADD" w:rsidRPr="00262797" w:rsidRDefault="00790ADD" w:rsidP="0033602D">
      <w:pPr>
        <w:pStyle w:val="PargrafodaLista"/>
        <w:numPr>
          <w:ilvl w:val="0"/>
          <w:numId w:val="17"/>
        </w:numPr>
        <w:tabs>
          <w:tab w:val="left" w:pos="284"/>
        </w:tabs>
        <w:spacing w:after="120" w:line="240" w:lineRule="auto"/>
        <w:ind w:left="0" w:firstLine="0"/>
        <w:jc w:val="both"/>
        <w:rPr>
          <w:rFonts w:ascii="Times New Roman" w:eastAsia="Times New Roman" w:hAnsi="Times New Roman" w:cs="Times New Roman"/>
          <w:b/>
          <w:color w:val="000000" w:themeColor="text1"/>
        </w:rPr>
      </w:pPr>
      <w:r w:rsidRPr="00262797">
        <w:rPr>
          <w:rFonts w:ascii="Times New Roman" w:hAnsi="Times New Roman" w:cs="Times New Roman"/>
          <w:b/>
          <w:bCs/>
          <w:lang w:val="pt-BR"/>
        </w:rPr>
        <w:t>Componentes sanguíneos no ambiente pré-hospitalar e reanimação com cristaloide em doentes gravemente traumatizados:  Uma análise secundária do ensaio clínico de uso de plasma no pré-hospitalar aéreo.</w:t>
      </w:r>
      <w:r w:rsidRPr="00262797">
        <w:rPr>
          <w:rFonts w:ascii="Times New Roman" w:hAnsi="Times New Roman" w:cs="Times New Roman"/>
          <w:lang w:val="pt-BR"/>
        </w:rPr>
        <w:t xml:space="preserve"> </w:t>
      </w:r>
      <w:proofErr w:type="spellStart"/>
      <w:r w:rsidRPr="00262797">
        <w:rPr>
          <w:rFonts w:ascii="Times New Roman" w:eastAsia="Times New Roman" w:hAnsi="Times New Roman" w:cs="Times New Roman"/>
        </w:rPr>
        <w:t>Guyette</w:t>
      </w:r>
      <w:proofErr w:type="spellEnd"/>
      <w:r w:rsidRPr="00262797">
        <w:rPr>
          <w:rFonts w:ascii="Times New Roman" w:eastAsia="Times New Roman" w:hAnsi="Times New Roman" w:cs="Times New Roman"/>
        </w:rPr>
        <w:t xml:space="preserve"> FX, Sperry JL, </w:t>
      </w:r>
      <w:proofErr w:type="spellStart"/>
      <w:r w:rsidRPr="00262797">
        <w:rPr>
          <w:rFonts w:ascii="Times New Roman" w:eastAsia="Times New Roman" w:hAnsi="Times New Roman" w:cs="Times New Roman"/>
        </w:rPr>
        <w:t>Peitzman</w:t>
      </w:r>
      <w:proofErr w:type="spellEnd"/>
      <w:r w:rsidRPr="00262797">
        <w:rPr>
          <w:rFonts w:ascii="Times New Roman" w:eastAsia="Times New Roman" w:hAnsi="Times New Roman" w:cs="Times New Roman"/>
        </w:rPr>
        <w:t xml:space="preserve"> AB, et al. Ann Surg. 2019 Apr 13. </w:t>
      </w:r>
      <w:proofErr w:type="spellStart"/>
      <w:r w:rsidRPr="00262797">
        <w:rPr>
          <w:rFonts w:ascii="Times New Roman" w:eastAsia="Times New Roman" w:hAnsi="Times New Roman" w:cs="Times New Roman"/>
        </w:rPr>
        <w:t>doi</w:t>
      </w:r>
      <w:proofErr w:type="spellEnd"/>
      <w:r w:rsidRPr="00262797">
        <w:rPr>
          <w:rFonts w:ascii="Times New Roman" w:eastAsia="Times New Roman" w:hAnsi="Times New Roman" w:cs="Times New Roman"/>
        </w:rPr>
        <w:t>: 10.1097/SLA.0000000000003324. [</w:t>
      </w:r>
      <w:proofErr w:type="spellStart"/>
      <w:r w:rsidRPr="00262797">
        <w:rPr>
          <w:rFonts w:ascii="Times New Roman" w:eastAsia="Times New Roman" w:hAnsi="Times New Roman" w:cs="Times New Roman"/>
        </w:rPr>
        <w:t>Epub</w:t>
      </w:r>
      <w:proofErr w:type="spellEnd"/>
      <w:r w:rsidRPr="00262797">
        <w:rPr>
          <w:rFonts w:ascii="Times New Roman" w:eastAsia="Times New Roman" w:hAnsi="Times New Roman" w:cs="Times New Roman"/>
        </w:rPr>
        <w:t xml:space="preserve"> ahead of print]</w:t>
      </w:r>
    </w:p>
    <w:p w:rsidR="00790ADD" w:rsidRPr="00262797" w:rsidRDefault="00790ADD" w:rsidP="009854A0">
      <w:pPr>
        <w:spacing w:after="120" w:line="240" w:lineRule="auto"/>
        <w:ind w:firstLine="567"/>
        <w:jc w:val="both"/>
        <w:rPr>
          <w:rFonts w:ascii="Times New Roman" w:hAnsi="Times New Roman" w:cs="Times New Roman"/>
          <w:lang w:val="pt-BR"/>
        </w:rPr>
      </w:pPr>
      <w:r w:rsidRPr="00262797">
        <w:rPr>
          <w:rFonts w:ascii="Times New Roman" w:hAnsi="Times New Roman" w:cs="Times New Roman"/>
          <w:lang w:val="pt-BR"/>
        </w:rPr>
        <w:t>Hemorragias não controladas são a causa número um de mortes evitáveis nos ambientes civil e militar. Os centros de trauma têm adotado os princípios da reanimação com controle de danos, que inclui minimizar a infusão de solução cristaloide e transfundir concentrado de hemácias, plasma e plaquetas. Além disso, alguns centros têm iniciado a infusão de sangue total ao invés da terapia com componentes. Essas técnicas estão começando a ser utilizadas em alguns sistemas pré-hospitalares.</w:t>
      </w:r>
    </w:p>
    <w:p w:rsidR="00790ADD" w:rsidRPr="00262797" w:rsidRDefault="00790ADD" w:rsidP="009854A0">
      <w:pPr>
        <w:spacing w:after="120" w:line="240" w:lineRule="auto"/>
        <w:ind w:firstLine="567"/>
        <w:jc w:val="both"/>
        <w:rPr>
          <w:rFonts w:ascii="Times New Roman" w:hAnsi="Times New Roman" w:cs="Times New Roman"/>
          <w:lang w:val="pt-BR"/>
        </w:rPr>
      </w:pPr>
      <w:r w:rsidRPr="00262797">
        <w:rPr>
          <w:rFonts w:ascii="Times New Roman" w:hAnsi="Times New Roman" w:cs="Times New Roman"/>
          <w:lang w:val="pt-BR"/>
        </w:rPr>
        <w:t xml:space="preserve">Os componentes sanguíneos pré-hospitalares (definidos como concentrado de hemácias, plasma ou ambos) tem se tornado mais disponíveis nos helicópteros civis dos sistemas de atendimento pré-hospitalar. Recentemente, o grande estudo </w:t>
      </w:r>
      <w:proofErr w:type="spellStart"/>
      <w:r w:rsidRPr="00262797">
        <w:rPr>
          <w:rFonts w:ascii="Times New Roman" w:hAnsi="Times New Roman" w:cs="Times New Roman"/>
          <w:lang w:val="pt-BR"/>
        </w:rPr>
        <w:t>PAMPer</w:t>
      </w:r>
      <w:proofErr w:type="spellEnd"/>
      <w:r w:rsidRPr="00262797">
        <w:rPr>
          <w:rFonts w:ascii="Times New Roman" w:hAnsi="Times New Roman" w:cs="Times New Roman"/>
          <w:lang w:val="pt-BR"/>
        </w:rPr>
        <w:t xml:space="preserve"> (</w:t>
      </w:r>
      <w:proofErr w:type="spellStart"/>
      <w:r w:rsidRPr="00262797">
        <w:rPr>
          <w:rFonts w:ascii="Times New Roman" w:hAnsi="Times New Roman" w:cs="Times New Roman"/>
          <w:lang w:val="pt-BR"/>
        </w:rPr>
        <w:t>Prehospital</w:t>
      </w:r>
      <w:proofErr w:type="spellEnd"/>
      <w:r w:rsidRPr="00262797">
        <w:rPr>
          <w:rFonts w:ascii="Times New Roman" w:hAnsi="Times New Roman" w:cs="Times New Roman"/>
          <w:lang w:val="pt-BR"/>
        </w:rPr>
        <w:t xml:space="preserve"> Air Medical Plasma – Plasma no ambiente pré-hospitalar aéreo) demonstrou melhora na mortalidade em 30 dias em doentes gravemente traumatizados em risco de choque hemorrágico que foram submetidos à reanimação com plasma. Os investigadores notaram um aumento de 10% na sobrevivência daqueles que receberam plasma, quando comparados àqueles submetidos à reanimação padrão com cristaloides. Esse estudo é uma análise </w:t>
      </w:r>
      <w:r w:rsidRPr="00262797">
        <w:rPr>
          <w:rFonts w:ascii="Times New Roman" w:hAnsi="Times New Roman" w:cs="Times New Roman"/>
          <w:lang w:val="pt-BR"/>
        </w:rPr>
        <w:lastRenderedPageBreak/>
        <w:t>secundária de seus dados analisando especificamente qual combinação de fluido pré-hospitalar possui maior impacto na sobrevida.</w:t>
      </w:r>
    </w:p>
    <w:p w:rsidR="00790ADD" w:rsidRPr="00262797" w:rsidRDefault="00790ADD" w:rsidP="009854A0">
      <w:pPr>
        <w:spacing w:after="120" w:line="240" w:lineRule="auto"/>
        <w:ind w:firstLine="567"/>
        <w:jc w:val="both"/>
        <w:rPr>
          <w:rFonts w:ascii="Times New Roman" w:hAnsi="Times New Roman" w:cs="Times New Roman"/>
          <w:lang w:val="pt-BR"/>
        </w:rPr>
      </w:pPr>
      <w:r w:rsidRPr="00262797">
        <w:rPr>
          <w:rFonts w:ascii="Times New Roman" w:hAnsi="Times New Roman" w:cs="Times New Roman"/>
          <w:lang w:val="pt-BR"/>
        </w:rPr>
        <w:t>Os pesquisadores avaliaram a possibilidade de quatro estratégias de reanimação. As opções para reanimação foram: apenas cristaloide, concentrado de hemácias, plasma e plasma com concentrado de hemácias. Todos os componentes sanguíneos foram administrados com ou sem solução cristaloide adicional. Os doentes era</w:t>
      </w:r>
      <w:r w:rsidR="00470F1A" w:rsidRPr="00262797">
        <w:rPr>
          <w:rFonts w:ascii="Times New Roman" w:hAnsi="Times New Roman" w:cs="Times New Roman"/>
          <w:lang w:val="pt-BR"/>
        </w:rPr>
        <w:t>m</w:t>
      </w:r>
      <w:r w:rsidRPr="00262797">
        <w:rPr>
          <w:rFonts w:ascii="Times New Roman" w:hAnsi="Times New Roman" w:cs="Times New Roman"/>
          <w:lang w:val="pt-BR"/>
        </w:rPr>
        <w:t xml:space="preserve"> elegíveis se fossem transportados de helicóptero para um Centro de Trauma da rede </w:t>
      </w:r>
      <w:proofErr w:type="spellStart"/>
      <w:r w:rsidRPr="00262797">
        <w:rPr>
          <w:rFonts w:ascii="Times New Roman" w:hAnsi="Times New Roman" w:cs="Times New Roman"/>
          <w:lang w:val="pt-BR"/>
        </w:rPr>
        <w:t>PAMPer</w:t>
      </w:r>
      <w:proofErr w:type="spellEnd"/>
      <w:r w:rsidRPr="00262797">
        <w:rPr>
          <w:rFonts w:ascii="Times New Roman" w:hAnsi="Times New Roman" w:cs="Times New Roman"/>
          <w:lang w:val="pt-BR"/>
        </w:rPr>
        <w:t xml:space="preserve">, tivessem hipotensão (PAS 70-90 mmHg) e taquicardia (FC &gt; 108 </w:t>
      </w:r>
      <w:proofErr w:type="spellStart"/>
      <w:r w:rsidRPr="00262797">
        <w:rPr>
          <w:rFonts w:ascii="Times New Roman" w:hAnsi="Times New Roman" w:cs="Times New Roman"/>
          <w:lang w:val="pt-BR"/>
        </w:rPr>
        <w:t>bpm</w:t>
      </w:r>
      <w:proofErr w:type="spellEnd"/>
      <w:r w:rsidRPr="00262797">
        <w:rPr>
          <w:rFonts w:ascii="Times New Roman" w:hAnsi="Times New Roman" w:cs="Times New Roman"/>
          <w:lang w:val="pt-BR"/>
        </w:rPr>
        <w:t>), ou hipotensão grave (PAS &lt;70mmHg) isolada.</w:t>
      </w:r>
    </w:p>
    <w:p w:rsidR="00790ADD" w:rsidRPr="00262797" w:rsidRDefault="00790ADD" w:rsidP="009854A0">
      <w:pPr>
        <w:spacing w:after="120" w:line="240" w:lineRule="auto"/>
        <w:ind w:firstLine="567"/>
        <w:jc w:val="both"/>
        <w:rPr>
          <w:rFonts w:ascii="Times New Roman" w:hAnsi="Times New Roman" w:cs="Times New Roman"/>
          <w:lang w:val="pt-BR"/>
        </w:rPr>
      </w:pPr>
      <w:r w:rsidRPr="00262797">
        <w:rPr>
          <w:rFonts w:ascii="Times New Roman" w:hAnsi="Times New Roman" w:cs="Times New Roman"/>
          <w:lang w:val="pt-BR"/>
        </w:rPr>
        <w:t>No total, foram incluídos no estudo 407 doentes. Destes, 139 (34%) receberam apenas cristaloide, 83 (20%) receberam concentrado de hemácias, 147 (36%) receberam plasma e 38 (10%) receberam concentrado de hemácias + plasma. Os resultados mostraram que todos os grupos que receberam componentes do sangue tiveram uma mortalidade significativamente menor em 30 dias do que aqueles que tiveram reanimação apenas com cristaloides. O grupo que recebeu concentrado de hemácias + plasma, teve o maior benefício, com uma diminuição de 62% no risco de mortalidade. Estes foram seguidos pelo grupo que recebeu plasma, com uma redução de 43% no risco de mortalidade e o grupo que recebeu concentrado de hemácias teve uma redução de 32 % no risco de mortalidade.</w:t>
      </w:r>
    </w:p>
    <w:p w:rsidR="00790ADD" w:rsidRPr="00262797" w:rsidRDefault="00790ADD" w:rsidP="009854A0">
      <w:pPr>
        <w:spacing w:after="120" w:line="240" w:lineRule="auto"/>
        <w:ind w:firstLine="567"/>
        <w:jc w:val="both"/>
        <w:rPr>
          <w:rFonts w:ascii="Times New Roman" w:hAnsi="Times New Roman" w:cs="Times New Roman"/>
          <w:lang w:val="pt-BR"/>
        </w:rPr>
      </w:pPr>
      <w:r w:rsidRPr="00262797">
        <w:rPr>
          <w:rFonts w:ascii="Times New Roman" w:hAnsi="Times New Roman" w:cs="Times New Roman"/>
          <w:lang w:val="pt-BR"/>
        </w:rPr>
        <w:t>Este estudo confirma que a reanimação com qualquer produto sanguíneo é superior à reanimação com cristaloides em termos de mortalidade em 30 dias. O maior benefício foi visto naqueles doentes que receberam concentrado de hemácias + plasma. Doentes com sinais de choque devem receber componentes sanguíneos sempre que possível. Se estiverem disponíveis tanto o concentrado de hemácias quanto o plasma, o doente deve receber ambos. A administração isolada de cristaloides parece ser inferior à administração de componentes sanguíneos. Além disso, o uso da transfusão de sangue total no ambiente pré-hospitalar vem ganhando força e pode ser uma melhor opção à terapia com componentes. Estudos adicionais são necessários para explorar essa possibilidade ainda mais com expansão da administração de sangue e componentes sanguíneos nos serviços de atendimento pré-hospitalar aéreo.</w:t>
      </w:r>
    </w:p>
    <w:p w:rsidR="00F04F34" w:rsidRPr="00262797" w:rsidRDefault="00F04F34" w:rsidP="00AC0FE3">
      <w:pPr>
        <w:pStyle w:val="SemEspaamento"/>
        <w:spacing w:after="120"/>
        <w:jc w:val="both"/>
        <w:rPr>
          <w:rFonts w:ascii="Times New Roman" w:hAnsi="Times New Roman" w:cs="Times New Roman"/>
          <w:lang w:val="pt-BR"/>
        </w:rPr>
      </w:pPr>
    </w:p>
    <w:p w:rsidR="00F16A53" w:rsidRPr="00262797" w:rsidRDefault="00F16A53" w:rsidP="00AC0FE3">
      <w:pPr>
        <w:pStyle w:val="SemEspaamento"/>
        <w:spacing w:after="120"/>
        <w:jc w:val="both"/>
        <w:rPr>
          <w:rFonts w:ascii="Times New Roman" w:hAnsi="Times New Roman" w:cs="Times New Roman"/>
          <w:lang w:val="pt-BR"/>
        </w:rPr>
      </w:pPr>
    </w:p>
    <w:p w:rsidR="00D923E8" w:rsidRPr="00262797" w:rsidRDefault="00D923E8" w:rsidP="0033602D">
      <w:pPr>
        <w:pStyle w:val="PargrafodaLista"/>
        <w:numPr>
          <w:ilvl w:val="0"/>
          <w:numId w:val="17"/>
        </w:numPr>
        <w:tabs>
          <w:tab w:val="left" w:pos="284"/>
        </w:tabs>
        <w:spacing w:after="120" w:line="240" w:lineRule="auto"/>
        <w:ind w:left="0" w:firstLine="0"/>
        <w:contextualSpacing w:val="0"/>
        <w:jc w:val="both"/>
        <w:rPr>
          <w:rFonts w:ascii="Times New Roman" w:eastAsia="Times New Roman" w:hAnsi="Times New Roman" w:cs="Times New Roman"/>
          <w:b/>
        </w:rPr>
      </w:pPr>
      <w:r w:rsidRPr="00262797">
        <w:rPr>
          <w:rFonts w:ascii="Times New Roman" w:hAnsi="Times New Roman" w:cs="Times New Roman"/>
          <w:b/>
          <w:lang w:val="pt-BR"/>
        </w:rPr>
        <w:t xml:space="preserve">Avaliação comparativa randomizada de três dispositivos de </w:t>
      </w:r>
      <w:proofErr w:type="spellStart"/>
      <w:r w:rsidRPr="00262797">
        <w:rPr>
          <w:rFonts w:ascii="Times New Roman" w:hAnsi="Times New Roman" w:cs="Times New Roman"/>
          <w:b/>
          <w:lang w:val="pt-BR"/>
        </w:rPr>
        <w:t>cricotireoidostomia</w:t>
      </w:r>
      <w:proofErr w:type="spellEnd"/>
      <w:r w:rsidRPr="00262797">
        <w:rPr>
          <w:rFonts w:ascii="Times New Roman" w:hAnsi="Times New Roman" w:cs="Times New Roman"/>
          <w:b/>
          <w:lang w:val="pt-BR"/>
        </w:rPr>
        <w:t xml:space="preserve"> em manequins de via aérea. </w:t>
      </w:r>
      <w:proofErr w:type="spellStart"/>
      <w:r w:rsidRPr="00262797">
        <w:rPr>
          <w:rFonts w:ascii="Times New Roman" w:hAnsi="Times New Roman" w:cs="Times New Roman"/>
          <w:bCs/>
        </w:rPr>
        <w:t>Dorsam</w:t>
      </w:r>
      <w:proofErr w:type="spellEnd"/>
      <w:r w:rsidRPr="00262797">
        <w:rPr>
          <w:rFonts w:ascii="Times New Roman" w:hAnsi="Times New Roman" w:cs="Times New Roman"/>
          <w:bCs/>
        </w:rPr>
        <w:t xml:space="preserve"> J, Cornelius S, McLean J, et al. Prehospital Emergency Care, 2019:23; 411-419.</w:t>
      </w:r>
    </w:p>
    <w:p w:rsidR="001F4C1D" w:rsidRPr="00262797" w:rsidRDefault="001F4C1D" w:rsidP="009854A0">
      <w:pPr>
        <w:pStyle w:val="PargrafodaLista"/>
        <w:spacing w:after="120" w:line="240" w:lineRule="auto"/>
        <w:ind w:left="0" w:firstLine="567"/>
        <w:jc w:val="both"/>
        <w:rPr>
          <w:rFonts w:ascii="Times New Roman" w:hAnsi="Times New Roman" w:cs="Times New Roman"/>
          <w:bCs/>
          <w:lang w:val="pt-BR"/>
        </w:rPr>
      </w:pPr>
      <w:r w:rsidRPr="00262797">
        <w:rPr>
          <w:rFonts w:ascii="Times New Roman" w:hAnsi="Times New Roman" w:cs="Times New Roman"/>
          <w:bCs/>
          <w:lang w:val="pt-BR"/>
        </w:rPr>
        <w:t xml:space="preserve">A habilidade de tratar efetivamente a via </w:t>
      </w:r>
      <w:proofErr w:type="spellStart"/>
      <w:r w:rsidRPr="00262797">
        <w:rPr>
          <w:rFonts w:ascii="Times New Roman" w:hAnsi="Times New Roman" w:cs="Times New Roman"/>
          <w:bCs/>
          <w:lang w:val="pt-BR"/>
        </w:rPr>
        <w:t>áerea</w:t>
      </w:r>
      <w:proofErr w:type="spellEnd"/>
      <w:r w:rsidRPr="00262797">
        <w:rPr>
          <w:rFonts w:ascii="Times New Roman" w:hAnsi="Times New Roman" w:cs="Times New Roman"/>
          <w:bCs/>
          <w:lang w:val="pt-BR"/>
        </w:rPr>
        <w:t xml:space="preserve"> é uma destreza importante no ambiente pré-hospitalar. Poucas alternativas são deixadas para os socorristas no cenário “não consegue ventilar, não consegue oxigenar” que não seja a </w:t>
      </w:r>
      <w:proofErr w:type="spellStart"/>
      <w:r w:rsidRPr="00262797">
        <w:rPr>
          <w:rFonts w:ascii="Times New Roman" w:hAnsi="Times New Roman" w:cs="Times New Roman"/>
          <w:bCs/>
          <w:lang w:val="pt-BR"/>
        </w:rPr>
        <w:t>cricotireoidostomia</w:t>
      </w:r>
      <w:proofErr w:type="spellEnd"/>
      <w:r w:rsidRPr="00262797">
        <w:rPr>
          <w:rFonts w:ascii="Times New Roman" w:hAnsi="Times New Roman" w:cs="Times New Roman"/>
          <w:bCs/>
          <w:lang w:val="pt-BR"/>
        </w:rPr>
        <w:t xml:space="preserve"> cirúrgica (CC). Os militares sabem que a obstrução de via aérea é a segunda principal causa de morte evitável no campo de batalha. O Tratamento Tático de Feridos em Combate (TCCC – </w:t>
      </w:r>
      <w:proofErr w:type="spellStart"/>
      <w:r w:rsidRPr="00262797">
        <w:rPr>
          <w:rFonts w:ascii="Times New Roman" w:hAnsi="Times New Roman" w:cs="Times New Roman"/>
          <w:bCs/>
          <w:lang w:val="pt-BR"/>
        </w:rPr>
        <w:t>Tatical</w:t>
      </w:r>
      <w:proofErr w:type="spellEnd"/>
      <w:r w:rsidRPr="00262797">
        <w:rPr>
          <w:rFonts w:ascii="Times New Roman" w:hAnsi="Times New Roman" w:cs="Times New Roman"/>
          <w:bCs/>
          <w:lang w:val="pt-BR"/>
        </w:rPr>
        <w:t xml:space="preserve"> </w:t>
      </w:r>
      <w:proofErr w:type="spellStart"/>
      <w:r w:rsidRPr="00262797">
        <w:rPr>
          <w:rFonts w:ascii="Times New Roman" w:hAnsi="Times New Roman" w:cs="Times New Roman"/>
          <w:bCs/>
          <w:lang w:val="pt-BR"/>
        </w:rPr>
        <w:t>Combat</w:t>
      </w:r>
      <w:proofErr w:type="spellEnd"/>
      <w:r w:rsidRPr="00262797">
        <w:rPr>
          <w:rFonts w:ascii="Times New Roman" w:hAnsi="Times New Roman" w:cs="Times New Roman"/>
          <w:bCs/>
          <w:lang w:val="pt-BR"/>
        </w:rPr>
        <w:t xml:space="preserve"> </w:t>
      </w:r>
      <w:proofErr w:type="spellStart"/>
      <w:r w:rsidRPr="00262797">
        <w:rPr>
          <w:rFonts w:ascii="Times New Roman" w:hAnsi="Times New Roman" w:cs="Times New Roman"/>
          <w:bCs/>
          <w:lang w:val="pt-BR"/>
        </w:rPr>
        <w:t>Casualty</w:t>
      </w:r>
      <w:proofErr w:type="spellEnd"/>
      <w:r w:rsidRPr="00262797">
        <w:rPr>
          <w:rFonts w:ascii="Times New Roman" w:hAnsi="Times New Roman" w:cs="Times New Roman"/>
          <w:bCs/>
          <w:lang w:val="pt-BR"/>
        </w:rPr>
        <w:t xml:space="preserve"> </w:t>
      </w:r>
      <w:proofErr w:type="spellStart"/>
      <w:r w:rsidRPr="00262797">
        <w:rPr>
          <w:rFonts w:ascii="Times New Roman" w:hAnsi="Times New Roman" w:cs="Times New Roman"/>
          <w:bCs/>
          <w:lang w:val="pt-BR"/>
        </w:rPr>
        <w:t>Care</w:t>
      </w:r>
      <w:proofErr w:type="spellEnd"/>
      <w:r w:rsidRPr="00262797">
        <w:rPr>
          <w:rFonts w:ascii="Times New Roman" w:hAnsi="Times New Roman" w:cs="Times New Roman"/>
          <w:bCs/>
          <w:lang w:val="pt-BR"/>
        </w:rPr>
        <w:t xml:space="preserve">) ensina a CC como uma maneira de ventilar e oxigenar uma vítima quando manobras menos agressivas falham. Embora ensinada e praticada no curso TCCC, as taxas de falha no procedimento de CC em campo (18%) são inaceitavelmente altas em doentes críticos. </w:t>
      </w:r>
    </w:p>
    <w:p w:rsidR="001F4C1D" w:rsidRPr="00262797" w:rsidRDefault="001F4C1D" w:rsidP="009854A0">
      <w:pPr>
        <w:pStyle w:val="PargrafodaLista"/>
        <w:spacing w:after="120" w:line="240" w:lineRule="auto"/>
        <w:ind w:left="0" w:firstLine="567"/>
        <w:jc w:val="both"/>
        <w:rPr>
          <w:rFonts w:ascii="Times New Roman" w:hAnsi="Times New Roman" w:cs="Times New Roman"/>
          <w:bCs/>
          <w:lang w:val="pt-BR"/>
        </w:rPr>
      </w:pPr>
      <w:r w:rsidRPr="00262797">
        <w:rPr>
          <w:rFonts w:ascii="Times New Roman" w:hAnsi="Times New Roman" w:cs="Times New Roman"/>
          <w:bCs/>
          <w:lang w:val="pt-BR"/>
        </w:rPr>
        <w:t xml:space="preserve">As diretrizes atuais do TCCC recomendam o uso do Kit </w:t>
      </w:r>
      <w:proofErr w:type="spellStart"/>
      <w:r w:rsidRPr="00262797">
        <w:rPr>
          <w:rFonts w:ascii="Times New Roman" w:hAnsi="Times New Roman" w:cs="Times New Roman"/>
          <w:bCs/>
          <w:lang w:val="pt-BR"/>
        </w:rPr>
        <w:t>Control-Cric</w:t>
      </w:r>
      <w:proofErr w:type="spellEnd"/>
      <w:r w:rsidRPr="00262797">
        <w:rPr>
          <w:rFonts w:ascii="Times New Roman" w:hAnsi="Times New Roman" w:cs="Times New Roman"/>
          <w:bCs/>
          <w:lang w:val="pt-BR"/>
        </w:rPr>
        <w:t>, que utiliza uma chave-</w:t>
      </w:r>
      <w:proofErr w:type="spellStart"/>
      <w:r w:rsidRPr="00262797">
        <w:rPr>
          <w:rFonts w:ascii="Times New Roman" w:hAnsi="Times New Roman" w:cs="Times New Roman"/>
          <w:bCs/>
          <w:lang w:val="pt-BR"/>
        </w:rPr>
        <w:t>crik</w:t>
      </w:r>
      <w:proofErr w:type="spellEnd"/>
      <w:r w:rsidRPr="00262797">
        <w:rPr>
          <w:rFonts w:ascii="Times New Roman" w:hAnsi="Times New Roman" w:cs="Times New Roman"/>
          <w:bCs/>
          <w:lang w:val="pt-BR"/>
        </w:rPr>
        <w:t xml:space="preserve"> combinada a uma lâmina e um gancho para acessar e estabilizar o lúmen da traqueia para a colocação do tubo escolhido, de acordo com a preferência. O uso do Kit Tático </w:t>
      </w:r>
      <w:proofErr w:type="spellStart"/>
      <w:r w:rsidRPr="00262797">
        <w:rPr>
          <w:rFonts w:ascii="Times New Roman" w:hAnsi="Times New Roman" w:cs="Times New Roman"/>
          <w:bCs/>
          <w:lang w:val="pt-BR"/>
        </w:rPr>
        <w:t>Control-Cric</w:t>
      </w:r>
      <w:proofErr w:type="spellEnd"/>
      <w:r w:rsidRPr="00262797">
        <w:rPr>
          <w:rFonts w:ascii="Times New Roman" w:hAnsi="Times New Roman" w:cs="Times New Roman"/>
          <w:bCs/>
          <w:lang w:val="pt-BR"/>
        </w:rPr>
        <w:t xml:space="preserve"> é frequentemente ensinado nas aulas do TCCC. Ele utiliza um gancho para abrir um espaço na cartilagem </w:t>
      </w:r>
      <w:proofErr w:type="spellStart"/>
      <w:r w:rsidRPr="00262797">
        <w:rPr>
          <w:rFonts w:ascii="Times New Roman" w:hAnsi="Times New Roman" w:cs="Times New Roman"/>
          <w:bCs/>
          <w:lang w:val="pt-BR"/>
        </w:rPr>
        <w:t>cricoide</w:t>
      </w:r>
      <w:proofErr w:type="spellEnd"/>
      <w:r w:rsidRPr="00262797">
        <w:rPr>
          <w:rFonts w:ascii="Times New Roman" w:hAnsi="Times New Roman" w:cs="Times New Roman"/>
          <w:bCs/>
          <w:lang w:val="pt-BR"/>
        </w:rPr>
        <w:t xml:space="preserve">, após esta ter sido dissecada com uma lâmina cirúrgica. Um tubo traqueal é então inserido neste espaço com um obturador. Por fim, a Técnica Assistida por </w:t>
      </w:r>
      <w:proofErr w:type="spellStart"/>
      <w:r w:rsidRPr="00262797">
        <w:rPr>
          <w:rFonts w:ascii="Times New Roman" w:hAnsi="Times New Roman" w:cs="Times New Roman"/>
          <w:bCs/>
          <w:lang w:val="pt-BR"/>
        </w:rPr>
        <w:t>Bougie</w:t>
      </w:r>
      <w:proofErr w:type="spellEnd"/>
      <w:r w:rsidRPr="00262797">
        <w:rPr>
          <w:rFonts w:ascii="Times New Roman" w:hAnsi="Times New Roman" w:cs="Times New Roman"/>
          <w:bCs/>
          <w:lang w:val="pt-BR"/>
        </w:rPr>
        <w:t xml:space="preserve"> (TAB) pode ser utilizada inicialmente para acessar o lúmen   traqueal exposto com o introdutor adulto e, então, inserir o tubo traqueal sobre o </w:t>
      </w:r>
      <w:proofErr w:type="spellStart"/>
      <w:r w:rsidRPr="00262797">
        <w:rPr>
          <w:rFonts w:ascii="Times New Roman" w:hAnsi="Times New Roman" w:cs="Times New Roman"/>
          <w:bCs/>
          <w:lang w:val="pt-BR"/>
        </w:rPr>
        <w:t>Bougie</w:t>
      </w:r>
      <w:proofErr w:type="spellEnd"/>
      <w:r w:rsidRPr="00262797">
        <w:rPr>
          <w:rFonts w:ascii="Times New Roman" w:hAnsi="Times New Roman" w:cs="Times New Roman"/>
          <w:bCs/>
          <w:lang w:val="pt-BR"/>
        </w:rPr>
        <w:t>.</w:t>
      </w:r>
    </w:p>
    <w:p w:rsidR="001F4C1D" w:rsidRPr="00262797" w:rsidRDefault="001F4C1D" w:rsidP="009854A0">
      <w:pPr>
        <w:pStyle w:val="PargrafodaLista"/>
        <w:spacing w:after="120" w:line="240" w:lineRule="auto"/>
        <w:ind w:left="0" w:firstLine="567"/>
        <w:jc w:val="both"/>
        <w:rPr>
          <w:rFonts w:ascii="Times New Roman" w:hAnsi="Times New Roman" w:cs="Times New Roman"/>
          <w:bCs/>
          <w:lang w:val="pt-BR"/>
        </w:rPr>
      </w:pPr>
      <w:proofErr w:type="spellStart"/>
      <w:r w:rsidRPr="00262797">
        <w:rPr>
          <w:rFonts w:ascii="Times New Roman" w:hAnsi="Times New Roman" w:cs="Times New Roman"/>
          <w:bCs/>
          <w:lang w:val="pt-BR"/>
        </w:rPr>
        <w:t>Dorsam</w:t>
      </w:r>
      <w:proofErr w:type="spellEnd"/>
      <w:r w:rsidRPr="00262797">
        <w:rPr>
          <w:rFonts w:ascii="Times New Roman" w:hAnsi="Times New Roman" w:cs="Times New Roman"/>
          <w:bCs/>
          <w:lang w:val="pt-BR"/>
        </w:rPr>
        <w:t xml:space="preserve"> </w:t>
      </w:r>
      <w:proofErr w:type="spellStart"/>
      <w:r w:rsidRPr="00262797">
        <w:rPr>
          <w:rFonts w:ascii="Times New Roman" w:hAnsi="Times New Roman" w:cs="Times New Roman"/>
          <w:bCs/>
          <w:lang w:val="pt-BR"/>
        </w:rPr>
        <w:t>at</w:t>
      </w:r>
      <w:proofErr w:type="spellEnd"/>
      <w:r w:rsidRPr="00262797">
        <w:rPr>
          <w:rFonts w:ascii="Times New Roman" w:hAnsi="Times New Roman" w:cs="Times New Roman"/>
          <w:bCs/>
          <w:lang w:val="pt-BR"/>
        </w:rPr>
        <w:t xml:space="preserve"> al. avaliou 25 fuzileiros navais em ambiente de laboratório enquanto eles realizavam a CC em um novo manequim de via aérea utilizando cada um dos equipamentos e procedimentos descritos anteriormente. Os fuzileiros navais voluntários praticaram e treinaram os procedimentos de forma similar </w:t>
      </w:r>
      <w:r w:rsidRPr="00262797">
        <w:rPr>
          <w:rFonts w:ascii="Times New Roman" w:hAnsi="Times New Roman" w:cs="Times New Roman"/>
          <w:bCs/>
          <w:lang w:val="pt-BR"/>
        </w:rPr>
        <w:lastRenderedPageBreak/>
        <w:t>ao curso TCCC, nos equipamentos e manequins a serem utilizados neste estudo. Suas experiências anteriores em realizar a CC eram variadas - um terço dos participantes não tinha experiência prévia com o procedimento e apenas um participante já havia realizado o procedimento em humanos. O estudo avaliou o tempo necessário para a realização do procedimento desde o primeiro toque no equipamento até a colocação correta do tubo traqueal (ventilação manual verificada pela ausculta dos murmúrios vesiculares).  Após a conclusão do estudo, foi feita uma pesquisa com os voluntários a respeito das preferências para eficácia, facilidade de uso e confiabilidade do equipamento. Além disso, foi dada aos participantes a oportunidade de responder a perguntas abertas sobre sugestões de melhorias do equipamento e suas opiniões sobre o formato do estudo.</w:t>
      </w:r>
    </w:p>
    <w:p w:rsidR="001F4C1D" w:rsidRPr="00262797" w:rsidRDefault="001F4C1D" w:rsidP="009854A0">
      <w:pPr>
        <w:pStyle w:val="PargrafodaLista"/>
        <w:spacing w:after="120" w:line="240" w:lineRule="auto"/>
        <w:ind w:left="0" w:firstLine="567"/>
        <w:jc w:val="both"/>
        <w:rPr>
          <w:rFonts w:ascii="Times New Roman" w:hAnsi="Times New Roman" w:cs="Times New Roman"/>
          <w:bCs/>
          <w:lang w:val="pt-BR"/>
        </w:rPr>
      </w:pPr>
      <w:r w:rsidRPr="00262797">
        <w:rPr>
          <w:rFonts w:ascii="Times New Roman" w:hAnsi="Times New Roman" w:cs="Times New Roman"/>
          <w:bCs/>
          <w:lang w:val="pt-BR"/>
        </w:rPr>
        <w:t xml:space="preserve">A colocação correta do dispositivo ocorreu em 76% das vezes utilizando o TAB, 40% com o Kit Tático de </w:t>
      </w:r>
      <w:proofErr w:type="spellStart"/>
      <w:r w:rsidRPr="00262797">
        <w:rPr>
          <w:rFonts w:ascii="Times New Roman" w:hAnsi="Times New Roman" w:cs="Times New Roman"/>
          <w:bCs/>
          <w:lang w:val="pt-BR"/>
        </w:rPr>
        <w:t>Cricotireoidostomia</w:t>
      </w:r>
      <w:proofErr w:type="spellEnd"/>
      <w:r w:rsidRPr="00262797">
        <w:rPr>
          <w:rFonts w:ascii="Times New Roman" w:hAnsi="Times New Roman" w:cs="Times New Roman"/>
          <w:bCs/>
          <w:lang w:val="pt-BR"/>
        </w:rPr>
        <w:t xml:space="preserve"> e 48% com a CC. Em relação ao  tempo da incisão até a ventilação efetiva, o Kit Tático de </w:t>
      </w:r>
      <w:proofErr w:type="spellStart"/>
      <w:r w:rsidRPr="00262797">
        <w:rPr>
          <w:rFonts w:ascii="Times New Roman" w:hAnsi="Times New Roman" w:cs="Times New Roman"/>
          <w:bCs/>
          <w:lang w:val="pt-BR"/>
        </w:rPr>
        <w:t>Cricotireoidostomia</w:t>
      </w:r>
      <w:proofErr w:type="spellEnd"/>
      <w:r w:rsidRPr="00262797">
        <w:rPr>
          <w:rFonts w:ascii="Times New Roman" w:hAnsi="Times New Roman" w:cs="Times New Roman"/>
          <w:bCs/>
          <w:lang w:val="pt-BR"/>
        </w:rPr>
        <w:t xml:space="preserve"> foi o mais rápido (74 – 120 segundos), o TAB foi o segundo (103-146 segundos) e a CC, o mais demorado (135 – 213 segundos).</w:t>
      </w:r>
    </w:p>
    <w:p w:rsidR="001F4C1D" w:rsidRPr="00262797" w:rsidRDefault="001F4C1D" w:rsidP="009854A0">
      <w:pPr>
        <w:pStyle w:val="PargrafodaLista"/>
        <w:spacing w:after="120" w:line="240" w:lineRule="auto"/>
        <w:ind w:left="0" w:firstLine="567"/>
        <w:jc w:val="both"/>
        <w:rPr>
          <w:rFonts w:ascii="Times New Roman" w:hAnsi="Times New Roman" w:cs="Times New Roman"/>
          <w:bCs/>
          <w:lang w:val="pt-BR"/>
        </w:rPr>
      </w:pPr>
      <w:r w:rsidRPr="00262797">
        <w:rPr>
          <w:rFonts w:ascii="Times New Roman" w:hAnsi="Times New Roman" w:cs="Times New Roman"/>
          <w:bCs/>
          <w:lang w:val="pt-BR"/>
        </w:rPr>
        <w:t xml:space="preserve">A avaliação do treinamento pelos participantes foi 88% positiva, concordando que “essa oportunidade educacional foi útil”. Para a pergunta “se você pudesse escolher um kit, qual seria?”, ninguém escolheu a CC. O Kit Tático de </w:t>
      </w:r>
      <w:proofErr w:type="spellStart"/>
      <w:r w:rsidRPr="00262797">
        <w:rPr>
          <w:rFonts w:ascii="Times New Roman" w:hAnsi="Times New Roman" w:cs="Times New Roman"/>
          <w:bCs/>
          <w:lang w:val="pt-BR"/>
        </w:rPr>
        <w:t>Cricotireoidostomia</w:t>
      </w:r>
      <w:proofErr w:type="spellEnd"/>
      <w:r w:rsidRPr="00262797">
        <w:rPr>
          <w:rFonts w:ascii="Times New Roman" w:hAnsi="Times New Roman" w:cs="Times New Roman"/>
          <w:bCs/>
          <w:lang w:val="pt-BR"/>
        </w:rPr>
        <w:t xml:space="preserve"> foi o mais citado, com 58%, seguido pelo TAB com 42%. Vale ressaltar que o dispositivo de CC com os menores tempos de inserção e preferido pelos participantes do estudo (TCK) teve a taxa de inserção de menor sucesso (apenas 40%). É provável que a familiaridade, experiências anteriores com o Kit Tático de </w:t>
      </w:r>
      <w:proofErr w:type="spellStart"/>
      <w:r w:rsidRPr="00262797">
        <w:rPr>
          <w:rFonts w:ascii="Times New Roman" w:hAnsi="Times New Roman" w:cs="Times New Roman"/>
          <w:bCs/>
          <w:lang w:val="pt-BR"/>
        </w:rPr>
        <w:t>Cricotireoidostomia</w:t>
      </w:r>
      <w:proofErr w:type="spellEnd"/>
      <w:r w:rsidRPr="00262797">
        <w:rPr>
          <w:rFonts w:ascii="Times New Roman" w:hAnsi="Times New Roman" w:cs="Times New Roman"/>
          <w:bCs/>
          <w:lang w:val="pt-BR"/>
        </w:rPr>
        <w:t xml:space="preserve"> durante o treinamento anterior do TCCC, e o fato de ser comumente encontrado nos kits de auxílio em campo o tornem o favorito pelos participantes.</w:t>
      </w:r>
    </w:p>
    <w:p w:rsidR="001F4C1D" w:rsidRPr="00262797" w:rsidRDefault="001F4C1D" w:rsidP="009854A0">
      <w:pPr>
        <w:pStyle w:val="PargrafodaLista"/>
        <w:spacing w:after="120" w:line="240" w:lineRule="auto"/>
        <w:ind w:left="0" w:firstLine="567"/>
        <w:jc w:val="both"/>
        <w:rPr>
          <w:rFonts w:ascii="Times New Roman" w:hAnsi="Times New Roman" w:cs="Times New Roman"/>
          <w:bCs/>
          <w:lang w:val="pt-BR"/>
        </w:rPr>
      </w:pPr>
      <w:r w:rsidRPr="00262797">
        <w:rPr>
          <w:rFonts w:ascii="Times New Roman" w:hAnsi="Times New Roman" w:cs="Times New Roman"/>
          <w:bCs/>
          <w:lang w:val="pt-BR"/>
        </w:rPr>
        <w:t xml:space="preserve">Este estudo demonstra alguns problemas importantes que todas as agências de Atendimento Pré-Hospitalar devem considerar caso a </w:t>
      </w:r>
      <w:proofErr w:type="spellStart"/>
      <w:r w:rsidRPr="00262797">
        <w:rPr>
          <w:rFonts w:ascii="Times New Roman" w:hAnsi="Times New Roman" w:cs="Times New Roman"/>
          <w:bCs/>
          <w:lang w:val="pt-BR"/>
        </w:rPr>
        <w:t>cricotireoidostomia</w:t>
      </w:r>
      <w:proofErr w:type="spellEnd"/>
      <w:r w:rsidRPr="00262797">
        <w:rPr>
          <w:rFonts w:ascii="Times New Roman" w:hAnsi="Times New Roman" w:cs="Times New Roman"/>
          <w:bCs/>
          <w:lang w:val="pt-BR"/>
        </w:rPr>
        <w:t xml:space="preserve"> seja incluída como um procedimento de abordagem da via aérea permitido:</w:t>
      </w:r>
    </w:p>
    <w:p w:rsidR="009854A0" w:rsidRPr="00262797" w:rsidRDefault="009854A0" w:rsidP="009854A0">
      <w:pPr>
        <w:pStyle w:val="PargrafodaLista"/>
        <w:spacing w:after="120" w:line="240" w:lineRule="auto"/>
        <w:ind w:left="567"/>
        <w:jc w:val="both"/>
        <w:rPr>
          <w:rFonts w:ascii="Times New Roman" w:hAnsi="Times New Roman" w:cs="Times New Roman"/>
          <w:bCs/>
          <w:lang w:val="pt-BR"/>
        </w:rPr>
      </w:pPr>
      <w:r w:rsidRPr="00262797">
        <w:rPr>
          <w:rFonts w:ascii="Times New Roman" w:hAnsi="Times New Roman" w:cs="Times New Roman"/>
          <w:bCs/>
          <w:lang w:val="pt-BR"/>
        </w:rPr>
        <w:t xml:space="preserve">1. </w:t>
      </w:r>
      <w:r w:rsidR="001F4C1D" w:rsidRPr="00262797">
        <w:rPr>
          <w:rFonts w:ascii="Times New Roman" w:hAnsi="Times New Roman" w:cs="Times New Roman"/>
          <w:bCs/>
          <w:lang w:val="pt-BR"/>
        </w:rPr>
        <w:t>A importância da prática e do treinamento contínuo rigoroso dessa técnica invasiva salvadora de vidas;</w:t>
      </w:r>
    </w:p>
    <w:p w:rsidR="001F4C1D" w:rsidRPr="00262797" w:rsidRDefault="009854A0" w:rsidP="009854A0">
      <w:pPr>
        <w:pStyle w:val="PargrafodaLista"/>
        <w:spacing w:after="120" w:line="240" w:lineRule="auto"/>
        <w:ind w:left="567"/>
        <w:jc w:val="both"/>
        <w:rPr>
          <w:rFonts w:ascii="Times New Roman" w:hAnsi="Times New Roman" w:cs="Times New Roman"/>
          <w:bCs/>
          <w:lang w:val="pt-BR"/>
        </w:rPr>
      </w:pPr>
      <w:r w:rsidRPr="00262797">
        <w:rPr>
          <w:rFonts w:ascii="Times New Roman" w:hAnsi="Times New Roman" w:cs="Times New Roman"/>
          <w:bCs/>
          <w:lang w:val="pt-BR"/>
        </w:rPr>
        <w:t>2. S</w:t>
      </w:r>
      <w:r w:rsidR="001F4C1D" w:rsidRPr="00262797">
        <w:rPr>
          <w:rFonts w:ascii="Times New Roman" w:hAnsi="Times New Roman" w:cs="Times New Roman"/>
          <w:bCs/>
          <w:lang w:val="pt-BR"/>
        </w:rPr>
        <w:t>em a prática contínua e familiaridade com o equipamento, as taxas de falha são extremamente altas;</w:t>
      </w:r>
    </w:p>
    <w:p w:rsidR="00281AA8" w:rsidRPr="00262797" w:rsidRDefault="00EB332C" w:rsidP="009854A0">
      <w:pPr>
        <w:pStyle w:val="PargrafodaLista"/>
        <w:spacing w:after="120" w:line="240" w:lineRule="auto"/>
        <w:ind w:left="0" w:firstLine="567"/>
        <w:jc w:val="both"/>
        <w:rPr>
          <w:rFonts w:ascii="Times New Roman" w:hAnsi="Times New Roman" w:cs="Times New Roman"/>
          <w:bCs/>
          <w:lang w:val="pt-BR"/>
        </w:rPr>
      </w:pPr>
      <w:r w:rsidRPr="00262797">
        <w:rPr>
          <w:rFonts w:ascii="Times New Roman" w:hAnsi="Times New Roman" w:cs="Times New Roman"/>
          <w:bCs/>
          <w:lang w:val="pt-BR"/>
        </w:rPr>
        <w:t xml:space="preserve">3. </w:t>
      </w:r>
      <w:r w:rsidR="001F4C1D" w:rsidRPr="00262797">
        <w:rPr>
          <w:rFonts w:ascii="Times New Roman" w:hAnsi="Times New Roman" w:cs="Times New Roman"/>
          <w:bCs/>
          <w:lang w:val="pt-BR"/>
        </w:rPr>
        <w:t xml:space="preserve">Os produtos existentes para a realização da </w:t>
      </w:r>
      <w:proofErr w:type="spellStart"/>
      <w:r w:rsidR="001F4C1D" w:rsidRPr="00262797">
        <w:rPr>
          <w:rFonts w:ascii="Times New Roman" w:hAnsi="Times New Roman" w:cs="Times New Roman"/>
          <w:bCs/>
          <w:lang w:val="pt-BR"/>
        </w:rPr>
        <w:t>cricotireoidostomia</w:t>
      </w:r>
      <w:proofErr w:type="spellEnd"/>
      <w:r w:rsidR="001F4C1D" w:rsidRPr="00262797">
        <w:rPr>
          <w:rFonts w:ascii="Times New Roman" w:hAnsi="Times New Roman" w:cs="Times New Roman"/>
          <w:bCs/>
          <w:lang w:val="pt-BR"/>
        </w:rPr>
        <w:t xml:space="preserve"> são inadequados e necessitam de melhora significativa</w:t>
      </w:r>
    </w:p>
    <w:p w:rsidR="00636622" w:rsidRPr="00262797" w:rsidRDefault="00636622" w:rsidP="00AC0FE3">
      <w:pPr>
        <w:pStyle w:val="PargrafodaLista"/>
        <w:spacing w:after="120" w:line="240" w:lineRule="auto"/>
        <w:ind w:left="0"/>
        <w:jc w:val="both"/>
        <w:rPr>
          <w:rFonts w:ascii="Times New Roman" w:hAnsi="Times New Roman" w:cs="Times New Roman"/>
          <w:lang w:val="pt-BR"/>
        </w:rPr>
      </w:pPr>
    </w:p>
    <w:p w:rsidR="00F16A53" w:rsidRPr="00262797" w:rsidRDefault="00F16A53" w:rsidP="00AC0FE3">
      <w:pPr>
        <w:pStyle w:val="PargrafodaLista"/>
        <w:spacing w:after="120" w:line="240" w:lineRule="auto"/>
        <w:ind w:left="0"/>
        <w:jc w:val="both"/>
        <w:rPr>
          <w:rFonts w:ascii="Times New Roman" w:hAnsi="Times New Roman" w:cs="Times New Roman"/>
          <w:lang w:val="pt-BR"/>
        </w:rPr>
      </w:pPr>
    </w:p>
    <w:p w:rsidR="00657100" w:rsidRPr="00262797" w:rsidRDefault="006B1A43" w:rsidP="0033602D">
      <w:pPr>
        <w:pStyle w:val="PargrafodaLista"/>
        <w:numPr>
          <w:ilvl w:val="0"/>
          <w:numId w:val="17"/>
        </w:numPr>
        <w:tabs>
          <w:tab w:val="left" w:pos="284"/>
        </w:tabs>
        <w:spacing w:after="120" w:line="240" w:lineRule="auto"/>
        <w:ind w:left="0" w:firstLine="0"/>
        <w:contextualSpacing w:val="0"/>
        <w:jc w:val="both"/>
        <w:rPr>
          <w:rFonts w:ascii="Times New Roman" w:eastAsia="Times New Roman" w:hAnsi="Times New Roman" w:cs="Times New Roman"/>
          <w:b/>
        </w:rPr>
      </w:pPr>
      <w:r w:rsidRPr="00262797">
        <w:rPr>
          <w:rFonts w:ascii="Times New Roman" w:eastAsia="Times New Roman" w:hAnsi="Times New Roman" w:cs="Times New Roman"/>
          <w:b/>
          <w:lang w:val="pt-BR"/>
        </w:rPr>
        <w:t xml:space="preserve">Equipamentos de oxigênio em serviços de atendimento pré-hospitalar: uma fonte de transmissão de MRSA? </w:t>
      </w:r>
      <w:r w:rsidRPr="00262797">
        <w:rPr>
          <w:rFonts w:ascii="Times New Roman" w:eastAsia="Times New Roman" w:hAnsi="Times New Roman" w:cs="Times New Roman"/>
          <w:bCs/>
        </w:rPr>
        <w:t xml:space="preserve">Gibson, CV. </w:t>
      </w:r>
      <w:proofErr w:type="spellStart"/>
      <w:r w:rsidRPr="00262797">
        <w:rPr>
          <w:rFonts w:ascii="Times New Roman" w:eastAsia="Times New Roman" w:hAnsi="Times New Roman" w:cs="Times New Roman"/>
          <w:bCs/>
        </w:rPr>
        <w:t>Emerg</w:t>
      </w:r>
      <w:proofErr w:type="spellEnd"/>
      <w:r w:rsidRPr="00262797">
        <w:rPr>
          <w:rFonts w:ascii="Times New Roman" w:eastAsia="Times New Roman" w:hAnsi="Times New Roman" w:cs="Times New Roman"/>
          <w:bCs/>
        </w:rPr>
        <w:t xml:space="preserve"> Med J 2019:36. doi:10.1136/emermed-2018-207758 [</w:t>
      </w:r>
      <w:proofErr w:type="spellStart"/>
      <w:r w:rsidRPr="00262797">
        <w:rPr>
          <w:rFonts w:ascii="Times New Roman" w:eastAsia="Times New Roman" w:hAnsi="Times New Roman" w:cs="Times New Roman"/>
          <w:bCs/>
        </w:rPr>
        <w:t>Epub</w:t>
      </w:r>
      <w:proofErr w:type="spellEnd"/>
      <w:r w:rsidRPr="00262797">
        <w:rPr>
          <w:rFonts w:ascii="Times New Roman" w:eastAsia="Times New Roman" w:hAnsi="Times New Roman" w:cs="Times New Roman"/>
          <w:bCs/>
        </w:rPr>
        <w:t xml:space="preserve"> ahead of print. Dec 1, 2018]</w:t>
      </w:r>
    </w:p>
    <w:p w:rsidR="006B1A43" w:rsidRPr="00262797" w:rsidRDefault="006B1A43" w:rsidP="00F16A53">
      <w:pPr>
        <w:pStyle w:val="PargrafodaLista"/>
        <w:tabs>
          <w:tab w:val="left" w:pos="567"/>
        </w:tabs>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 xml:space="preserve">Diariamente, nos Sistemas de Atendimento Pré-Hospitalar (APH) ao redor do mundo, oxigênio é administrado a doentes que estão no extremo de uma gama de situações que variam desde um trauma moderado até uma parada cardíaca. A </w:t>
      </w:r>
      <w:proofErr w:type="spellStart"/>
      <w:r w:rsidRPr="00262797">
        <w:rPr>
          <w:rFonts w:ascii="Times New Roman" w:eastAsia="Times New Roman" w:hAnsi="Times New Roman" w:cs="Times New Roman"/>
          <w:bCs/>
          <w:lang w:val="pt-BR"/>
        </w:rPr>
        <w:t>oxigenoterapia</w:t>
      </w:r>
      <w:proofErr w:type="spellEnd"/>
      <w:r w:rsidRPr="00262797">
        <w:rPr>
          <w:rFonts w:ascii="Times New Roman" w:eastAsia="Times New Roman" w:hAnsi="Times New Roman" w:cs="Times New Roman"/>
          <w:bCs/>
          <w:lang w:val="pt-BR"/>
        </w:rPr>
        <w:t xml:space="preserve"> tem sido um dos tratamentos básicos dos socorristas do APH desde os primórdios da criação do sistema até os dias atuais. Esse estudo observacional não avalia os benefícios da administração ou da falta de administração de oxigênio, mas a ampla possibilidade de contaminação do equipamento durante seu uso. </w:t>
      </w:r>
    </w:p>
    <w:p w:rsidR="006B1A43" w:rsidRPr="00262797" w:rsidRDefault="006B1A43" w:rsidP="00F16A53">
      <w:pPr>
        <w:pStyle w:val="PargrafodaLista"/>
        <w:tabs>
          <w:tab w:val="left" w:pos="567"/>
        </w:tabs>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 xml:space="preserve">O autor deste estudo examinou a superfície de todos os cilindros de oxigênio a bordo em um pequeno serviço de ambulâncias (9 ambulâncias) no estado do Alabama, nos EUA, para a presença de </w:t>
      </w:r>
      <w:proofErr w:type="spellStart"/>
      <w:r w:rsidRPr="00262797">
        <w:rPr>
          <w:rFonts w:ascii="Times New Roman" w:eastAsia="Times New Roman" w:hAnsi="Times New Roman" w:cs="Times New Roman"/>
          <w:bCs/>
          <w:lang w:val="pt-BR"/>
        </w:rPr>
        <w:t>Staphylococcus</w:t>
      </w:r>
      <w:proofErr w:type="spellEnd"/>
      <w:r w:rsidRPr="00262797">
        <w:rPr>
          <w:rFonts w:ascii="Times New Roman" w:eastAsia="Times New Roman" w:hAnsi="Times New Roman" w:cs="Times New Roman"/>
          <w:bCs/>
          <w:lang w:val="pt-BR"/>
        </w:rPr>
        <w:t xml:space="preserve"> Aureus resistentes à </w:t>
      </w:r>
      <w:proofErr w:type="spellStart"/>
      <w:r w:rsidRPr="00262797">
        <w:rPr>
          <w:rFonts w:ascii="Times New Roman" w:eastAsia="Times New Roman" w:hAnsi="Times New Roman" w:cs="Times New Roman"/>
          <w:bCs/>
          <w:lang w:val="pt-BR"/>
        </w:rPr>
        <w:t>meticilina</w:t>
      </w:r>
      <w:proofErr w:type="spellEnd"/>
      <w:r w:rsidRPr="00262797">
        <w:rPr>
          <w:rFonts w:ascii="Times New Roman" w:eastAsia="Times New Roman" w:hAnsi="Times New Roman" w:cs="Times New Roman"/>
          <w:bCs/>
          <w:lang w:val="pt-BR"/>
        </w:rPr>
        <w:t xml:space="preserve"> (SARM). A equipe pré-hospitalar realiza rotineiramente a descontaminação dos equipamentos e outras superfícies que entram em contato direto com os doentes ou seus fluidos corporais; entretanto isso geralmente não inclui os cilindros de oxigênio e seus registros. Neste estudo, cada ambulância era equipada com dois cilindros de oxigênio portáteis para uso ao lado do doente durante o atendimento fora do compartimento posterior da ambulância. Foram obtidas amostras de 9 cilindros utilizados nas ambulâncias. Também foram coletadas amostras de outras superfícies do compartimento posterior da ambulância e de outros equipamentos e suprimentos portáteis. Dos cilindros </w:t>
      </w:r>
      <w:r w:rsidRPr="00262797">
        <w:rPr>
          <w:rFonts w:ascii="Times New Roman" w:eastAsia="Times New Roman" w:hAnsi="Times New Roman" w:cs="Times New Roman"/>
          <w:bCs/>
          <w:lang w:val="pt-BR"/>
        </w:rPr>
        <w:lastRenderedPageBreak/>
        <w:t xml:space="preserve">de oxigênio testados, 100% foram positivos para a presença de </w:t>
      </w:r>
      <w:proofErr w:type="spellStart"/>
      <w:r w:rsidRPr="00262797">
        <w:rPr>
          <w:rFonts w:ascii="Times New Roman" w:eastAsia="Times New Roman" w:hAnsi="Times New Roman" w:cs="Times New Roman"/>
          <w:bCs/>
          <w:lang w:val="pt-BR"/>
        </w:rPr>
        <w:t>Staphylococcus</w:t>
      </w:r>
      <w:proofErr w:type="spellEnd"/>
      <w:r w:rsidRPr="00262797">
        <w:rPr>
          <w:rFonts w:ascii="Times New Roman" w:eastAsia="Times New Roman" w:hAnsi="Times New Roman" w:cs="Times New Roman"/>
          <w:bCs/>
          <w:lang w:val="pt-BR"/>
        </w:rPr>
        <w:t xml:space="preserve"> Aureus resistentes à </w:t>
      </w:r>
      <w:proofErr w:type="spellStart"/>
      <w:r w:rsidRPr="00262797">
        <w:rPr>
          <w:rFonts w:ascii="Times New Roman" w:eastAsia="Times New Roman" w:hAnsi="Times New Roman" w:cs="Times New Roman"/>
          <w:bCs/>
          <w:lang w:val="pt-BR"/>
        </w:rPr>
        <w:t>meticilina</w:t>
      </w:r>
      <w:proofErr w:type="spellEnd"/>
      <w:r w:rsidRPr="00262797">
        <w:rPr>
          <w:rFonts w:ascii="Times New Roman" w:eastAsia="Times New Roman" w:hAnsi="Times New Roman" w:cs="Times New Roman"/>
          <w:bCs/>
          <w:lang w:val="pt-BR"/>
        </w:rPr>
        <w:t xml:space="preserve"> (SARM). O autor comparou esses dados aos de outros equipamentos portáteis na ambulância e nenhum deles foi positivo para SARM. A única área no compartimento posterior da ambulância que revelou a presença de SARM foi o piso. O autor realizou então a cultura de setenta (70) cilindros de oxigênio portáteis armazenados em um fornecedor externo – em 67% o resultado foi positivo para SARM.</w:t>
      </w:r>
    </w:p>
    <w:p w:rsidR="006B1A43" w:rsidRPr="00262797" w:rsidRDefault="006B1A43" w:rsidP="00F16A53">
      <w:pPr>
        <w:pStyle w:val="PargrafodaLista"/>
        <w:tabs>
          <w:tab w:val="left" w:pos="567"/>
        </w:tabs>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 xml:space="preserve">Enquanto este estudo avalia apenas um, e relativamente pequeno, serviço de ambulâncias, o grau de contaminação por SARM é alarmante. Embora haja limitações neste estudo devido à uma amostra pequena (um serviço e um fornecedor), ele levanta a questão dos protocolos e políticas vigentes para a descontaminação de equipamentos de oxigênio (cilindros e registros) tanto pelos provedores de saúde quanto pelos fornecedores. É evidente, pela falta de contaminação em outros equipamentos e no próprio compartimento da ambulância, que o protocolo de descontaminação é efetivo. Entretanto, o mais alarmante foi o achado da contaminação por SARM nos cilindros do fornecedor externo, pois seria de se supor que os cilindros provenientes de um fornecedor externo estivessem limpos e </w:t>
      </w:r>
      <w:proofErr w:type="spellStart"/>
      <w:r w:rsidRPr="00262797">
        <w:rPr>
          <w:rFonts w:ascii="Times New Roman" w:eastAsia="Times New Roman" w:hAnsi="Times New Roman" w:cs="Times New Roman"/>
          <w:bCs/>
          <w:lang w:val="pt-BR"/>
        </w:rPr>
        <w:t>descontaminados</w:t>
      </w:r>
      <w:proofErr w:type="spellEnd"/>
      <w:r w:rsidRPr="00262797">
        <w:rPr>
          <w:rFonts w:ascii="Times New Roman" w:eastAsia="Times New Roman" w:hAnsi="Times New Roman" w:cs="Times New Roman"/>
          <w:bCs/>
          <w:lang w:val="pt-BR"/>
        </w:rPr>
        <w:t xml:space="preserve">, e esse estudo contesta esta hipótese. Esse estudo pede por exames e avaliações futuras, registrando uma amostra maior e em diversos serviços e fornecedores para determinar se esse é um problema generalizado ou isolado ao serviço objeto do estudo. Os socorristas devem avaliar suas políticas e protocolos internos a respeito dos procedimentos de descontaminação de seus equipamentos de </w:t>
      </w:r>
      <w:proofErr w:type="spellStart"/>
      <w:r w:rsidRPr="00262797">
        <w:rPr>
          <w:rFonts w:ascii="Times New Roman" w:eastAsia="Times New Roman" w:hAnsi="Times New Roman" w:cs="Times New Roman"/>
          <w:bCs/>
          <w:lang w:val="pt-BR"/>
        </w:rPr>
        <w:t>oxigenoterapia</w:t>
      </w:r>
      <w:proofErr w:type="spellEnd"/>
      <w:r w:rsidRPr="00262797">
        <w:rPr>
          <w:rFonts w:ascii="Times New Roman" w:eastAsia="Times New Roman" w:hAnsi="Times New Roman" w:cs="Times New Roman"/>
          <w:bCs/>
          <w:lang w:val="pt-BR"/>
        </w:rPr>
        <w:t>.</w:t>
      </w:r>
    </w:p>
    <w:p w:rsidR="00657100" w:rsidRPr="00262797" w:rsidRDefault="00657100" w:rsidP="00AC0FE3">
      <w:pPr>
        <w:spacing w:after="120" w:line="240" w:lineRule="auto"/>
        <w:jc w:val="both"/>
        <w:rPr>
          <w:rFonts w:ascii="Times New Roman" w:hAnsi="Times New Roman" w:cs="Times New Roman"/>
          <w:lang w:val="pt-BR"/>
        </w:rPr>
      </w:pPr>
    </w:p>
    <w:p w:rsidR="00084B69" w:rsidRPr="00262797" w:rsidRDefault="00084B69" w:rsidP="0033602D">
      <w:pPr>
        <w:pStyle w:val="PargrafodaLista"/>
        <w:numPr>
          <w:ilvl w:val="0"/>
          <w:numId w:val="17"/>
        </w:numPr>
        <w:tabs>
          <w:tab w:val="left" w:pos="284"/>
        </w:tabs>
        <w:spacing w:after="120" w:line="240" w:lineRule="auto"/>
        <w:ind w:left="0" w:firstLine="0"/>
        <w:contextualSpacing w:val="0"/>
        <w:jc w:val="both"/>
        <w:rPr>
          <w:rFonts w:ascii="Times New Roman" w:hAnsi="Times New Roman" w:cs="Times New Roman"/>
          <w:b/>
        </w:rPr>
      </w:pPr>
      <w:r w:rsidRPr="00262797">
        <w:rPr>
          <w:rFonts w:ascii="Times New Roman" w:hAnsi="Times New Roman" w:cs="Times New Roman"/>
          <w:b/>
          <w:lang w:val="pt-BR"/>
        </w:rPr>
        <w:t xml:space="preserve">Revisão sistemática e meta-análise do uso da </w:t>
      </w:r>
      <w:proofErr w:type="spellStart"/>
      <w:r w:rsidRPr="00262797">
        <w:rPr>
          <w:rFonts w:ascii="Times New Roman" w:hAnsi="Times New Roman" w:cs="Times New Roman"/>
          <w:b/>
          <w:lang w:val="pt-BR"/>
        </w:rPr>
        <w:t>cetamina</w:t>
      </w:r>
      <w:proofErr w:type="spellEnd"/>
      <w:r w:rsidRPr="00262797">
        <w:rPr>
          <w:rFonts w:ascii="Times New Roman" w:hAnsi="Times New Roman" w:cs="Times New Roman"/>
          <w:b/>
          <w:lang w:val="pt-BR"/>
        </w:rPr>
        <w:t xml:space="preserve"> como alternativa aos </w:t>
      </w:r>
      <w:proofErr w:type="spellStart"/>
      <w:r w:rsidRPr="00262797">
        <w:rPr>
          <w:rFonts w:ascii="Times New Roman" w:hAnsi="Times New Roman" w:cs="Times New Roman"/>
          <w:b/>
          <w:lang w:val="pt-BR"/>
        </w:rPr>
        <w:t>opi</w:t>
      </w:r>
      <w:r w:rsidR="00934589" w:rsidRPr="00262797">
        <w:rPr>
          <w:rFonts w:ascii="Times New Roman" w:hAnsi="Times New Roman" w:cs="Times New Roman"/>
          <w:b/>
          <w:lang w:val="pt-BR"/>
        </w:rPr>
        <w:t>o</w:t>
      </w:r>
      <w:r w:rsidRPr="00262797">
        <w:rPr>
          <w:rFonts w:ascii="Times New Roman" w:hAnsi="Times New Roman" w:cs="Times New Roman"/>
          <w:b/>
          <w:lang w:val="pt-BR"/>
        </w:rPr>
        <w:t>ides</w:t>
      </w:r>
      <w:proofErr w:type="spellEnd"/>
      <w:r w:rsidRPr="00262797">
        <w:rPr>
          <w:rFonts w:ascii="Times New Roman" w:hAnsi="Times New Roman" w:cs="Times New Roman"/>
          <w:b/>
          <w:lang w:val="pt-BR"/>
        </w:rPr>
        <w:t xml:space="preserve"> para dor aguda no Departamento de Emergência. </w:t>
      </w:r>
      <w:proofErr w:type="spellStart"/>
      <w:r w:rsidRPr="00262797">
        <w:rPr>
          <w:rFonts w:ascii="Times New Roman" w:hAnsi="Times New Roman" w:cs="Times New Roman"/>
          <w:bCs/>
        </w:rPr>
        <w:t>Karlow</w:t>
      </w:r>
      <w:proofErr w:type="spellEnd"/>
      <w:r w:rsidRPr="00262797">
        <w:rPr>
          <w:rFonts w:ascii="Times New Roman" w:hAnsi="Times New Roman" w:cs="Times New Roman"/>
          <w:bCs/>
        </w:rPr>
        <w:t xml:space="preserve">, N, </w:t>
      </w:r>
      <w:proofErr w:type="spellStart"/>
      <w:proofErr w:type="gramStart"/>
      <w:r w:rsidRPr="00262797">
        <w:rPr>
          <w:rFonts w:ascii="Times New Roman" w:hAnsi="Times New Roman" w:cs="Times New Roman"/>
          <w:bCs/>
        </w:rPr>
        <w:t>Schlaepfer,C</w:t>
      </w:r>
      <w:proofErr w:type="spellEnd"/>
      <w:proofErr w:type="gramEnd"/>
      <w:r w:rsidRPr="00262797">
        <w:rPr>
          <w:rFonts w:ascii="Times New Roman" w:hAnsi="Times New Roman" w:cs="Times New Roman"/>
          <w:bCs/>
        </w:rPr>
        <w:t xml:space="preserve">, </w:t>
      </w:r>
      <w:proofErr w:type="spellStart"/>
      <w:r w:rsidRPr="00262797">
        <w:rPr>
          <w:rFonts w:ascii="Times New Roman" w:hAnsi="Times New Roman" w:cs="Times New Roman"/>
          <w:bCs/>
        </w:rPr>
        <w:t>Stoll,C</w:t>
      </w:r>
      <w:proofErr w:type="spellEnd"/>
      <w:r w:rsidRPr="00262797">
        <w:rPr>
          <w:rFonts w:ascii="Times New Roman" w:hAnsi="Times New Roman" w:cs="Times New Roman"/>
          <w:bCs/>
        </w:rPr>
        <w:t xml:space="preserve">, </w:t>
      </w:r>
      <w:proofErr w:type="spellStart"/>
      <w:r w:rsidRPr="00262797">
        <w:rPr>
          <w:rFonts w:ascii="Times New Roman" w:hAnsi="Times New Roman" w:cs="Times New Roman"/>
          <w:bCs/>
        </w:rPr>
        <w:t>Doering,M</w:t>
      </w:r>
      <w:proofErr w:type="spellEnd"/>
      <w:r w:rsidRPr="00262797">
        <w:rPr>
          <w:rFonts w:ascii="Times New Roman" w:hAnsi="Times New Roman" w:cs="Times New Roman"/>
          <w:bCs/>
        </w:rPr>
        <w:t xml:space="preserve">, </w:t>
      </w:r>
      <w:proofErr w:type="spellStart"/>
      <w:r w:rsidRPr="00262797">
        <w:rPr>
          <w:rFonts w:ascii="Times New Roman" w:hAnsi="Times New Roman" w:cs="Times New Roman"/>
          <w:bCs/>
        </w:rPr>
        <w:t>Carpenter,C</w:t>
      </w:r>
      <w:proofErr w:type="spellEnd"/>
      <w:r w:rsidRPr="00262797">
        <w:rPr>
          <w:rFonts w:ascii="Times New Roman" w:hAnsi="Times New Roman" w:cs="Times New Roman"/>
          <w:bCs/>
        </w:rPr>
        <w:t xml:space="preserve">, </w:t>
      </w:r>
      <w:proofErr w:type="spellStart"/>
      <w:r w:rsidRPr="00262797">
        <w:rPr>
          <w:rFonts w:ascii="Times New Roman" w:hAnsi="Times New Roman" w:cs="Times New Roman"/>
          <w:bCs/>
        </w:rPr>
        <w:t>Colditz,G</w:t>
      </w:r>
      <w:proofErr w:type="spellEnd"/>
      <w:r w:rsidRPr="00262797">
        <w:rPr>
          <w:rFonts w:ascii="Times New Roman" w:hAnsi="Times New Roman" w:cs="Times New Roman"/>
          <w:bCs/>
        </w:rPr>
        <w:t xml:space="preserve">, et al. </w:t>
      </w:r>
      <w:proofErr w:type="spellStart"/>
      <w:r w:rsidRPr="00262797">
        <w:rPr>
          <w:rFonts w:ascii="Times New Roman" w:hAnsi="Times New Roman" w:cs="Times New Roman"/>
          <w:bCs/>
        </w:rPr>
        <w:t>Acad</w:t>
      </w:r>
      <w:proofErr w:type="spellEnd"/>
      <w:r w:rsidRPr="00262797">
        <w:rPr>
          <w:rFonts w:ascii="Times New Roman" w:hAnsi="Times New Roman" w:cs="Times New Roman"/>
          <w:bCs/>
        </w:rPr>
        <w:t xml:space="preserve"> </w:t>
      </w:r>
      <w:proofErr w:type="spellStart"/>
      <w:r w:rsidRPr="00262797">
        <w:rPr>
          <w:rFonts w:ascii="Times New Roman" w:hAnsi="Times New Roman" w:cs="Times New Roman"/>
          <w:bCs/>
        </w:rPr>
        <w:t>Emerg</w:t>
      </w:r>
      <w:proofErr w:type="spellEnd"/>
      <w:r w:rsidRPr="00262797">
        <w:rPr>
          <w:rFonts w:ascii="Times New Roman" w:hAnsi="Times New Roman" w:cs="Times New Roman"/>
          <w:bCs/>
        </w:rPr>
        <w:t xml:space="preserve"> Med. 2018;25:1086-1097. </w:t>
      </w:r>
      <w:proofErr w:type="spellStart"/>
      <w:r w:rsidRPr="00262797">
        <w:rPr>
          <w:rFonts w:ascii="Times New Roman" w:hAnsi="Times New Roman" w:cs="Times New Roman"/>
          <w:bCs/>
        </w:rPr>
        <w:t>doi</w:t>
      </w:r>
      <w:proofErr w:type="spellEnd"/>
      <w:r w:rsidRPr="00262797">
        <w:rPr>
          <w:rFonts w:ascii="Times New Roman" w:hAnsi="Times New Roman" w:cs="Times New Roman"/>
          <w:bCs/>
        </w:rPr>
        <w:t>: 10.1111/acem.13502</w:t>
      </w:r>
    </w:p>
    <w:p w:rsidR="00AC0FE3" w:rsidRPr="00262797" w:rsidRDefault="00AC0FE3" w:rsidP="00F16A53">
      <w:pPr>
        <w:pStyle w:val="PargrafodaLista"/>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 xml:space="preserve">Muitos doentes chegam aos Serviços de Atendimento Pré-Hospitalar (APH) ou ao Departamento de Emergência (DE) tendo a dor como a principal queixa ou como resultado de uma lesão ou condição médica. Por muitos anos, os </w:t>
      </w:r>
      <w:proofErr w:type="spellStart"/>
      <w:r w:rsidRPr="00262797">
        <w:rPr>
          <w:rFonts w:ascii="Times New Roman" w:eastAsia="Times New Roman" w:hAnsi="Times New Roman" w:cs="Times New Roman"/>
          <w:bCs/>
          <w:lang w:val="pt-BR"/>
        </w:rPr>
        <w:t>opioides</w:t>
      </w:r>
      <w:proofErr w:type="spellEnd"/>
      <w:r w:rsidRPr="00262797">
        <w:rPr>
          <w:rFonts w:ascii="Times New Roman" w:eastAsia="Times New Roman" w:hAnsi="Times New Roman" w:cs="Times New Roman"/>
          <w:bCs/>
          <w:lang w:val="pt-BR"/>
        </w:rPr>
        <w:t xml:space="preserve"> têm sido utilizados com sucesso para alívio da dor aguda. Com o aumento recente da dependência a </w:t>
      </w:r>
      <w:proofErr w:type="spellStart"/>
      <w:r w:rsidRPr="00262797">
        <w:rPr>
          <w:rFonts w:ascii="Times New Roman" w:eastAsia="Times New Roman" w:hAnsi="Times New Roman" w:cs="Times New Roman"/>
          <w:bCs/>
          <w:lang w:val="pt-BR"/>
        </w:rPr>
        <w:t>opioides</w:t>
      </w:r>
      <w:proofErr w:type="spellEnd"/>
      <w:r w:rsidRPr="00262797">
        <w:rPr>
          <w:rFonts w:ascii="Times New Roman" w:eastAsia="Times New Roman" w:hAnsi="Times New Roman" w:cs="Times New Roman"/>
          <w:bCs/>
          <w:lang w:val="pt-BR"/>
        </w:rPr>
        <w:t xml:space="preserve">, geralmente de origem iatrogênica, uma alternativa efetiva ao seu uso é necessária. Evidências recentes sugerem que a </w:t>
      </w:r>
      <w:proofErr w:type="spellStart"/>
      <w:r w:rsidRPr="00262797">
        <w:rPr>
          <w:rFonts w:ascii="Times New Roman" w:eastAsia="Times New Roman" w:hAnsi="Times New Roman" w:cs="Times New Roman"/>
          <w:bCs/>
          <w:lang w:val="pt-BR"/>
        </w:rPr>
        <w:t>cetamina</w:t>
      </w:r>
      <w:proofErr w:type="spellEnd"/>
      <w:r w:rsidRPr="00262797">
        <w:rPr>
          <w:rFonts w:ascii="Times New Roman" w:eastAsia="Times New Roman" w:hAnsi="Times New Roman" w:cs="Times New Roman"/>
          <w:bCs/>
          <w:lang w:val="pt-BR"/>
        </w:rPr>
        <w:t xml:space="preserve"> pode ser uma alternativa segura e efetiva à analgesia com </w:t>
      </w:r>
      <w:proofErr w:type="spellStart"/>
      <w:r w:rsidRPr="00262797">
        <w:rPr>
          <w:rFonts w:ascii="Times New Roman" w:eastAsia="Times New Roman" w:hAnsi="Times New Roman" w:cs="Times New Roman"/>
          <w:bCs/>
          <w:lang w:val="pt-BR"/>
        </w:rPr>
        <w:t>opioides</w:t>
      </w:r>
      <w:proofErr w:type="spellEnd"/>
      <w:r w:rsidRPr="00262797">
        <w:rPr>
          <w:rFonts w:ascii="Times New Roman" w:eastAsia="Times New Roman" w:hAnsi="Times New Roman" w:cs="Times New Roman"/>
          <w:bCs/>
          <w:lang w:val="pt-BR"/>
        </w:rPr>
        <w:t>.</w:t>
      </w:r>
    </w:p>
    <w:p w:rsidR="00AC0FE3" w:rsidRPr="00262797" w:rsidRDefault="00AC0FE3" w:rsidP="00F16A53">
      <w:pPr>
        <w:pStyle w:val="PargrafodaLista"/>
        <w:spacing w:after="120" w:line="240" w:lineRule="auto"/>
        <w:ind w:left="0" w:firstLine="567"/>
        <w:jc w:val="both"/>
        <w:rPr>
          <w:rFonts w:ascii="Times New Roman" w:eastAsia="Times New Roman" w:hAnsi="Times New Roman" w:cs="Times New Roman"/>
          <w:bCs/>
          <w:lang w:val="pt-BR"/>
        </w:rPr>
      </w:pPr>
      <w:proofErr w:type="spellStart"/>
      <w:r w:rsidRPr="00262797">
        <w:rPr>
          <w:rFonts w:ascii="Times New Roman" w:eastAsia="Times New Roman" w:hAnsi="Times New Roman" w:cs="Times New Roman"/>
          <w:bCs/>
          <w:lang w:val="pt-BR"/>
        </w:rPr>
        <w:t>Karlow</w:t>
      </w:r>
      <w:proofErr w:type="spellEnd"/>
      <w:r w:rsidRPr="00262797">
        <w:rPr>
          <w:rFonts w:ascii="Times New Roman" w:eastAsia="Times New Roman" w:hAnsi="Times New Roman" w:cs="Times New Roman"/>
          <w:bCs/>
          <w:lang w:val="pt-BR"/>
        </w:rPr>
        <w:t xml:space="preserve"> et al. conduziu uma revisão sistemática e uma meta análise da literatura médica para quantificar a eficácia, em uma hora, de uma baixa dose de </w:t>
      </w:r>
      <w:proofErr w:type="spellStart"/>
      <w:r w:rsidRPr="00262797">
        <w:rPr>
          <w:rFonts w:ascii="Times New Roman" w:eastAsia="Times New Roman" w:hAnsi="Times New Roman" w:cs="Times New Roman"/>
          <w:bCs/>
          <w:lang w:val="pt-BR"/>
        </w:rPr>
        <w:t>cetamina</w:t>
      </w:r>
      <w:proofErr w:type="spellEnd"/>
      <w:r w:rsidRPr="00262797">
        <w:rPr>
          <w:rFonts w:ascii="Times New Roman" w:eastAsia="Times New Roman" w:hAnsi="Times New Roman" w:cs="Times New Roman"/>
          <w:bCs/>
          <w:lang w:val="pt-BR"/>
        </w:rPr>
        <w:t xml:space="preserve"> EV para alívio da dor. Para ser incluído na meta análise, os estudos precisaram atender à 5 critérios:</w:t>
      </w:r>
    </w:p>
    <w:p w:rsidR="00AC0FE3" w:rsidRPr="00262797" w:rsidRDefault="00AC0FE3" w:rsidP="00F16A53">
      <w:pPr>
        <w:pStyle w:val="PargrafodaLista"/>
        <w:numPr>
          <w:ilvl w:val="0"/>
          <w:numId w:val="22"/>
        </w:numPr>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Estudos-controle randomizados</w:t>
      </w:r>
    </w:p>
    <w:p w:rsidR="00AC0FE3" w:rsidRPr="00262797" w:rsidRDefault="00AC0FE3" w:rsidP="00F16A53">
      <w:pPr>
        <w:pStyle w:val="PargrafodaLista"/>
        <w:numPr>
          <w:ilvl w:val="0"/>
          <w:numId w:val="22"/>
        </w:numPr>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 xml:space="preserve">Comparar a efetividade de dose única de </w:t>
      </w:r>
      <w:proofErr w:type="spellStart"/>
      <w:r w:rsidRPr="00262797">
        <w:rPr>
          <w:rFonts w:ascii="Times New Roman" w:eastAsia="Times New Roman" w:hAnsi="Times New Roman" w:cs="Times New Roman"/>
          <w:bCs/>
          <w:lang w:val="pt-BR"/>
        </w:rPr>
        <w:t>cetamina</w:t>
      </w:r>
      <w:proofErr w:type="spellEnd"/>
      <w:r w:rsidRPr="00262797">
        <w:rPr>
          <w:rFonts w:ascii="Times New Roman" w:eastAsia="Times New Roman" w:hAnsi="Times New Roman" w:cs="Times New Roman"/>
          <w:bCs/>
          <w:lang w:val="pt-BR"/>
        </w:rPr>
        <w:t xml:space="preserve"> a um </w:t>
      </w:r>
      <w:proofErr w:type="spellStart"/>
      <w:r w:rsidRPr="00262797">
        <w:rPr>
          <w:rFonts w:ascii="Times New Roman" w:eastAsia="Times New Roman" w:hAnsi="Times New Roman" w:cs="Times New Roman"/>
          <w:bCs/>
          <w:lang w:val="pt-BR"/>
        </w:rPr>
        <w:t>opioide</w:t>
      </w:r>
      <w:proofErr w:type="spellEnd"/>
      <w:r w:rsidRPr="00262797">
        <w:rPr>
          <w:rFonts w:ascii="Times New Roman" w:eastAsia="Times New Roman" w:hAnsi="Times New Roman" w:cs="Times New Roman"/>
          <w:bCs/>
          <w:lang w:val="pt-BR"/>
        </w:rPr>
        <w:t>, que era convertido a dose equivalente de morfina com alteração no Score Visual Análogo (SVA) ou no Score de Classificação Numérica (SCN) de dor após 60 minutos da administração.</w:t>
      </w:r>
    </w:p>
    <w:p w:rsidR="00AC0FE3" w:rsidRPr="00262797" w:rsidRDefault="00AC0FE3" w:rsidP="00F16A53">
      <w:pPr>
        <w:pStyle w:val="PargrafodaLista"/>
        <w:numPr>
          <w:ilvl w:val="0"/>
          <w:numId w:val="22"/>
        </w:numPr>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Ser realizado dentro de um Departamento de Emergências</w:t>
      </w:r>
    </w:p>
    <w:p w:rsidR="00AC0FE3" w:rsidRPr="00262797" w:rsidRDefault="00AC0FE3" w:rsidP="00F16A53">
      <w:pPr>
        <w:pStyle w:val="PargrafodaLista"/>
        <w:numPr>
          <w:ilvl w:val="0"/>
          <w:numId w:val="22"/>
        </w:numPr>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Os doentes tinham que ser adultos, com queixa de dor.</w:t>
      </w:r>
    </w:p>
    <w:p w:rsidR="00AC0FE3" w:rsidRPr="0033602D" w:rsidRDefault="00AC0FE3" w:rsidP="0033602D">
      <w:pPr>
        <w:pStyle w:val="PargrafodaLista"/>
        <w:numPr>
          <w:ilvl w:val="0"/>
          <w:numId w:val="22"/>
        </w:numPr>
        <w:spacing w:after="120" w:line="240" w:lineRule="auto"/>
        <w:ind w:left="0"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Por último, todos os estudos tiveram que ser publicados em inglês.</w:t>
      </w:r>
    </w:p>
    <w:p w:rsidR="00AC0FE3" w:rsidRPr="00262797" w:rsidRDefault="00AC0FE3" w:rsidP="00F16A53">
      <w:pPr>
        <w:spacing w:after="120" w:line="240" w:lineRule="auto"/>
        <w:ind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 xml:space="preserve">Inversamente, critérios de exclusão era a não documentação dos escores SVA e SCN, uso de grupo placebo, ou a </w:t>
      </w:r>
      <w:proofErr w:type="spellStart"/>
      <w:r w:rsidRPr="00262797">
        <w:rPr>
          <w:rFonts w:ascii="Times New Roman" w:eastAsia="Times New Roman" w:hAnsi="Times New Roman" w:cs="Times New Roman"/>
          <w:bCs/>
          <w:lang w:val="pt-BR"/>
        </w:rPr>
        <w:t>co-administração</w:t>
      </w:r>
      <w:proofErr w:type="spellEnd"/>
      <w:r w:rsidRPr="00262797">
        <w:rPr>
          <w:rFonts w:ascii="Times New Roman" w:eastAsia="Times New Roman" w:hAnsi="Times New Roman" w:cs="Times New Roman"/>
          <w:bCs/>
          <w:lang w:val="pt-BR"/>
        </w:rPr>
        <w:t xml:space="preserve"> de outras drogas dentro de 20 minutos após a administração de </w:t>
      </w:r>
      <w:proofErr w:type="spellStart"/>
      <w:r w:rsidRPr="00262797">
        <w:rPr>
          <w:rFonts w:ascii="Times New Roman" w:eastAsia="Times New Roman" w:hAnsi="Times New Roman" w:cs="Times New Roman"/>
          <w:bCs/>
          <w:lang w:val="pt-BR"/>
        </w:rPr>
        <w:t>cetamina</w:t>
      </w:r>
      <w:proofErr w:type="spellEnd"/>
      <w:r w:rsidRPr="00262797">
        <w:rPr>
          <w:rFonts w:ascii="Times New Roman" w:eastAsia="Times New Roman" w:hAnsi="Times New Roman" w:cs="Times New Roman"/>
          <w:bCs/>
          <w:lang w:val="pt-BR"/>
        </w:rPr>
        <w:t xml:space="preserve"> ou </w:t>
      </w:r>
      <w:proofErr w:type="spellStart"/>
      <w:r w:rsidRPr="00262797">
        <w:rPr>
          <w:rFonts w:ascii="Times New Roman" w:eastAsia="Times New Roman" w:hAnsi="Times New Roman" w:cs="Times New Roman"/>
          <w:bCs/>
          <w:lang w:val="pt-BR"/>
        </w:rPr>
        <w:t>opioide</w:t>
      </w:r>
      <w:proofErr w:type="spellEnd"/>
      <w:r w:rsidRPr="00262797">
        <w:rPr>
          <w:rFonts w:ascii="Times New Roman" w:eastAsia="Times New Roman" w:hAnsi="Times New Roman" w:cs="Times New Roman"/>
          <w:bCs/>
          <w:lang w:val="pt-BR"/>
        </w:rPr>
        <w:t>. Três estudos preencheram os critérios de inclusão e exclusão e incluíram 261 doentes.</w:t>
      </w:r>
    </w:p>
    <w:p w:rsidR="00AC0FE3" w:rsidRPr="00262797" w:rsidRDefault="00AC0FE3" w:rsidP="00F16A53">
      <w:pPr>
        <w:spacing w:after="120" w:line="240" w:lineRule="auto"/>
        <w:ind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ab/>
        <w:t xml:space="preserve">Baseados em sua meta-análise, os autores acreditam que uma dose baixa de </w:t>
      </w:r>
      <w:proofErr w:type="spellStart"/>
      <w:r w:rsidRPr="00262797">
        <w:rPr>
          <w:rFonts w:ascii="Times New Roman" w:eastAsia="Times New Roman" w:hAnsi="Times New Roman" w:cs="Times New Roman"/>
          <w:bCs/>
          <w:lang w:val="pt-BR"/>
        </w:rPr>
        <w:t>cetamina</w:t>
      </w:r>
      <w:proofErr w:type="spellEnd"/>
      <w:r w:rsidRPr="00262797">
        <w:rPr>
          <w:rFonts w:ascii="Times New Roman" w:eastAsia="Times New Roman" w:hAnsi="Times New Roman" w:cs="Times New Roman"/>
          <w:bCs/>
          <w:lang w:val="pt-BR"/>
        </w:rPr>
        <w:t xml:space="preserve"> é segura e é uma opção efetiva para tratamento da dor aguda no Departamento de Emergência e não é inferior ao uso da morfina. Eles perceberam que seus resultados foram consistentes com outras revisões mais amplas.</w:t>
      </w:r>
    </w:p>
    <w:p w:rsidR="00943813" w:rsidRPr="0033602D" w:rsidRDefault="00AC0FE3" w:rsidP="0033602D">
      <w:pPr>
        <w:spacing w:after="120" w:line="240" w:lineRule="auto"/>
        <w:ind w:firstLine="567"/>
        <w:jc w:val="both"/>
        <w:rPr>
          <w:rFonts w:ascii="Times New Roman" w:eastAsia="Times New Roman" w:hAnsi="Times New Roman" w:cs="Times New Roman"/>
          <w:bCs/>
          <w:lang w:val="pt-BR"/>
        </w:rPr>
      </w:pPr>
      <w:r w:rsidRPr="00262797">
        <w:rPr>
          <w:rFonts w:ascii="Times New Roman" w:eastAsia="Times New Roman" w:hAnsi="Times New Roman" w:cs="Times New Roman"/>
          <w:bCs/>
          <w:lang w:val="pt-BR"/>
        </w:rPr>
        <w:tab/>
        <w:t xml:space="preserve">Esse estudo contribui para o crescente corpo de evidências de que baixas doses de </w:t>
      </w:r>
      <w:proofErr w:type="spellStart"/>
      <w:r w:rsidRPr="00262797">
        <w:rPr>
          <w:rFonts w:ascii="Times New Roman" w:eastAsia="Times New Roman" w:hAnsi="Times New Roman" w:cs="Times New Roman"/>
          <w:bCs/>
          <w:lang w:val="pt-BR"/>
        </w:rPr>
        <w:t>cetamina</w:t>
      </w:r>
      <w:proofErr w:type="spellEnd"/>
      <w:r w:rsidRPr="00262797">
        <w:rPr>
          <w:rFonts w:ascii="Times New Roman" w:eastAsia="Times New Roman" w:hAnsi="Times New Roman" w:cs="Times New Roman"/>
          <w:bCs/>
          <w:lang w:val="pt-BR"/>
        </w:rPr>
        <w:t xml:space="preserve"> são uma alternativa viável aos </w:t>
      </w:r>
      <w:proofErr w:type="spellStart"/>
      <w:r w:rsidRPr="00262797">
        <w:rPr>
          <w:rFonts w:ascii="Times New Roman" w:eastAsia="Times New Roman" w:hAnsi="Times New Roman" w:cs="Times New Roman"/>
          <w:bCs/>
          <w:lang w:val="pt-BR"/>
        </w:rPr>
        <w:t>opioides</w:t>
      </w:r>
      <w:proofErr w:type="spellEnd"/>
      <w:r w:rsidRPr="00262797">
        <w:rPr>
          <w:rFonts w:ascii="Times New Roman" w:eastAsia="Times New Roman" w:hAnsi="Times New Roman" w:cs="Times New Roman"/>
          <w:bCs/>
          <w:lang w:val="pt-BR"/>
        </w:rPr>
        <w:t xml:space="preserve"> tanto no Departamento de Emergência quanto nos serviços de APH para alívio da dor aguda.</w:t>
      </w:r>
    </w:p>
    <w:sectPr w:rsidR="00943813" w:rsidRPr="0033602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9CE" w:rsidRDefault="000429CE" w:rsidP="00CC1ECE">
      <w:pPr>
        <w:spacing w:after="0" w:line="240" w:lineRule="auto"/>
      </w:pPr>
      <w:r>
        <w:separator/>
      </w:r>
    </w:p>
  </w:endnote>
  <w:endnote w:type="continuationSeparator" w:id="0">
    <w:p w:rsidR="000429CE" w:rsidRDefault="000429CE" w:rsidP="00C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6A" w:rsidRPr="00F71551" w:rsidRDefault="00EC556A" w:rsidP="00EC556A">
    <w:pPr>
      <w:pStyle w:val="Rodap"/>
      <w:jc w:val="center"/>
      <w:rPr>
        <w:rFonts w:ascii="Times New Roman" w:hAnsi="Times New Roman" w:cs="Times New Roman"/>
        <w:b/>
      </w:rPr>
    </w:pPr>
    <w:r w:rsidRPr="00F71551">
      <w:rPr>
        <w:rFonts w:ascii="Times New Roman" w:hAnsi="Times New Roman" w:cs="Times New Roman"/>
        <w:b/>
      </w:rPr>
      <w:t>www.IPHMI.com</w:t>
    </w:r>
  </w:p>
  <w:p w:rsidR="00EC556A" w:rsidRDefault="00EC5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9CE" w:rsidRDefault="000429CE" w:rsidP="00CC1ECE">
      <w:pPr>
        <w:spacing w:after="0" w:line="240" w:lineRule="auto"/>
      </w:pPr>
      <w:r>
        <w:separator/>
      </w:r>
    </w:p>
  </w:footnote>
  <w:footnote w:type="continuationSeparator" w:id="0">
    <w:p w:rsidR="000429CE" w:rsidRDefault="000429CE" w:rsidP="00CC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937" w:rsidRPr="00262797" w:rsidRDefault="00153937" w:rsidP="00153937">
    <w:pPr>
      <w:pStyle w:val="Cabealho"/>
      <w:jc w:val="center"/>
      <w:rPr>
        <w:rFonts w:ascii="Times New Roman" w:hAnsi="Times New Roman" w:cs="Times New Roman"/>
        <w:b/>
        <w:i/>
        <w:sz w:val="36"/>
        <w:u w:val="single"/>
        <w:lang w:val="pt-BR"/>
      </w:rPr>
    </w:pPr>
    <w:r w:rsidRPr="00262797">
      <w:rPr>
        <w:rFonts w:ascii="Times New Roman" w:hAnsi="Times New Roman" w:cs="Times New Roman"/>
        <w:b/>
        <w:i/>
        <w:sz w:val="36"/>
        <w:u w:val="single"/>
        <w:lang w:val="pt-BR"/>
      </w:rPr>
      <w:t>Instituto Internacional de Medicina Pré-Hospitalar (IPHMI)</w:t>
    </w:r>
  </w:p>
  <w:p w:rsidR="00EC556A" w:rsidRPr="00153937" w:rsidRDefault="00EC556A">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05C02"/>
    <w:multiLevelType w:val="hybridMultilevel"/>
    <w:tmpl w:val="C32A9CBA"/>
    <w:lvl w:ilvl="0" w:tplc="9C1433B6">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F2395E"/>
    <w:multiLevelType w:val="hybridMultilevel"/>
    <w:tmpl w:val="2006DB6E"/>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 w15:restartNumberingAfterBreak="0">
    <w:nsid w:val="20620461"/>
    <w:multiLevelType w:val="hybridMultilevel"/>
    <w:tmpl w:val="D22EA5FE"/>
    <w:lvl w:ilvl="0" w:tplc="70CE1E3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8C3535"/>
    <w:multiLevelType w:val="hybridMultilevel"/>
    <w:tmpl w:val="B302DC22"/>
    <w:lvl w:ilvl="0" w:tplc="C346EE3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9C49AA"/>
    <w:multiLevelType w:val="hybridMultilevel"/>
    <w:tmpl w:val="675ED7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962C4E"/>
    <w:multiLevelType w:val="hybridMultilevel"/>
    <w:tmpl w:val="D8E41C98"/>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5DEEFCBA">
      <w:numFmt w:val="bullet"/>
      <w:lvlText w:val="•"/>
      <w:lvlJc w:val="left"/>
      <w:pPr>
        <w:ind w:left="2340" w:hanging="36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3007C"/>
    <w:multiLevelType w:val="hybridMultilevel"/>
    <w:tmpl w:val="A6EE6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1334D"/>
    <w:multiLevelType w:val="hybridMultilevel"/>
    <w:tmpl w:val="7090A6F4"/>
    <w:lvl w:ilvl="0" w:tplc="46B4CE3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1A4A04"/>
    <w:multiLevelType w:val="hybridMultilevel"/>
    <w:tmpl w:val="987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54000F"/>
    <w:multiLevelType w:val="hybridMultilevel"/>
    <w:tmpl w:val="E1AAC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E372D19"/>
    <w:multiLevelType w:val="hybridMultilevel"/>
    <w:tmpl w:val="F0F45D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CBE06F7"/>
    <w:multiLevelType w:val="hybridMultilevel"/>
    <w:tmpl w:val="58284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5"/>
  </w:num>
  <w:num w:numId="3">
    <w:abstractNumId w:val="14"/>
  </w:num>
  <w:num w:numId="4">
    <w:abstractNumId w:val="20"/>
  </w:num>
  <w:num w:numId="5">
    <w:abstractNumId w:val="5"/>
  </w:num>
  <w:num w:numId="6">
    <w:abstractNumId w:val="18"/>
  </w:num>
  <w:num w:numId="7">
    <w:abstractNumId w:val="19"/>
  </w:num>
  <w:num w:numId="8">
    <w:abstractNumId w:val="4"/>
  </w:num>
  <w:num w:numId="9">
    <w:abstractNumId w:val="21"/>
  </w:num>
  <w:num w:numId="10">
    <w:abstractNumId w:val="17"/>
  </w:num>
  <w:num w:numId="11">
    <w:abstractNumId w:val="0"/>
  </w:num>
  <w:num w:numId="12">
    <w:abstractNumId w:val="6"/>
  </w:num>
  <w:num w:numId="13">
    <w:abstractNumId w:val="9"/>
  </w:num>
  <w:num w:numId="14">
    <w:abstractNumId w:val="7"/>
  </w:num>
  <w:num w:numId="15">
    <w:abstractNumId w:val="16"/>
  </w:num>
  <w:num w:numId="16">
    <w:abstractNumId w:val="1"/>
  </w:num>
  <w:num w:numId="17">
    <w:abstractNumId w:val="10"/>
  </w:num>
  <w:num w:numId="18">
    <w:abstractNumId w:val="11"/>
  </w:num>
  <w:num w:numId="19">
    <w:abstractNumId w:val="12"/>
  </w:num>
  <w:num w:numId="20">
    <w:abstractNumId w:val="13"/>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2DB7"/>
    <w:rsid w:val="00000FEC"/>
    <w:rsid w:val="000429CE"/>
    <w:rsid w:val="00046471"/>
    <w:rsid w:val="00053DC7"/>
    <w:rsid w:val="00084B69"/>
    <w:rsid w:val="00096298"/>
    <w:rsid w:val="000A39D8"/>
    <w:rsid w:val="000B2DC9"/>
    <w:rsid w:val="000B5810"/>
    <w:rsid w:val="000E1EEE"/>
    <w:rsid w:val="0012112A"/>
    <w:rsid w:val="001465D4"/>
    <w:rsid w:val="00153937"/>
    <w:rsid w:val="001A2AF5"/>
    <w:rsid w:val="001F4C1D"/>
    <w:rsid w:val="001F7C77"/>
    <w:rsid w:val="00221F53"/>
    <w:rsid w:val="0024264F"/>
    <w:rsid w:val="00262797"/>
    <w:rsid w:val="002736F8"/>
    <w:rsid w:val="00281AA8"/>
    <w:rsid w:val="002910C5"/>
    <w:rsid w:val="002A448D"/>
    <w:rsid w:val="002D385C"/>
    <w:rsid w:val="003331AA"/>
    <w:rsid w:val="0033602D"/>
    <w:rsid w:val="00362F86"/>
    <w:rsid w:val="00363F26"/>
    <w:rsid w:val="003800B3"/>
    <w:rsid w:val="00392C1F"/>
    <w:rsid w:val="003B7857"/>
    <w:rsid w:val="003D7D09"/>
    <w:rsid w:val="003F4BB7"/>
    <w:rsid w:val="00404F6F"/>
    <w:rsid w:val="0041124D"/>
    <w:rsid w:val="00424314"/>
    <w:rsid w:val="00470F1A"/>
    <w:rsid w:val="0049245A"/>
    <w:rsid w:val="00493BCD"/>
    <w:rsid w:val="004A2499"/>
    <w:rsid w:val="004B7EE3"/>
    <w:rsid w:val="005217D8"/>
    <w:rsid w:val="00523D0F"/>
    <w:rsid w:val="00530542"/>
    <w:rsid w:val="005B3228"/>
    <w:rsid w:val="005D21B6"/>
    <w:rsid w:val="0060639D"/>
    <w:rsid w:val="00612DB7"/>
    <w:rsid w:val="0062363F"/>
    <w:rsid w:val="00632D45"/>
    <w:rsid w:val="00636622"/>
    <w:rsid w:val="00643503"/>
    <w:rsid w:val="0064535D"/>
    <w:rsid w:val="00657100"/>
    <w:rsid w:val="00695417"/>
    <w:rsid w:val="006A73E8"/>
    <w:rsid w:val="006B1A43"/>
    <w:rsid w:val="006B4BCB"/>
    <w:rsid w:val="006B4C49"/>
    <w:rsid w:val="006C28B6"/>
    <w:rsid w:val="006E632D"/>
    <w:rsid w:val="006F7C8E"/>
    <w:rsid w:val="007419D9"/>
    <w:rsid w:val="00790ADD"/>
    <w:rsid w:val="007C7235"/>
    <w:rsid w:val="007E2B63"/>
    <w:rsid w:val="007F3B34"/>
    <w:rsid w:val="00812462"/>
    <w:rsid w:val="00825722"/>
    <w:rsid w:val="008363AF"/>
    <w:rsid w:val="00837F82"/>
    <w:rsid w:val="00852D41"/>
    <w:rsid w:val="008A0008"/>
    <w:rsid w:val="008B6898"/>
    <w:rsid w:val="008C2DA9"/>
    <w:rsid w:val="008E2104"/>
    <w:rsid w:val="008E502B"/>
    <w:rsid w:val="00912F3D"/>
    <w:rsid w:val="00934589"/>
    <w:rsid w:val="00943813"/>
    <w:rsid w:val="009854A0"/>
    <w:rsid w:val="009A5621"/>
    <w:rsid w:val="009D2B40"/>
    <w:rsid w:val="00A12D76"/>
    <w:rsid w:val="00A33F37"/>
    <w:rsid w:val="00A36579"/>
    <w:rsid w:val="00A55EE6"/>
    <w:rsid w:val="00A66C04"/>
    <w:rsid w:val="00A73410"/>
    <w:rsid w:val="00AC0FE3"/>
    <w:rsid w:val="00AD7ED9"/>
    <w:rsid w:val="00B50275"/>
    <w:rsid w:val="00B5424E"/>
    <w:rsid w:val="00BD171A"/>
    <w:rsid w:val="00BE7361"/>
    <w:rsid w:val="00C07D4B"/>
    <w:rsid w:val="00C3386E"/>
    <w:rsid w:val="00C627AA"/>
    <w:rsid w:val="00C704D2"/>
    <w:rsid w:val="00C7369A"/>
    <w:rsid w:val="00C97C08"/>
    <w:rsid w:val="00CC1ECE"/>
    <w:rsid w:val="00CE2E5F"/>
    <w:rsid w:val="00D21EC7"/>
    <w:rsid w:val="00D27263"/>
    <w:rsid w:val="00D50450"/>
    <w:rsid w:val="00D6189B"/>
    <w:rsid w:val="00D764C8"/>
    <w:rsid w:val="00D80B58"/>
    <w:rsid w:val="00D923E8"/>
    <w:rsid w:val="00DC0273"/>
    <w:rsid w:val="00DC08A7"/>
    <w:rsid w:val="00DC1BDF"/>
    <w:rsid w:val="00E06170"/>
    <w:rsid w:val="00E067C2"/>
    <w:rsid w:val="00E21606"/>
    <w:rsid w:val="00E918D6"/>
    <w:rsid w:val="00EB332C"/>
    <w:rsid w:val="00EC556A"/>
    <w:rsid w:val="00F04F34"/>
    <w:rsid w:val="00F16A53"/>
    <w:rsid w:val="00F246AC"/>
    <w:rsid w:val="00F30BD1"/>
    <w:rsid w:val="00F36AD9"/>
    <w:rsid w:val="00F71551"/>
    <w:rsid w:val="00F80497"/>
    <w:rsid w:val="00F921FA"/>
    <w:rsid w:val="00FA1255"/>
    <w:rsid w:val="00FA51B5"/>
    <w:rsid w:val="00FE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F202"/>
  <w15:docId w15:val="{BBCD7630-9224-2549-BB49-1E452917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419D9"/>
    <w:pPr>
      <w:ind w:left="720"/>
      <w:contextualSpacing/>
    </w:pPr>
  </w:style>
  <w:style w:type="character" w:customStyle="1" w:styleId="journaltitlesp1">
    <w:name w:val="journaltitlesp1"/>
    <w:basedOn w:val="Fontepargpadro"/>
    <w:rsid w:val="00523D0F"/>
    <w:rPr>
      <w:i/>
      <w:iCs/>
    </w:rPr>
  </w:style>
  <w:style w:type="character" w:customStyle="1" w:styleId="issuevolsp">
    <w:name w:val="issuevolsp"/>
    <w:basedOn w:val="Fontepargpadro"/>
    <w:rsid w:val="00523D0F"/>
  </w:style>
  <w:style w:type="character" w:customStyle="1" w:styleId="pagerange">
    <w:name w:val="pagerange"/>
    <w:basedOn w:val="Fontepargpadro"/>
    <w:rsid w:val="00523D0F"/>
  </w:style>
  <w:style w:type="paragraph" w:styleId="Textodebalo">
    <w:name w:val="Balloon Text"/>
    <w:basedOn w:val="Normal"/>
    <w:link w:val="TextodebaloChar"/>
    <w:uiPriority w:val="99"/>
    <w:semiHidden/>
    <w:unhideWhenUsed/>
    <w:rsid w:val="007C72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235"/>
    <w:rPr>
      <w:rFonts w:ascii="Tahoma" w:hAnsi="Tahoma" w:cs="Tahoma"/>
      <w:sz w:val="16"/>
      <w:szCs w:val="16"/>
    </w:rPr>
  </w:style>
  <w:style w:type="paragraph" w:styleId="SemEspaamento">
    <w:name w:val="No Spacing"/>
    <w:uiPriority w:val="1"/>
    <w:qFormat/>
    <w:rsid w:val="00B5424E"/>
    <w:pPr>
      <w:spacing w:after="0" w:line="240" w:lineRule="auto"/>
    </w:pPr>
  </w:style>
  <w:style w:type="paragraph" w:styleId="Cabealho">
    <w:name w:val="header"/>
    <w:basedOn w:val="Normal"/>
    <w:link w:val="CabealhoChar"/>
    <w:uiPriority w:val="99"/>
    <w:unhideWhenUsed/>
    <w:rsid w:val="00CC1EC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C1ECE"/>
  </w:style>
  <w:style w:type="paragraph" w:styleId="Rodap">
    <w:name w:val="footer"/>
    <w:basedOn w:val="Normal"/>
    <w:link w:val="RodapChar"/>
    <w:uiPriority w:val="99"/>
    <w:unhideWhenUsed/>
    <w:rsid w:val="00CC1ECE"/>
    <w:pPr>
      <w:tabs>
        <w:tab w:val="center" w:pos="4680"/>
        <w:tab w:val="right" w:pos="9360"/>
      </w:tabs>
      <w:spacing w:after="0" w:line="240" w:lineRule="auto"/>
    </w:pPr>
  </w:style>
  <w:style w:type="character" w:customStyle="1" w:styleId="RodapChar">
    <w:name w:val="Rodapé Char"/>
    <w:basedOn w:val="Fontepargpadro"/>
    <w:link w:val="Rodap"/>
    <w:uiPriority w:val="99"/>
    <w:rsid w:val="00CC1ECE"/>
  </w:style>
  <w:style w:type="character" w:styleId="Hyperlink">
    <w:name w:val="Hyperlink"/>
    <w:basedOn w:val="Fontepargpadro"/>
    <w:uiPriority w:val="99"/>
    <w:unhideWhenUsed/>
    <w:rsid w:val="00943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ubmed/30998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2329</Words>
  <Characters>12582</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Cristiane Domingues</cp:lastModifiedBy>
  <cp:revision>30</cp:revision>
  <cp:lastPrinted>2019-06-02T17:41:00Z</cp:lastPrinted>
  <dcterms:created xsi:type="dcterms:W3CDTF">2019-08-04T20:10:00Z</dcterms:created>
  <dcterms:modified xsi:type="dcterms:W3CDTF">2019-12-19T18:34:00Z</dcterms:modified>
</cp:coreProperties>
</file>