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6B7A5" w14:textId="6A8CC69A" w:rsidR="00D27263" w:rsidRPr="002D19E7" w:rsidRDefault="00C627AA" w:rsidP="00D27263">
      <w:pPr>
        <w:spacing w:after="0"/>
        <w:rPr>
          <w:rFonts w:ascii="Times New Roman" w:hAnsi="Times New Roman" w:cs="Times New Roman"/>
          <w:sz w:val="48"/>
          <w:lang w:val="pt-BR"/>
        </w:rPr>
      </w:pPr>
      <w:r w:rsidDel="00000001">
        <w:rPr>
          <w:b/>
          <w:noProof/>
          <w:lang w:val="pt"/>
        </w:rPr>
        <w:drawing>
          <wp:inline distT="0" distB="0" distL="0" distR="0" wp14:anchorId="48804829" wp14:editId="7C5D29F4">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sidDel="00000002">
        <w:rPr>
          <w:sz w:val="40"/>
          <w:lang w:val="pt"/>
        </w:rPr>
        <w:t xml:space="preserve">  </w:t>
      </w:r>
      <w:r w:rsidR="00663901" w:rsidRPr="00857EFF">
        <w:rPr>
          <w:rStyle w:val="None"/>
          <w:b/>
          <w:bCs/>
          <w:lang w:val="pt-BR"/>
        </w:rPr>
        <w:t xml:space="preserve">   </w:t>
      </w:r>
      <w:r w:rsidR="00663901" w:rsidRPr="002D19E7">
        <w:rPr>
          <w:rStyle w:val="None"/>
          <w:rFonts w:ascii="Times New Roman" w:hAnsi="Times New Roman" w:cs="Times New Roman"/>
          <w:sz w:val="40"/>
          <w:szCs w:val="40"/>
          <w:lang w:val="pt-BR"/>
        </w:rPr>
        <w:t>Revisão de Literatura do IPHMI</w:t>
      </w:r>
      <w:r w:rsidR="00663901" w:rsidRPr="002D19E7" w:rsidDel="00000004">
        <w:rPr>
          <w:rFonts w:ascii="Times New Roman" w:hAnsi="Times New Roman" w:cs="Times New Roman"/>
          <w:b/>
          <w:noProof/>
          <w:lang w:val="pt"/>
        </w:rPr>
        <w:t xml:space="preserve"> </w:t>
      </w:r>
      <w:r w:rsidR="00D27263" w:rsidRPr="002D19E7" w:rsidDel="00000004">
        <w:rPr>
          <w:rFonts w:ascii="Times New Roman" w:hAnsi="Times New Roman" w:cs="Times New Roman"/>
          <w:b/>
          <w:noProof/>
          <w:lang w:val="pt"/>
        </w:rPr>
        <w:drawing>
          <wp:inline distT="0" distB="0" distL="0" distR="0" wp14:anchorId="1D1F6669" wp14:editId="58A88BDB">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14:paraId="6939C9BB" w14:textId="77777777" w:rsidR="00663901" w:rsidRPr="002D19E7" w:rsidRDefault="00663901" w:rsidP="00663901">
      <w:pPr>
        <w:jc w:val="center"/>
        <w:rPr>
          <w:rFonts w:ascii="Times New Roman" w:hAnsi="Times New Roman" w:cs="Times New Roman"/>
          <w:sz w:val="28"/>
          <w:szCs w:val="28"/>
          <w:lang w:val="pt-BR"/>
        </w:rPr>
      </w:pPr>
      <w:r w:rsidRPr="002D19E7">
        <w:rPr>
          <w:rFonts w:ascii="Times New Roman" w:hAnsi="Times New Roman" w:cs="Times New Roman"/>
          <w:sz w:val="28"/>
          <w:szCs w:val="28"/>
          <w:lang w:val="pt-BR"/>
        </w:rPr>
        <w:t>Mantendo você atualizado por meio dos estudos mais atuais relacionados ao atendimento pré-hospitalar</w:t>
      </w:r>
    </w:p>
    <w:p w14:paraId="4D077464" w14:textId="68C1B5C8" w:rsidR="00D27263" w:rsidRPr="002D19E7" w:rsidRDefault="00046471" w:rsidP="00B1647E">
      <w:pPr>
        <w:jc w:val="center"/>
        <w:rPr>
          <w:rFonts w:ascii="Times New Roman" w:hAnsi="Times New Roman" w:cs="Times New Roman"/>
          <w:sz w:val="40"/>
          <w:szCs w:val="40"/>
        </w:rPr>
      </w:pPr>
      <w:r w:rsidRPr="002D19E7">
        <w:rPr>
          <w:rFonts w:ascii="Times New Roman" w:hAnsi="Times New Roman" w:cs="Times New Roman"/>
          <w:sz w:val="40"/>
          <w:szCs w:val="40"/>
          <w:lang w:val="pt"/>
        </w:rPr>
        <w:t>Vol. 2</w:t>
      </w:r>
      <w:r w:rsidR="00C542C4" w:rsidRPr="002D19E7">
        <w:rPr>
          <w:rFonts w:ascii="Times New Roman" w:hAnsi="Times New Roman" w:cs="Times New Roman"/>
          <w:sz w:val="40"/>
          <w:szCs w:val="40"/>
          <w:lang w:val="pt"/>
        </w:rPr>
        <w:t>.3</w:t>
      </w:r>
    </w:p>
    <w:p w14:paraId="487E5071" w14:textId="57172F17" w:rsidR="00B1647E" w:rsidRPr="002D19E7" w:rsidRDefault="00B869B9" w:rsidP="00AB6EC4">
      <w:pPr>
        <w:pStyle w:val="PargrafodaLista"/>
        <w:numPr>
          <w:ilvl w:val="0"/>
          <w:numId w:val="1"/>
        </w:numPr>
        <w:spacing w:before="100" w:beforeAutospacing="1" w:after="100" w:afterAutospacing="1"/>
        <w:jc w:val="both"/>
        <w:rPr>
          <w:rFonts w:ascii="Times New Roman" w:eastAsia="Times New Roman" w:hAnsi="Times New Roman" w:cs="Times New Roman"/>
          <w:b/>
          <w:color w:val="000000" w:themeColor="text1"/>
        </w:rPr>
      </w:pPr>
      <w:r w:rsidRPr="00B869B9">
        <w:rPr>
          <w:rFonts w:ascii="Times New Roman" w:hAnsi="Times New Roman" w:cs="Times New Roman"/>
          <w:b/>
          <w:lang w:val="pt-BR"/>
        </w:rPr>
        <w:t>Idade avançada em doentes traumatizados deve ser critério para ativa</w:t>
      </w:r>
      <w:r>
        <w:rPr>
          <w:rFonts w:ascii="Times New Roman" w:hAnsi="Times New Roman" w:cs="Times New Roman"/>
          <w:b/>
          <w:lang w:val="pt-BR"/>
        </w:rPr>
        <w:t>ção da equipe de trauma</w:t>
      </w:r>
      <w:r w:rsidR="00B1647E" w:rsidRPr="00B869B9">
        <w:rPr>
          <w:rFonts w:ascii="Times New Roman" w:hAnsi="Times New Roman" w:cs="Times New Roman"/>
          <w:b/>
          <w:lang w:val="pt-BR"/>
        </w:rPr>
        <w:t>.</w:t>
      </w:r>
      <w:r w:rsidR="00604A39">
        <w:rPr>
          <w:rFonts w:ascii="Times New Roman" w:hAnsi="Times New Roman" w:cs="Times New Roman"/>
          <w:b/>
          <w:lang w:val="pt-BR"/>
        </w:rPr>
        <w:t xml:space="preserve"> </w:t>
      </w:r>
      <w:proofErr w:type="spellStart"/>
      <w:r w:rsidR="00B1647E" w:rsidRPr="002D19E7">
        <w:rPr>
          <w:rFonts w:ascii="Times New Roman" w:eastAsia="Times New Roman" w:hAnsi="Times New Roman" w:cs="Times New Roman"/>
        </w:rPr>
        <w:t>Bardes</w:t>
      </w:r>
      <w:proofErr w:type="spellEnd"/>
      <w:r w:rsidR="00B1647E" w:rsidRPr="002D19E7">
        <w:rPr>
          <w:rFonts w:ascii="Times New Roman" w:eastAsia="Times New Roman" w:hAnsi="Times New Roman" w:cs="Times New Roman"/>
        </w:rPr>
        <w:t xml:space="preserve"> J, Benjamin E, Schellenberg M, Inaba K, </w:t>
      </w:r>
      <w:proofErr w:type="spellStart"/>
      <w:r w:rsidR="00B1647E" w:rsidRPr="002D19E7">
        <w:rPr>
          <w:rFonts w:ascii="Times New Roman" w:eastAsia="Times New Roman" w:hAnsi="Times New Roman" w:cs="Times New Roman"/>
        </w:rPr>
        <w:t>Demetriades</w:t>
      </w:r>
      <w:proofErr w:type="spellEnd"/>
      <w:r w:rsidR="00B1647E" w:rsidRPr="002D19E7">
        <w:rPr>
          <w:rFonts w:ascii="Times New Roman" w:eastAsia="Times New Roman" w:hAnsi="Times New Roman" w:cs="Times New Roman"/>
        </w:rPr>
        <w:t xml:space="preserve"> D. J </w:t>
      </w:r>
      <w:proofErr w:type="spellStart"/>
      <w:r w:rsidR="00B1647E" w:rsidRPr="002D19E7">
        <w:rPr>
          <w:rFonts w:ascii="Times New Roman" w:eastAsia="Times New Roman" w:hAnsi="Times New Roman" w:cs="Times New Roman"/>
        </w:rPr>
        <w:t>Emerg</w:t>
      </w:r>
      <w:proofErr w:type="spellEnd"/>
      <w:r w:rsidR="00B1647E" w:rsidRPr="002D19E7">
        <w:rPr>
          <w:rFonts w:ascii="Times New Roman" w:eastAsia="Times New Roman" w:hAnsi="Times New Roman" w:cs="Times New Roman"/>
        </w:rPr>
        <w:t xml:space="preserve"> Med, 2019;57:151-155.</w:t>
      </w:r>
    </w:p>
    <w:p w14:paraId="336F8B6C" w14:textId="77777777" w:rsidR="004B54F7" w:rsidRPr="002D19E7" w:rsidRDefault="004B54F7" w:rsidP="00AB6EC4">
      <w:pPr>
        <w:pStyle w:val="PargrafodaLista"/>
        <w:numPr>
          <w:ilvl w:val="0"/>
          <w:numId w:val="1"/>
        </w:numPr>
        <w:spacing w:after="0"/>
        <w:jc w:val="both"/>
        <w:rPr>
          <w:rFonts w:ascii="Times New Roman" w:eastAsia="Times New Roman" w:hAnsi="Times New Roman" w:cs="Times New Roman"/>
        </w:rPr>
      </w:pPr>
      <w:r w:rsidRPr="00C47435">
        <w:rPr>
          <w:rFonts w:ascii="Times New Roman" w:hAnsi="Times New Roman" w:cs="Times New Roman"/>
          <w:b/>
          <w:lang w:val="pt-BR"/>
        </w:rPr>
        <w:t xml:space="preserve">Qual o impacto </w:t>
      </w:r>
      <w:r>
        <w:rPr>
          <w:rFonts w:ascii="Times New Roman" w:hAnsi="Times New Roman" w:cs="Times New Roman"/>
          <w:b/>
          <w:lang w:val="pt-BR"/>
        </w:rPr>
        <w:t>da presença de</w:t>
      </w:r>
      <w:r w:rsidRPr="00C47435">
        <w:rPr>
          <w:rFonts w:ascii="Times New Roman" w:hAnsi="Times New Roman" w:cs="Times New Roman"/>
          <w:b/>
          <w:lang w:val="pt-BR"/>
        </w:rPr>
        <w:t xml:space="preserve"> médicos no </w:t>
      </w:r>
      <w:r>
        <w:rPr>
          <w:rFonts w:ascii="Times New Roman" w:hAnsi="Times New Roman" w:cs="Times New Roman"/>
          <w:b/>
          <w:lang w:val="pt-BR"/>
        </w:rPr>
        <w:t xml:space="preserve">atendimento </w:t>
      </w:r>
      <w:r w:rsidRPr="00C47435">
        <w:rPr>
          <w:rFonts w:ascii="Times New Roman" w:hAnsi="Times New Roman" w:cs="Times New Roman"/>
          <w:b/>
          <w:lang w:val="pt-BR"/>
        </w:rPr>
        <w:t xml:space="preserve">pré-hospitalar para </w:t>
      </w:r>
      <w:r>
        <w:rPr>
          <w:rFonts w:ascii="Times New Roman" w:hAnsi="Times New Roman" w:cs="Times New Roman"/>
          <w:b/>
          <w:lang w:val="pt-BR"/>
        </w:rPr>
        <w:t xml:space="preserve">doentes </w:t>
      </w:r>
      <w:r w:rsidRPr="00C47435">
        <w:rPr>
          <w:rFonts w:ascii="Times New Roman" w:hAnsi="Times New Roman" w:cs="Times New Roman"/>
          <w:b/>
          <w:lang w:val="pt-BR"/>
        </w:rPr>
        <w:t xml:space="preserve">que necessitam de cuidados </w:t>
      </w:r>
      <w:r>
        <w:rPr>
          <w:rFonts w:ascii="Times New Roman" w:hAnsi="Times New Roman" w:cs="Times New Roman"/>
          <w:b/>
          <w:lang w:val="pt-BR"/>
        </w:rPr>
        <w:t>críticos</w:t>
      </w:r>
      <w:r w:rsidRPr="00C47435">
        <w:rPr>
          <w:rFonts w:ascii="Times New Roman" w:hAnsi="Times New Roman" w:cs="Times New Roman"/>
          <w:b/>
          <w:lang w:val="pt-BR"/>
        </w:rPr>
        <w:t>?</w:t>
      </w:r>
      <w:r>
        <w:rPr>
          <w:rFonts w:ascii="Times New Roman" w:hAnsi="Times New Roman" w:cs="Times New Roman"/>
          <w:b/>
          <w:lang w:val="pt-BR"/>
        </w:rPr>
        <w:t xml:space="preserve"> </w:t>
      </w:r>
      <w:r w:rsidRPr="00C47435">
        <w:rPr>
          <w:rFonts w:ascii="Times New Roman" w:hAnsi="Times New Roman" w:cs="Times New Roman"/>
          <w:b/>
          <w:lang w:val="pt-BR"/>
        </w:rPr>
        <w:t>– Uma visão geral das revisões</w:t>
      </w:r>
      <w:r w:rsidRPr="00C47435">
        <w:rPr>
          <w:rFonts w:ascii="Times New Roman" w:hAnsi="Times New Roman" w:cs="Times New Roman"/>
          <w:lang w:val="pt-BR"/>
        </w:rPr>
        <w:t xml:space="preserve">. </w:t>
      </w:r>
      <w:r w:rsidRPr="004B54F7">
        <w:rPr>
          <w:rFonts w:ascii="Times New Roman" w:hAnsi="Times New Roman" w:cs="Times New Roman"/>
        </w:rPr>
        <w:t xml:space="preserve">Valentin G, Jensen LG.  </w:t>
      </w:r>
      <w:r w:rsidRPr="002D19E7">
        <w:rPr>
          <w:rFonts w:ascii="Times New Roman" w:hAnsi="Times New Roman" w:cs="Times New Roman"/>
        </w:rPr>
        <w:t xml:space="preserve">International J. Tech Assessment Health Care </w:t>
      </w:r>
      <w:proofErr w:type="gramStart"/>
      <w:r w:rsidRPr="002D19E7">
        <w:rPr>
          <w:rFonts w:ascii="Times New Roman" w:hAnsi="Times New Roman" w:cs="Times New Roman"/>
        </w:rPr>
        <w:t>2019;35:27</w:t>
      </w:r>
      <w:proofErr w:type="gramEnd"/>
      <w:r w:rsidRPr="002D19E7">
        <w:rPr>
          <w:rFonts w:ascii="Times New Roman" w:hAnsi="Times New Roman" w:cs="Times New Roman"/>
        </w:rPr>
        <w:t>-35.</w:t>
      </w:r>
    </w:p>
    <w:p w14:paraId="763527B5" w14:textId="77777777" w:rsidR="00B64CD9" w:rsidRPr="002D19E7" w:rsidRDefault="00B64CD9" w:rsidP="00AB6EC4">
      <w:pPr>
        <w:pStyle w:val="PargrafodaLista"/>
        <w:numPr>
          <w:ilvl w:val="0"/>
          <w:numId w:val="1"/>
        </w:numPr>
        <w:spacing w:after="0"/>
        <w:jc w:val="both"/>
        <w:rPr>
          <w:rFonts w:ascii="Times New Roman" w:eastAsia="Times New Roman" w:hAnsi="Times New Roman" w:cs="Times New Roman"/>
          <w:b/>
        </w:rPr>
      </w:pPr>
      <w:r>
        <w:rPr>
          <w:rFonts w:ascii="Times New Roman" w:eastAsia="Times New Roman" w:hAnsi="Times New Roman" w:cs="Times New Roman"/>
          <w:b/>
          <w:lang w:val="pt-BR"/>
        </w:rPr>
        <w:t>C</w:t>
      </w:r>
      <w:r w:rsidRPr="000240B9">
        <w:rPr>
          <w:rFonts w:ascii="Times New Roman" w:eastAsia="Times New Roman" w:hAnsi="Times New Roman" w:cs="Times New Roman"/>
          <w:b/>
          <w:lang w:val="pt-BR"/>
        </w:rPr>
        <w:t xml:space="preserve">onsenso de especialistas clínicos </w:t>
      </w:r>
      <w:r>
        <w:rPr>
          <w:rFonts w:ascii="Times New Roman" w:eastAsia="Times New Roman" w:hAnsi="Times New Roman" w:cs="Times New Roman"/>
          <w:b/>
          <w:lang w:val="pt-BR"/>
        </w:rPr>
        <w:t xml:space="preserve">da </w:t>
      </w:r>
      <w:r w:rsidRPr="000240B9">
        <w:rPr>
          <w:rFonts w:ascii="Times New Roman" w:eastAsia="Times New Roman" w:hAnsi="Times New Roman" w:cs="Times New Roman"/>
          <w:b/>
          <w:lang w:val="pt-BR"/>
        </w:rPr>
        <w:t xml:space="preserve">HFSA/SAEM/ISHLT sobre o manejo de emergência de </w:t>
      </w:r>
      <w:r>
        <w:rPr>
          <w:rFonts w:ascii="Times New Roman" w:eastAsia="Times New Roman" w:hAnsi="Times New Roman" w:cs="Times New Roman"/>
          <w:b/>
          <w:lang w:val="pt-BR"/>
        </w:rPr>
        <w:t>doentes</w:t>
      </w:r>
      <w:r w:rsidRPr="000240B9">
        <w:rPr>
          <w:rFonts w:ascii="Times New Roman" w:eastAsia="Times New Roman" w:hAnsi="Times New Roman" w:cs="Times New Roman"/>
          <w:b/>
          <w:lang w:val="pt-BR"/>
        </w:rPr>
        <w:t xml:space="preserve"> com dispositivos de assistência ventricular.  </w:t>
      </w:r>
      <w:proofErr w:type="spellStart"/>
      <w:r w:rsidRPr="002D19E7">
        <w:rPr>
          <w:rFonts w:ascii="Times New Roman" w:eastAsia="Times New Roman" w:hAnsi="Times New Roman" w:cs="Times New Roman"/>
        </w:rPr>
        <w:t>Givertz</w:t>
      </w:r>
      <w:proofErr w:type="spellEnd"/>
      <w:r w:rsidRPr="002D19E7">
        <w:rPr>
          <w:rFonts w:ascii="Times New Roman" w:eastAsia="Times New Roman" w:hAnsi="Times New Roman" w:cs="Times New Roman"/>
        </w:rPr>
        <w:t xml:space="preserve"> M, </w:t>
      </w:r>
      <w:proofErr w:type="spellStart"/>
      <w:r w:rsidRPr="002D19E7">
        <w:rPr>
          <w:rFonts w:ascii="Times New Roman" w:eastAsia="Times New Roman" w:hAnsi="Times New Roman" w:cs="Times New Roman"/>
        </w:rPr>
        <w:t>DelFilippis</w:t>
      </w:r>
      <w:proofErr w:type="spellEnd"/>
      <w:r w:rsidRPr="002D19E7">
        <w:rPr>
          <w:rFonts w:ascii="Times New Roman" w:eastAsia="Times New Roman" w:hAnsi="Times New Roman" w:cs="Times New Roman"/>
        </w:rPr>
        <w:t xml:space="preserve"> E, Colvin M, et al.  J Heart Lung Transplant </w:t>
      </w:r>
      <w:proofErr w:type="gramStart"/>
      <w:r w:rsidRPr="002D19E7">
        <w:rPr>
          <w:rFonts w:ascii="Times New Roman" w:eastAsia="Times New Roman" w:hAnsi="Times New Roman" w:cs="Times New Roman"/>
        </w:rPr>
        <w:t>2019;38:677</w:t>
      </w:r>
      <w:proofErr w:type="gramEnd"/>
      <w:r w:rsidRPr="002D19E7">
        <w:rPr>
          <w:rFonts w:ascii="Times New Roman" w:eastAsia="Times New Roman" w:hAnsi="Times New Roman" w:cs="Times New Roman"/>
        </w:rPr>
        <w:t>-698.</w:t>
      </w:r>
    </w:p>
    <w:p w14:paraId="06CCEAEB" w14:textId="77777777" w:rsidR="00AB6EC4" w:rsidRPr="002D19E7" w:rsidRDefault="00AB6EC4" w:rsidP="00AB6EC4">
      <w:pPr>
        <w:pStyle w:val="PargrafodaLista"/>
        <w:numPr>
          <w:ilvl w:val="0"/>
          <w:numId w:val="1"/>
        </w:numPr>
        <w:spacing w:after="0"/>
        <w:jc w:val="both"/>
        <w:rPr>
          <w:rFonts w:ascii="Times New Roman" w:hAnsi="Times New Roman" w:cs="Times New Roman"/>
        </w:rPr>
      </w:pPr>
      <w:r w:rsidRPr="00611A18">
        <w:rPr>
          <w:rFonts w:ascii="Times New Roman" w:hAnsi="Times New Roman" w:cs="Times New Roman"/>
          <w:b/>
          <w:lang w:val="pt-BR"/>
        </w:rPr>
        <w:t>Uma investigação preliminar da perspectiva clínic</w:t>
      </w:r>
      <w:r>
        <w:rPr>
          <w:rFonts w:ascii="Times New Roman" w:hAnsi="Times New Roman" w:cs="Times New Roman"/>
          <w:b/>
          <w:lang w:val="pt-BR"/>
        </w:rPr>
        <w:t>a</w:t>
      </w:r>
      <w:r w:rsidRPr="00611A18">
        <w:rPr>
          <w:rFonts w:ascii="Times New Roman" w:hAnsi="Times New Roman" w:cs="Times New Roman"/>
          <w:b/>
          <w:lang w:val="pt-BR"/>
        </w:rPr>
        <w:t xml:space="preserve"> civil e orientação </w:t>
      </w:r>
      <w:proofErr w:type="spellStart"/>
      <w:r w:rsidRPr="00611A18">
        <w:rPr>
          <w:rFonts w:ascii="Times New Roman" w:hAnsi="Times New Roman" w:cs="Times New Roman"/>
          <w:b/>
          <w:lang w:val="pt-BR"/>
        </w:rPr>
        <w:t>just</w:t>
      </w:r>
      <w:proofErr w:type="spellEnd"/>
      <w:r w:rsidRPr="00611A18">
        <w:rPr>
          <w:rFonts w:ascii="Times New Roman" w:hAnsi="Times New Roman" w:cs="Times New Roman"/>
          <w:b/>
          <w:lang w:val="pt-BR"/>
        </w:rPr>
        <w:t>-</w:t>
      </w:r>
      <w:proofErr w:type="spellStart"/>
      <w:r w:rsidRPr="00611A18">
        <w:rPr>
          <w:rFonts w:ascii="Times New Roman" w:hAnsi="Times New Roman" w:cs="Times New Roman"/>
          <w:b/>
          <w:lang w:val="pt-BR"/>
        </w:rPr>
        <w:t>in-time</w:t>
      </w:r>
      <w:proofErr w:type="spellEnd"/>
      <w:r w:rsidRPr="00611A18">
        <w:rPr>
          <w:rFonts w:ascii="Times New Roman" w:hAnsi="Times New Roman" w:cs="Times New Roman"/>
          <w:b/>
          <w:lang w:val="pt-BR"/>
        </w:rPr>
        <w:t xml:space="preserve"> para o uso de torniquete para "parar o sangramento". </w:t>
      </w:r>
      <w:r w:rsidRPr="002D19E7">
        <w:rPr>
          <w:rFonts w:ascii="Times New Roman" w:hAnsi="Times New Roman" w:cs="Times New Roman"/>
        </w:rPr>
        <w:t>Lowndes B, Law K, Abdelrahman A, et al.  Mil Med 2019;184(Suppl. 1):28-36.</w:t>
      </w:r>
    </w:p>
    <w:p w14:paraId="30A2C402" w14:textId="7ECCCB70" w:rsidR="00343BC7" w:rsidRPr="002D19E7" w:rsidRDefault="00343BC7" w:rsidP="00343BC7">
      <w:pPr>
        <w:pStyle w:val="PargrafodaLista"/>
        <w:rPr>
          <w:rFonts w:ascii="Times New Roman" w:hAnsi="Times New Roman" w:cs="Times New Roman"/>
          <w:b/>
        </w:rPr>
      </w:pPr>
    </w:p>
    <w:p w14:paraId="11A58B0A" w14:textId="77777777" w:rsidR="00894E81" w:rsidRPr="002D19E7" w:rsidRDefault="00894E81" w:rsidP="00343BC7">
      <w:pPr>
        <w:pStyle w:val="PargrafodaLista"/>
        <w:rPr>
          <w:rFonts w:ascii="Times New Roman" w:hAnsi="Times New Roman" w:cs="Times New Roman"/>
          <w:b/>
        </w:rPr>
      </w:pPr>
    </w:p>
    <w:p w14:paraId="01729BEC" w14:textId="2F76608C" w:rsidR="00666E03" w:rsidRPr="002D19E7" w:rsidRDefault="00666E03" w:rsidP="00AB6EC4">
      <w:pPr>
        <w:pStyle w:val="PargrafodaLista"/>
        <w:numPr>
          <w:ilvl w:val="0"/>
          <w:numId w:val="21"/>
        </w:numPr>
        <w:spacing w:before="100" w:beforeAutospacing="1" w:after="100" w:afterAutospacing="1"/>
        <w:jc w:val="both"/>
        <w:rPr>
          <w:rFonts w:ascii="Times New Roman" w:eastAsia="Times New Roman" w:hAnsi="Times New Roman" w:cs="Times New Roman"/>
          <w:b/>
          <w:color w:val="000000" w:themeColor="text1"/>
        </w:rPr>
      </w:pPr>
      <w:r w:rsidRPr="002D19E7">
        <w:rPr>
          <w:rFonts w:ascii="Times New Roman" w:hAnsi="Times New Roman" w:cs="Times New Roman"/>
          <w:b/>
        </w:rPr>
        <w:t xml:space="preserve">Old Age with a Traumatic Mechanism of Injury Should Be a Trauma Team Activation Criterion. </w:t>
      </w:r>
      <w:proofErr w:type="spellStart"/>
      <w:r w:rsidRPr="002D19E7">
        <w:rPr>
          <w:rFonts w:ascii="Times New Roman" w:eastAsia="Times New Roman" w:hAnsi="Times New Roman" w:cs="Times New Roman"/>
        </w:rPr>
        <w:t>Bardes</w:t>
      </w:r>
      <w:proofErr w:type="spellEnd"/>
      <w:r w:rsidRPr="002D19E7">
        <w:rPr>
          <w:rFonts w:ascii="Times New Roman" w:eastAsia="Times New Roman" w:hAnsi="Times New Roman" w:cs="Times New Roman"/>
        </w:rPr>
        <w:t xml:space="preserve"> J, Benjamin E, Schellenberg M, Inaba K, </w:t>
      </w:r>
      <w:proofErr w:type="spellStart"/>
      <w:r w:rsidRPr="002D19E7">
        <w:rPr>
          <w:rFonts w:ascii="Times New Roman" w:eastAsia="Times New Roman" w:hAnsi="Times New Roman" w:cs="Times New Roman"/>
        </w:rPr>
        <w:t>Demetriades</w:t>
      </w:r>
      <w:proofErr w:type="spellEnd"/>
      <w:r w:rsidRPr="002D19E7">
        <w:rPr>
          <w:rFonts w:ascii="Times New Roman" w:eastAsia="Times New Roman" w:hAnsi="Times New Roman" w:cs="Times New Roman"/>
        </w:rPr>
        <w:t xml:space="preserve"> D. J </w:t>
      </w:r>
      <w:proofErr w:type="spellStart"/>
      <w:r w:rsidRPr="002D19E7">
        <w:rPr>
          <w:rFonts w:ascii="Times New Roman" w:eastAsia="Times New Roman" w:hAnsi="Times New Roman" w:cs="Times New Roman"/>
        </w:rPr>
        <w:t>Emerg</w:t>
      </w:r>
      <w:proofErr w:type="spellEnd"/>
      <w:r w:rsidRPr="002D19E7">
        <w:rPr>
          <w:rFonts w:ascii="Times New Roman" w:eastAsia="Times New Roman" w:hAnsi="Times New Roman" w:cs="Times New Roman"/>
        </w:rPr>
        <w:t xml:space="preserve"> Med, 2019;57:151-155.</w:t>
      </w:r>
    </w:p>
    <w:p w14:paraId="1E057946" w14:textId="3605E962" w:rsidR="006956A7" w:rsidRPr="002D19E7" w:rsidRDefault="00D21B5B" w:rsidP="00AB6EC4">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Com base nas alterações anatômicas e fisiológicas que nossos corpos sofrem à medida que envelhecemos, os </w:t>
      </w:r>
      <w:r w:rsidR="00121398">
        <w:rPr>
          <w:rFonts w:ascii="Times New Roman" w:hAnsi="Times New Roman" w:cs="Times New Roman"/>
          <w:lang w:val="pt-BR"/>
        </w:rPr>
        <w:t>doente</w:t>
      </w:r>
      <w:r w:rsidRPr="002D19E7">
        <w:rPr>
          <w:rFonts w:ascii="Times New Roman" w:hAnsi="Times New Roman" w:cs="Times New Roman"/>
          <w:lang w:val="pt-BR"/>
        </w:rPr>
        <w:t>s idosos correm maior risco de mortalidade e lesões graves por eventos traumáticos. As recomendações do Comitê de Trauma do Colégio Americano de Cirurgiões (ACS</w:t>
      </w:r>
      <w:r w:rsidR="00121398">
        <w:rPr>
          <w:rFonts w:ascii="Times New Roman" w:hAnsi="Times New Roman" w:cs="Times New Roman"/>
          <w:lang w:val="pt-BR"/>
        </w:rPr>
        <w:t xml:space="preserve"> COT</w:t>
      </w:r>
      <w:r w:rsidRPr="002D19E7">
        <w:rPr>
          <w:rFonts w:ascii="Times New Roman" w:hAnsi="Times New Roman" w:cs="Times New Roman"/>
          <w:lang w:val="pt-BR"/>
        </w:rPr>
        <w:t>) para Ativação da Equipe de Trauma (AET) não incluem a idade como critério.</w:t>
      </w:r>
      <w:r w:rsidR="006956A7" w:rsidRPr="002D19E7">
        <w:rPr>
          <w:rFonts w:ascii="Times New Roman" w:hAnsi="Times New Roman" w:cs="Times New Roman"/>
          <w:lang w:val="pt-BR"/>
        </w:rPr>
        <w:t xml:space="preserve"> </w:t>
      </w:r>
    </w:p>
    <w:p w14:paraId="41A73557" w14:textId="0EBFD2F9" w:rsidR="00D21B5B" w:rsidRPr="002D19E7" w:rsidRDefault="00121398" w:rsidP="00AB6EC4">
      <w:pPr>
        <w:pStyle w:val="SemEspaamento"/>
        <w:ind w:firstLine="360"/>
        <w:jc w:val="both"/>
        <w:rPr>
          <w:rFonts w:ascii="Times New Roman" w:hAnsi="Times New Roman" w:cs="Times New Roman"/>
          <w:lang w:val="pt-BR"/>
        </w:rPr>
      </w:pPr>
      <w:r>
        <w:rPr>
          <w:rFonts w:ascii="Times New Roman" w:hAnsi="Times New Roman" w:cs="Times New Roman"/>
          <w:lang w:val="pt-BR"/>
        </w:rPr>
        <w:t xml:space="preserve">Os autores desse </w:t>
      </w:r>
      <w:r w:rsidR="00666E03" w:rsidRPr="002D19E7">
        <w:rPr>
          <w:rFonts w:ascii="Times New Roman" w:hAnsi="Times New Roman" w:cs="Times New Roman"/>
          <w:lang w:val="pt-BR"/>
        </w:rPr>
        <w:t>centro</w:t>
      </w:r>
      <w:r>
        <w:rPr>
          <w:rFonts w:ascii="Times New Roman" w:hAnsi="Times New Roman" w:cs="Times New Roman"/>
          <w:lang w:val="pt-BR"/>
        </w:rPr>
        <w:t xml:space="preserve"> </w:t>
      </w:r>
      <w:r w:rsidR="00666E03" w:rsidRPr="002D19E7">
        <w:rPr>
          <w:rFonts w:ascii="Times New Roman" w:hAnsi="Times New Roman" w:cs="Times New Roman"/>
          <w:lang w:val="pt-BR"/>
        </w:rPr>
        <w:t xml:space="preserve">de trauma </w:t>
      </w:r>
      <w:r>
        <w:rPr>
          <w:rFonts w:ascii="Times New Roman" w:hAnsi="Times New Roman" w:cs="Times New Roman"/>
          <w:lang w:val="pt-BR"/>
        </w:rPr>
        <w:t xml:space="preserve">urbano </w:t>
      </w:r>
      <w:r w:rsidR="006956A7" w:rsidRPr="002D19E7">
        <w:rPr>
          <w:rFonts w:ascii="Times New Roman" w:hAnsi="Times New Roman" w:cs="Times New Roman"/>
          <w:lang w:val="pt-BR"/>
        </w:rPr>
        <w:t>nível 1</w:t>
      </w:r>
      <w:r>
        <w:rPr>
          <w:rFonts w:ascii="Times New Roman" w:hAnsi="Times New Roman" w:cs="Times New Roman"/>
          <w:lang w:val="pt-BR"/>
        </w:rPr>
        <w:t>,</w:t>
      </w:r>
      <w:r w:rsidR="006956A7" w:rsidRPr="002D19E7">
        <w:rPr>
          <w:rFonts w:ascii="Times New Roman" w:hAnsi="Times New Roman" w:cs="Times New Roman"/>
          <w:lang w:val="pt-BR"/>
        </w:rPr>
        <w:t xml:space="preserve"> </w:t>
      </w:r>
      <w:r>
        <w:rPr>
          <w:rFonts w:ascii="Times New Roman" w:hAnsi="Times New Roman" w:cs="Times New Roman"/>
          <w:lang w:val="pt-BR"/>
        </w:rPr>
        <w:t>verificado</w:t>
      </w:r>
      <w:r w:rsidR="00666E03" w:rsidRPr="002D19E7">
        <w:rPr>
          <w:rFonts w:ascii="Times New Roman" w:hAnsi="Times New Roman" w:cs="Times New Roman"/>
          <w:lang w:val="pt-BR"/>
        </w:rPr>
        <w:t xml:space="preserve"> pelo</w:t>
      </w:r>
      <w:r>
        <w:rPr>
          <w:rFonts w:ascii="Times New Roman" w:hAnsi="Times New Roman" w:cs="Times New Roman"/>
          <w:lang w:val="pt-BR"/>
        </w:rPr>
        <w:t xml:space="preserve"> </w:t>
      </w:r>
      <w:r w:rsidR="00666E03" w:rsidRPr="002D19E7">
        <w:rPr>
          <w:rFonts w:ascii="Times New Roman" w:hAnsi="Times New Roman" w:cs="Times New Roman"/>
          <w:lang w:val="pt-BR"/>
        </w:rPr>
        <w:t>Colégio A</w:t>
      </w:r>
      <w:r w:rsidR="006956A7" w:rsidRPr="002D19E7">
        <w:rPr>
          <w:rFonts w:ascii="Times New Roman" w:hAnsi="Times New Roman" w:cs="Times New Roman"/>
          <w:lang w:val="pt-BR"/>
        </w:rPr>
        <w:t>m</w:t>
      </w:r>
      <w:r w:rsidR="00666E03" w:rsidRPr="002D19E7">
        <w:rPr>
          <w:rFonts w:ascii="Times New Roman" w:hAnsi="Times New Roman" w:cs="Times New Roman"/>
          <w:lang w:val="pt-BR"/>
        </w:rPr>
        <w:t>ericano de Cirurgiões, adotou um critério de idade</w:t>
      </w:r>
      <w:r w:rsidR="006956A7" w:rsidRPr="002D19E7">
        <w:rPr>
          <w:rFonts w:ascii="Times New Roman" w:hAnsi="Times New Roman" w:cs="Times New Roman"/>
          <w:lang w:val="pt-BR"/>
        </w:rPr>
        <w:t xml:space="preserve"> </w:t>
      </w:r>
      <w:r w:rsidR="00666E03" w:rsidRPr="002D19E7">
        <w:rPr>
          <w:rFonts w:ascii="Times New Roman" w:hAnsi="Times New Roman" w:cs="Times New Roman"/>
          <w:lang w:val="pt-BR"/>
        </w:rPr>
        <w:t>&gt; 70 anos para a ativação da equipe de trauma</w:t>
      </w:r>
      <w:r w:rsidR="006956A7" w:rsidRPr="002D19E7">
        <w:rPr>
          <w:rFonts w:ascii="Times New Roman" w:hAnsi="Times New Roman" w:cs="Times New Roman"/>
          <w:lang w:val="pt-BR"/>
        </w:rPr>
        <w:t xml:space="preserve">. </w:t>
      </w:r>
      <w:r w:rsidR="00D21B5B" w:rsidRPr="002D19E7">
        <w:rPr>
          <w:rFonts w:ascii="Times New Roman" w:hAnsi="Times New Roman" w:cs="Times New Roman"/>
          <w:lang w:val="pt-BR"/>
        </w:rPr>
        <w:t xml:space="preserve">Dado o custo das ativações da equipe de trauma, </w:t>
      </w:r>
      <w:r w:rsidR="00154121">
        <w:rPr>
          <w:rFonts w:ascii="Times New Roman" w:hAnsi="Times New Roman" w:cs="Times New Roman"/>
          <w:lang w:val="pt-BR"/>
        </w:rPr>
        <w:t>tanto fiscalmente quanto outros recursos</w:t>
      </w:r>
      <w:r w:rsidR="00D21B5B" w:rsidRPr="002D19E7">
        <w:rPr>
          <w:rFonts w:ascii="Times New Roman" w:hAnsi="Times New Roman" w:cs="Times New Roman"/>
          <w:lang w:val="pt-BR"/>
        </w:rPr>
        <w:t xml:space="preserve">, os autores examinaram a questão </w:t>
      </w:r>
      <w:r w:rsidR="006E3F58" w:rsidRPr="002D19E7">
        <w:rPr>
          <w:rFonts w:ascii="Times New Roman" w:hAnsi="Times New Roman" w:cs="Times New Roman"/>
          <w:lang w:val="pt-BR"/>
        </w:rPr>
        <w:t>para</w:t>
      </w:r>
      <w:r w:rsidR="00D21B5B" w:rsidRPr="002D19E7">
        <w:rPr>
          <w:rFonts w:ascii="Times New Roman" w:hAnsi="Times New Roman" w:cs="Times New Roman"/>
          <w:lang w:val="pt-BR"/>
        </w:rPr>
        <w:t xml:space="preserve"> saber se esse critério adotado localmente identifica corretamente os </w:t>
      </w:r>
      <w:r>
        <w:rPr>
          <w:rFonts w:ascii="Times New Roman" w:hAnsi="Times New Roman" w:cs="Times New Roman"/>
          <w:lang w:val="pt-BR"/>
        </w:rPr>
        <w:t>doente</w:t>
      </w:r>
      <w:r w:rsidR="00D21B5B" w:rsidRPr="002D19E7">
        <w:rPr>
          <w:rFonts w:ascii="Times New Roman" w:hAnsi="Times New Roman" w:cs="Times New Roman"/>
          <w:lang w:val="pt-BR"/>
        </w:rPr>
        <w:t xml:space="preserve">s em risco ou faz </w:t>
      </w:r>
      <w:proofErr w:type="spellStart"/>
      <w:r w:rsidR="0094703C">
        <w:rPr>
          <w:rFonts w:ascii="Times New Roman" w:hAnsi="Times New Roman" w:cs="Times New Roman"/>
          <w:lang w:val="pt-BR"/>
        </w:rPr>
        <w:t>sobretriagem</w:t>
      </w:r>
      <w:proofErr w:type="spellEnd"/>
      <w:r w:rsidR="00D21B5B" w:rsidRPr="002D19E7">
        <w:rPr>
          <w:rFonts w:ascii="Times New Roman" w:hAnsi="Times New Roman" w:cs="Times New Roman"/>
          <w:lang w:val="pt-BR"/>
        </w:rPr>
        <w:t xml:space="preserve"> </w:t>
      </w:r>
      <w:r w:rsidR="00154121" w:rsidRPr="002D19E7">
        <w:rPr>
          <w:rFonts w:ascii="Times New Roman" w:hAnsi="Times New Roman" w:cs="Times New Roman"/>
          <w:lang w:val="pt-BR"/>
        </w:rPr>
        <w:t>para Ativação da Equipe de Trauma</w:t>
      </w:r>
      <w:r w:rsidR="00154121" w:rsidRPr="002D19E7">
        <w:rPr>
          <w:rFonts w:ascii="Times New Roman" w:hAnsi="Times New Roman" w:cs="Times New Roman"/>
          <w:lang w:val="pt-BR"/>
        </w:rPr>
        <w:t xml:space="preserve"> </w:t>
      </w:r>
      <w:r w:rsidR="00D21B5B" w:rsidRPr="002D19E7">
        <w:rPr>
          <w:rFonts w:ascii="Times New Roman" w:hAnsi="Times New Roman" w:cs="Times New Roman"/>
          <w:lang w:val="pt-BR"/>
        </w:rPr>
        <w:t xml:space="preserve">em um número </w:t>
      </w:r>
      <w:r w:rsidR="005708CD" w:rsidRPr="002D19E7">
        <w:rPr>
          <w:rFonts w:ascii="Times New Roman" w:hAnsi="Times New Roman" w:cs="Times New Roman"/>
          <w:lang w:val="pt-BR"/>
        </w:rPr>
        <w:t>muito grande</w:t>
      </w:r>
      <w:r w:rsidR="00D21B5B" w:rsidRPr="002D19E7">
        <w:rPr>
          <w:rFonts w:ascii="Times New Roman" w:hAnsi="Times New Roman" w:cs="Times New Roman"/>
          <w:lang w:val="pt-BR"/>
        </w:rPr>
        <w:t xml:space="preserve"> de </w:t>
      </w:r>
      <w:r>
        <w:rPr>
          <w:rFonts w:ascii="Times New Roman" w:hAnsi="Times New Roman" w:cs="Times New Roman"/>
          <w:lang w:val="pt-BR"/>
        </w:rPr>
        <w:t>doente</w:t>
      </w:r>
      <w:r w:rsidR="00D21B5B" w:rsidRPr="002D19E7">
        <w:rPr>
          <w:rFonts w:ascii="Times New Roman" w:hAnsi="Times New Roman" w:cs="Times New Roman"/>
          <w:lang w:val="pt-BR"/>
        </w:rPr>
        <w:t>s</w:t>
      </w:r>
      <w:r w:rsidR="006E3F58" w:rsidRPr="002D19E7">
        <w:rPr>
          <w:rFonts w:ascii="Times New Roman" w:hAnsi="Times New Roman" w:cs="Times New Roman"/>
          <w:lang w:val="pt-BR"/>
        </w:rPr>
        <w:t>.</w:t>
      </w:r>
      <w:r w:rsidR="00D21B5B" w:rsidRPr="002D19E7">
        <w:rPr>
          <w:rFonts w:ascii="Times New Roman" w:hAnsi="Times New Roman" w:cs="Times New Roman"/>
          <w:lang w:val="pt-BR"/>
        </w:rPr>
        <w:t xml:space="preserve"> Os autores realizaram uma revisão </w:t>
      </w:r>
      <w:r w:rsidR="000474D9">
        <w:rPr>
          <w:rFonts w:ascii="Times New Roman" w:hAnsi="Times New Roman" w:cs="Times New Roman"/>
          <w:lang w:val="pt-BR"/>
        </w:rPr>
        <w:t xml:space="preserve">retrospectiva </w:t>
      </w:r>
      <w:r w:rsidR="00D21B5B" w:rsidRPr="002D19E7">
        <w:rPr>
          <w:rFonts w:ascii="Times New Roman" w:hAnsi="Times New Roman" w:cs="Times New Roman"/>
          <w:lang w:val="pt-BR"/>
        </w:rPr>
        <w:t xml:space="preserve">de cinco anos, aprovada </w:t>
      </w:r>
      <w:r w:rsidR="000474D9">
        <w:rPr>
          <w:rFonts w:ascii="Times New Roman" w:hAnsi="Times New Roman" w:cs="Times New Roman"/>
          <w:lang w:val="pt-BR"/>
        </w:rPr>
        <w:t>pelo Conselho de Revisão Institucional</w:t>
      </w:r>
      <w:r w:rsidR="00D21B5B" w:rsidRPr="002D19E7">
        <w:rPr>
          <w:rFonts w:ascii="Times New Roman" w:hAnsi="Times New Roman" w:cs="Times New Roman"/>
          <w:lang w:val="pt-BR"/>
        </w:rPr>
        <w:t xml:space="preserve">, de todos os </w:t>
      </w:r>
      <w:r>
        <w:rPr>
          <w:rFonts w:ascii="Times New Roman" w:hAnsi="Times New Roman" w:cs="Times New Roman"/>
          <w:lang w:val="pt-BR"/>
        </w:rPr>
        <w:t>doente</w:t>
      </w:r>
      <w:r w:rsidR="00D21B5B" w:rsidRPr="002D19E7">
        <w:rPr>
          <w:rFonts w:ascii="Times New Roman" w:hAnsi="Times New Roman" w:cs="Times New Roman"/>
          <w:lang w:val="pt-BR"/>
        </w:rPr>
        <w:t xml:space="preserve">s </w:t>
      </w:r>
      <w:r w:rsidR="006E3F58" w:rsidRPr="002D19E7">
        <w:rPr>
          <w:rFonts w:ascii="Times New Roman" w:hAnsi="Times New Roman" w:cs="Times New Roman"/>
          <w:lang w:val="pt-BR"/>
        </w:rPr>
        <w:t xml:space="preserve">maiores de 70 anos </w:t>
      </w:r>
      <w:r w:rsidR="000474D9">
        <w:rPr>
          <w:rFonts w:ascii="Times New Roman" w:hAnsi="Times New Roman" w:cs="Times New Roman"/>
          <w:lang w:val="pt-BR"/>
        </w:rPr>
        <w:t>que constavam no</w:t>
      </w:r>
      <w:r w:rsidR="00D21B5B" w:rsidRPr="002D19E7">
        <w:rPr>
          <w:rFonts w:ascii="Times New Roman" w:hAnsi="Times New Roman" w:cs="Times New Roman"/>
          <w:lang w:val="pt-BR"/>
        </w:rPr>
        <w:t xml:space="preserve"> registro de trauma </w:t>
      </w:r>
      <w:r w:rsidR="000474D9">
        <w:rPr>
          <w:rFonts w:ascii="Times New Roman" w:hAnsi="Times New Roman" w:cs="Times New Roman"/>
          <w:lang w:val="pt-BR"/>
        </w:rPr>
        <w:t>de sua</w:t>
      </w:r>
      <w:r w:rsidR="00D21B5B" w:rsidRPr="002D19E7">
        <w:rPr>
          <w:rFonts w:ascii="Times New Roman" w:hAnsi="Times New Roman" w:cs="Times New Roman"/>
          <w:lang w:val="pt-BR"/>
        </w:rPr>
        <w:t xml:space="preserve"> instituição, com exceção dos </w:t>
      </w:r>
      <w:r>
        <w:rPr>
          <w:rFonts w:ascii="Times New Roman" w:hAnsi="Times New Roman" w:cs="Times New Roman"/>
          <w:lang w:val="pt-BR"/>
        </w:rPr>
        <w:t>doente</w:t>
      </w:r>
      <w:r w:rsidR="00D21B5B" w:rsidRPr="002D19E7">
        <w:rPr>
          <w:rFonts w:ascii="Times New Roman" w:hAnsi="Times New Roman" w:cs="Times New Roman"/>
          <w:lang w:val="pt-BR"/>
        </w:rPr>
        <w:t xml:space="preserve">s atendidos por queda </w:t>
      </w:r>
      <w:r w:rsidR="0017698D" w:rsidRPr="002D19E7">
        <w:rPr>
          <w:rFonts w:ascii="Times New Roman" w:hAnsi="Times New Roman" w:cs="Times New Roman"/>
          <w:lang w:val="pt-BR"/>
        </w:rPr>
        <w:t>da pr</w:t>
      </w:r>
      <w:r w:rsidR="000474D9">
        <w:rPr>
          <w:rFonts w:ascii="Times New Roman" w:hAnsi="Times New Roman" w:cs="Times New Roman"/>
          <w:lang w:val="pt-BR"/>
        </w:rPr>
        <w:t>ó</w:t>
      </w:r>
      <w:r w:rsidR="0017698D" w:rsidRPr="002D19E7">
        <w:rPr>
          <w:rFonts w:ascii="Times New Roman" w:hAnsi="Times New Roman" w:cs="Times New Roman"/>
          <w:lang w:val="pt-BR"/>
        </w:rPr>
        <w:t>pria altura</w:t>
      </w:r>
      <w:r w:rsidR="00D21B5B" w:rsidRPr="002D19E7">
        <w:rPr>
          <w:rFonts w:ascii="Times New Roman" w:hAnsi="Times New Roman" w:cs="Times New Roman"/>
          <w:lang w:val="pt-BR"/>
        </w:rPr>
        <w:t>.</w:t>
      </w:r>
    </w:p>
    <w:p w14:paraId="5561926C" w14:textId="4D02D280" w:rsidR="00D21B5B" w:rsidRPr="002D19E7" w:rsidRDefault="00D21B5B" w:rsidP="00AB6EC4">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O estudo identificou 739 </w:t>
      </w:r>
      <w:r w:rsidR="00121398">
        <w:rPr>
          <w:rFonts w:ascii="Times New Roman" w:hAnsi="Times New Roman" w:cs="Times New Roman"/>
          <w:lang w:val="pt-BR"/>
        </w:rPr>
        <w:t>doente</w:t>
      </w:r>
      <w:r w:rsidRPr="002D19E7">
        <w:rPr>
          <w:rFonts w:ascii="Times New Roman" w:hAnsi="Times New Roman" w:cs="Times New Roman"/>
          <w:lang w:val="pt-BR"/>
        </w:rPr>
        <w:t xml:space="preserve">s que preenchiam o critério de idade. As três causas mais comuns de </w:t>
      </w:r>
      <w:r w:rsidR="00AE1414">
        <w:rPr>
          <w:rFonts w:ascii="Times New Roman" w:hAnsi="Times New Roman" w:cs="Times New Roman"/>
          <w:lang w:val="pt-BR"/>
        </w:rPr>
        <w:t>trauma</w:t>
      </w:r>
      <w:r w:rsidRPr="002D19E7">
        <w:rPr>
          <w:rFonts w:ascii="Times New Roman" w:hAnsi="Times New Roman" w:cs="Times New Roman"/>
          <w:lang w:val="pt-BR"/>
        </w:rPr>
        <w:t xml:space="preserve"> foram pedestres atingidos por um veículo (41,4%), quedas de altura (25,7%) e acidentes com veículos motorizados (14,4%). A taxa geral de </w:t>
      </w:r>
      <w:proofErr w:type="spellStart"/>
      <w:r w:rsidR="0094703C">
        <w:rPr>
          <w:rFonts w:ascii="Times New Roman" w:hAnsi="Times New Roman" w:cs="Times New Roman"/>
          <w:lang w:val="pt-BR"/>
        </w:rPr>
        <w:t>sobretriagem</w:t>
      </w:r>
      <w:proofErr w:type="spellEnd"/>
      <w:r w:rsidRPr="002D19E7">
        <w:rPr>
          <w:rFonts w:ascii="Times New Roman" w:hAnsi="Times New Roman" w:cs="Times New Roman"/>
          <w:lang w:val="pt-BR"/>
        </w:rPr>
        <w:t xml:space="preserve"> foi de 30%.</w:t>
      </w:r>
    </w:p>
    <w:p w14:paraId="4323FF6A" w14:textId="70D1A96A" w:rsidR="00D21B5B" w:rsidRPr="002D19E7" w:rsidRDefault="00D21B5B" w:rsidP="00AB6EC4">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Os </w:t>
      </w:r>
      <w:r w:rsidR="00121398">
        <w:rPr>
          <w:rFonts w:ascii="Times New Roman" w:hAnsi="Times New Roman" w:cs="Times New Roman"/>
          <w:lang w:val="pt-BR"/>
        </w:rPr>
        <w:t>doente</w:t>
      </w:r>
      <w:r w:rsidRPr="002D19E7">
        <w:rPr>
          <w:rFonts w:ascii="Times New Roman" w:hAnsi="Times New Roman" w:cs="Times New Roman"/>
          <w:lang w:val="pt-BR"/>
        </w:rPr>
        <w:t xml:space="preserve">s foram categorizados em dois grupos. O primeiro grupo (n = 198) incluiu </w:t>
      </w:r>
      <w:r w:rsidR="00121398">
        <w:rPr>
          <w:rFonts w:ascii="Times New Roman" w:hAnsi="Times New Roman" w:cs="Times New Roman"/>
          <w:lang w:val="pt-BR"/>
        </w:rPr>
        <w:t>doente</w:t>
      </w:r>
      <w:r w:rsidRPr="002D19E7">
        <w:rPr>
          <w:rFonts w:ascii="Times New Roman" w:hAnsi="Times New Roman" w:cs="Times New Roman"/>
          <w:lang w:val="pt-BR"/>
        </w:rPr>
        <w:t xml:space="preserve">s que preenchiam os critérios padrão de triagem de trauma. Os critérios padrão incluem pressão arterial sistólica </w:t>
      </w:r>
      <w:r w:rsidRPr="002D19E7">
        <w:rPr>
          <w:rFonts w:ascii="Times New Roman" w:hAnsi="Times New Roman" w:cs="Times New Roman"/>
          <w:lang w:val="pt-BR"/>
        </w:rPr>
        <w:lastRenderedPageBreak/>
        <w:t>&lt;</w:t>
      </w:r>
      <w:r w:rsidR="00AE1414">
        <w:rPr>
          <w:rFonts w:ascii="Times New Roman" w:hAnsi="Times New Roman" w:cs="Times New Roman"/>
          <w:lang w:val="pt-BR"/>
        </w:rPr>
        <w:t xml:space="preserve"> </w:t>
      </w:r>
      <w:r w:rsidRPr="002D19E7">
        <w:rPr>
          <w:rFonts w:ascii="Times New Roman" w:hAnsi="Times New Roman" w:cs="Times New Roman"/>
          <w:lang w:val="pt-BR"/>
        </w:rPr>
        <w:t>90 mm</w:t>
      </w:r>
      <w:r w:rsidR="005708CD" w:rsidRPr="002D19E7">
        <w:rPr>
          <w:rFonts w:ascii="Times New Roman" w:hAnsi="Times New Roman" w:cs="Times New Roman"/>
          <w:lang w:val="pt-BR"/>
        </w:rPr>
        <w:t>H</w:t>
      </w:r>
      <w:r w:rsidRPr="002D19E7">
        <w:rPr>
          <w:rFonts w:ascii="Times New Roman" w:hAnsi="Times New Roman" w:cs="Times New Roman"/>
          <w:lang w:val="pt-BR"/>
        </w:rPr>
        <w:t>g, freq</w:t>
      </w:r>
      <w:r w:rsidR="00AE1414">
        <w:rPr>
          <w:rFonts w:ascii="Times New Roman" w:hAnsi="Times New Roman" w:cs="Times New Roman"/>
          <w:lang w:val="pt-BR"/>
        </w:rPr>
        <w:t>u</w:t>
      </w:r>
      <w:r w:rsidRPr="002D19E7">
        <w:rPr>
          <w:rFonts w:ascii="Times New Roman" w:hAnsi="Times New Roman" w:cs="Times New Roman"/>
          <w:lang w:val="pt-BR"/>
        </w:rPr>
        <w:t>ência cardíaca</w:t>
      </w:r>
      <w:r w:rsidR="00AE1414">
        <w:rPr>
          <w:rFonts w:ascii="Times New Roman" w:hAnsi="Times New Roman" w:cs="Times New Roman"/>
          <w:lang w:val="pt-BR"/>
        </w:rPr>
        <w:t xml:space="preserve"> </w:t>
      </w:r>
      <w:r w:rsidRPr="002D19E7">
        <w:rPr>
          <w:rFonts w:ascii="Times New Roman" w:hAnsi="Times New Roman" w:cs="Times New Roman"/>
          <w:lang w:val="pt-BR"/>
        </w:rPr>
        <w:t xml:space="preserve">&gt; 120 batimentos/minuto, </w:t>
      </w:r>
      <w:r w:rsidR="00AE1414">
        <w:rPr>
          <w:rFonts w:ascii="Times New Roman" w:hAnsi="Times New Roman" w:cs="Times New Roman"/>
          <w:lang w:val="pt-BR"/>
        </w:rPr>
        <w:t xml:space="preserve">escore na </w:t>
      </w:r>
      <w:r w:rsidRPr="002D19E7">
        <w:rPr>
          <w:rFonts w:ascii="Times New Roman" w:hAnsi="Times New Roman" w:cs="Times New Roman"/>
          <w:lang w:val="pt-BR"/>
        </w:rPr>
        <w:t>Escala de coma de Glasgow &lt;</w:t>
      </w:r>
      <w:r w:rsidR="00AE1414">
        <w:rPr>
          <w:rFonts w:ascii="Times New Roman" w:hAnsi="Times New Roman" w:cs="Times New Roman"/>
          <w:lang w:val="pt-BR"/>
        </w:rPr>
        <w:t xml:space="preserve"> </w:t>
      </w:r>
      <w:r w:rsidRPr="002D19E7">
        <w:rPr>
          <w:rFonts w:ascii="Times New Roman" w:hAnsi="Times New Roman" w:cs="Times New Roman"/>
          <w:lang w:val="pt-BR"/>
        </w:rPr>
        <w:t xml:space="preserve">9, ferimentos </w:t>
      </w:r>
      <w:r w:rsidR="00AE1414">
        <w:rPr>
          <w:rFonts w:ascii="Times New Roman" w:hAnsi="Times New Roman" w:cs="Times New Roman"/>
          <w:lang w:val="pt-BR"/>
        </w:rPr>
        <w:t>por projétil de arma de fogo</w:t>
      </w:r>
      <w:r w:rsidRPr="002D19E7">
        <w:rPr>
          <w:rFonts w:ascii="Times New Roman" w:hAnsi="Times New Roman" w:cs="Times New Roman"/>
          <w:lang w:val="pt-BR"/>
        </w:rPr>
        <w:t xml:space="preserve"> no pescoço ou no tronco ou qualquer </w:t>
      </w:r>
      <w:r w:rsidR="00121398">
        <w:rPr>
          <w:rFonts w:ascii="Times New Roman" w:hAnsi="Times New Roman" w:cs="Times New Roman"/>
          <w:lang w:val="pt-BR"/>
        </w:rPr>
        <w:t>doente</w:t>
      </w:r>
      <w:r w:rsidRPr="002D19E7">
        <w:rPr>
          <w:rFonts w:ascii="Times New Roman" w:hAnsi="Times New Roman" w:cs="Times New Roman"/>
          <w:lang w:val="pt-BR"/>
        </w:rPr>
        <w:t xml:space="preserve"> transferido recebendo </w:t>
      </w:r>
      <w:r w:rsidR="00AE1414">
        <w:rPr>
          <w:rFonts w:ascii="Times New Roman" w:hAnsi="Times New Roman" w:cs="Times New Roman"/>
          <w:lang w:val="pt-BR"/>
        </w:rPr>
        <w:t>componentes</w:t>
      </w:r>
      <w:r w:rsidRPr="002D19E7">
        <w:rPr>
          <w:rFonts w:ascii="Times New Roman" w:hAnsi="Times New Roman" w:cs="Times New Roman"/>
          <w:lang w:val="pt-BR"/>
        </w:rPr>
        <w:t xml:space="preserve"> sanguíneos. A mortalidade n</w:t>
      </w:r>
      <w:r w:rsidR="003F04D9" w:rsidRPr="002D19E7">
        <w:rPr>
          <w:rFonts w:ascii="Times New Roman" w:hAnsi="Times New Roman" w:cs="Times New Roman"/>
          <w:lang w:val="pt-BR"/>
        </w:rPr>
        <w:t>este</w:t>
      </w:r>
      <w:r w:rsidRPr="002D19E7">
        <w:rPr>
          <w:rFonts w:ascii="Times New Roman" w:hAnsi="Times New Roman" w:cs="Times New Roman"/>
          <w:lang w:val="pt-BR"/>
        </w:rPr>
        <w:t xml:space="preserve"> grupo</w:t>
      </w:r>
      <w:r w:rsidR="005708CD" w:rsidRPr="002D19E7">
        <w:rPr>
          <w:rFonts w:ascii="Times New Roman" w:hAnsi="Times New Roman" w:cs="Times New Roman"/>
          <w:lang w:val="pt-BR"/>
        </w:rPr>
        <w:t xml:space="preserve"> </w:t>
      </w:r>
      <w:r w:rsidR="00894E81" w:rsidRPr="002D19E7">
        <w:rPr>
          <w:rFonts w:ascii="Times New Roman" w:hAnsi="Times New Roman" w:cs="Times New Roman"/>
          <w:lang w:val="pt-BR"/>
        </w:rPr>
        <w:t>de</w:t>
      </w:r>
      <w:r w:rsidRPr="002D19E7">
        <w:rPr>
          <w:rFonts w:ascii="Times New Roman" w:hAnsi="Times New Roman" w:cs="Times New Roman"/>
          <w:lang w:val="pt-BR"/>
        </w:rPr>
        <w:t xml:space="preserve"> foi de 60,1%. A taxa de </w:t>
      </w:r>
      <w:proofErr w:type="spellStart"/>
      <w:r w:rsidR="0094703C">
        <w:rPr>
          <w:rFonts w:ascii="Times New Roman" w:hAnsi="Times New Roman" w:cs="Times New Roman"/>
          <w:lang w:val="pt-BR"/>
        </w:rPr>
        <w:t>sobretriagem</w:t>
      </w:r>
      <w:proofErr w:type="spellEnd"/>
      <w:r w:rsidRPr="002D19E7">
        <w:rPr>
          <w:rFonts w:ascii="Times New Roman" w:hAnsi="Times New Roman" w:cs="Times New Roman"/>
          <w:lang w:val="pt-BR"/>
        </w:rPr>
        <w:t xml:space="preserve"> para este grupo foi de apenas 4%.</w:t>
      </w:r>
    </w:p>
    <w:p w14:paraId="39465049" w14:textId="755E3CCC" w:rsidR="004E64B1" w:rsidRPr="002D19E7" w:rsidRDefault="00D21B5B" w:rsidP="00AB6EC4">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O segundo grupo de 541 </w:t>
      </w:r>
      <w:r w:rsidR="00121398">
        <w:rPr>
          <w:rFonts w:ascii="Times New Roman" w:hAnsi="Times New Roman" w:cs="Times New Roman"/>
          <w:lang w:val="pt-BR"/>
        </w:rPr>
        <w:t>doente</w:t>
      </w:r>
      <w:r w:rsidRPr="002D19E7">
        <w:rPr>
          <w:rFonts w:ascii="Times New Roman" w:hAnsi="Times New Roman" w:cs="Times New Roman"/>
          <w:lang w:val="pt-BR"/>
        </w:rPr>
        <w:t xml:space="preserve">s </w:t>
      </w:r>
      <w:r w:rsidR="0094703C">
        <w:rPr>
          <w:rFonts w:ascii="Times New Roman" w:hAnsi="Times New Roman" w:cs="Times New Roman"/>
          <w:lang w:val="pt-BR"/>
        </w:rPr>
        <w:t>foi de</w:t>
      </w:r>
      <w:r w:rsidRPr="002D19E7">
        <w:rPr>
          <w:rFonts w:ascii="Times New Roman" w:hAnsi="Times New Roman" w:cs="Times New Roman"/>
          <w:lang w:val="pt-BR"/>
        </w:rPr>
        <w:t xml:space="preserve"> ativações da equipe de trauma por idade</w:t>
      </w:r>
      <w:r w:rsidR="004E64B1" w:rsidRPr="002D19E7">
        <w:rPr>
          <w:rFonts w:ascii="Times New Roman" w:hAnsi="Times New Roman" w:cs="Times New Roman"/>
          <w:lang w:val="pt-BR"/>
        </w:rPr>
        <w:t xml:space="preserve"> </w:t>
      </w:r>
      <w:r w:rsidRPr="002D19E7">
        <w:rPr>
          <w:rFonts w:ascii="Times New Roman" w:hAnsi="Times New Roman" w:cs="Times New Roman"/>
          <w:lang w:val="pt-BR"/>
        </w:rPr>
        <w:t>&gt; 70. Este grupo teve uma taxa de mortalidade de 9,1%. Embora este grupo apresentasse uma taxa de mortalidade mais baixa, ainda representava uma população com lesões traumáticas significativas. Mais da metade (56,6%) exig</w:t>
      </w:r>
      <w:r w:rsidR="0094703C">
        <w:rPr>
          <w:rFonts w:ascii="Times New Roman" w:hAnsi="Times New Roman" w:cs="Times New Roman"/>
          <w:lang w:val="pt-BR"/>
        </w:rPr>
        <w:t>iu</w:t>
      </w:r>
      <w:r w:rsidRPr="002D19E7">
        <w:rPr>
          <w:rFonts w:ascii="Times New Roman" w:hAnsi="Times New Roman" w:cs="Times New Roman"/>
          <w:lang w:val="pt-BR"/>
        </w:rPr>
        <w:t xml:space="preserve"> admissão na Unidade de Terapia Intensiva. Apenas 50% desse grupo recebeu alta diretamente para casa; 22,2% foram para um centro de reabilitação primeiro e 15,9% receberam alta para instalações de enfermagem especializadas. Quarenta </w:t>
      </w:r>
      <w:r w:rsidR="00121398">
        <w:rPr>
          <w:rFonts w:ascii="Times New Roman" w:hAnsi="Times New Roman" w:cs="Times New Roman"/>
          <w:lang w:val="pt-BR"/>
        </w:rPr>
        <w:t>doente</w:t>
      </w:r>
      <w:r w:rsidRPr="002D19E7">
        <w:rPr>
          <w:rFonts w:ascii="Times New Roman" w:hAnsi="Times New Roman" w:cs="Times New Roman"/>
          <w:lang w:val="pt-BR"/>
        </w:rPr>
        <w:t xml:space="preserve">s (7,4%) foram </w:t>
      </w:r>
      <w:r w:rsidR="004E64B1" w:rsidRPr="002D19E7">
        <w:rPr>
          <w:rFonts w:ascii="Times New Roman" w:hAnsi="Times New Roman" w:cs="Times New Roman"/>
          <w:lang w:val="pt-BR"/>
        </w:rPr>
        <w:t>encaminhados par</w:t>
      </w:r>
      <w:r w:rsidRPr="002D19E7">
        <w:rPr>
          <w:rFonts w:ascii="Times New Roman" w:hAnsi="Times New Roman" w:cs="Times New Roman"/>
          <w:lang w:val="pt-BR"/>
        </w:rPr>
        <w:t>a</w:t>
      </w:r>
      <w:r w:rsidR="004E64B1" w:rsidRPr="002D19E7">
        <w:rPr>
          <w:rFonts w:ascii="Times New Roman" w:hAnsi="Times New Roman" w:cs="Times New Roman"/>
          <w:lang w:val="pt-BR"/>
        </w:rPr>
        <w:t xml:space="preserve"> cirurgia de emergência</w:t>
      </w:r>
      <w:r w:rsidRPr="002D19E7">
        <w:rPr>
          <w:rFonts w:ascii="Times New Roman" w:hAnsi="Times New Roman" w:cs="Times New Roman"/>
          <w:lang w:val="pt-BR"/>
        </w:rPr>
        <w:t xml:space="preserve">, 9,1% morreram e 13,3% necessitaram de intubação endotraqueal na sala de emergência. A taxa de </w:t>
      </w:r>
      <w:proofErr w:type="spellStart"/>
      <w:r w:rsidR="0094703C">
        <w:rPr>
          <w:rFonts w:ascii="Times New Roman" w:hAnsi="Times New Roman" w:cs="Times New Roman"/>
          <w:lang w:val="pt-BR"/>
        </w:rPr>
        <w:t>sobre</w:t>
      </w:r>
      <w:r w:rsidRPr="002D19E7">
        <w:rPr>
          <w:rFonts w:ascii="Times New Roman" w:hAnsi="Times New Roman" w:cs="Times New Roman"/>
          <w:lang w:val="pt-BR"/>
        </w:rPr>
        <w:t>triagem</w:t>
      </w:r>
      <w:proofErr w:type="spellEnd"/>
      <w:r w:rsidRPr="002D19E7">
        <w:rPr>
          <w:rFonts w:ascii="Times New Roman" w:hAnsi="Times New Roman" w:cs="Times New Roman"/>
          <w:lang w:val="pt-BR"/>
        </w:rPr>
        <w:t xml:space="preserve"> para este grupo foi calculada em 39,6%, enquanto para o grupo de ativação padrão a taxa de </w:t>
      </w:r>
      <w:proofErr w:type="spellStart"/>
      <w:r w:rsidRPr="002D19E7">
        <w:rPr>
          <w:rFonts w:ascii="Times New Roman" w:hAnsi="Times New Roman" w:cs="Times New Roman"/>
          <w:lang w:val="pt-BR"/>
        </w:rPr>
        <w:t>s</w:t>
      </w:r>
      <w:r w:rsidR="0094703C">
        <w:rPr>
          <w:rFonts w:ascii="Times New Roman" w:hAnsi="Times New Roman" w:cs="Times New Roman"/>
          <w:lang w:val="pt-BR"/>
        </w:rPr>
        <w:t>obre</w:t>
      </w:r>
      <w:r w:rsidRPr="002D19E7">
        <w:rPr>
          <w:rFonts w:ascii="Times New Roman" w:hAnsi="Times New Roman" w:cs="Times New Roman"/>
          <w:lang w:val="pt-BR"/>
        </w:rPr>
        <w:t>triagem</w:t>
      </w:r>
      <w:proofErr w:type="spellEnd"/>
      <w:r w:rsidRPr="002D19E7">
        <w:rPr>
          <w:rFonts w:ascii="Times New Roman" w:hAnsi="Times New Roman" w:cs="Times New Roman"/>
          <w:lang w:val="pt-BR"/>
        </w:rPr>
        <w:t xml:space="preserve"> foi de 4%.</w:t>
      </w:r>
    </w:p>
    <w:p w14:paraId="0CC0646F" w14:textId="10472A65" w:rsidR="004E64B1" w:rsidRPr="002D19E7" w:rsidRDefault="004E64B1" w:rsidP="00AB6EC4">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Freq</w:t>
      </w:r>
      <w:r w:rsidR="0094703C">
        <w:rPr>
          <w:rFonts w:ascii="Times New Roman" w:hAnsi="Times New Roman" w:cs="Times New Roman"/>
          <w:lang w:val="pt-BR"/>
        </w:rPr>
        <w:t>u</w:t>
      </w:r>
      <w:r w:rsidRPr="002D19E7">
        <w:rPr>
          <w:rFonts w:ascii="Times New Roman" w:hAnsi="Times New Roman" w:cs="Times New Roman"/>
          <w:lang w:val="pt-BR"/>
        </w:rPr>
        <w:t xml:space="preserve">entemente, </w:t>
      </w:r>
      <w:r w:rsidR="00121398">
        <w:rPr>
          <w:rFonts w:ascii="Times New Roman" w:hAnsi="Times New Roman" w:cs="Times New Roman"/>
          <w:lang w:val="pt-BR"/>
        </w:rPr>
        <w:t>doente</w:t>
      </w:r>
      <w:r w:rsidRPr="002D19E7">
        <w:rPr>
          <w:rFonts w:ascii="Times New Roman" w:hAnsi="Times New Roman" w:cs="Times New Roman"/>
          <w:lang w:val="pt-BR"/>
        </w:rPr>
        <w:t xml:space="preserve">s idosos com trauma não atendem aos critérios fisiológicos padrão para a ativação da equipe de trauma. Os sinais vitais iniciais podem estar dentro dos limites "normais" por várias razões, apesar de haver lesões graves subjacentes. </w:t>
      </w:r>
      <w:proofErr w:type="spellStart"/>
      <w:r w:rsidRPr="002D19E7">
        <w:rPr>
          <w:rFonts w:ascii="Times New Roman" w:hAnsi="Times New Roman" w:cs="Times New Roman"/>
          <w:lang w:val="pt-BR"/>
        </w:rPr>
        <w:t>Comorbidades</w:t>
      </w:r>
      <w:proofErr w:type="spellEnd"/>
      <w:r w:rsidRPr="002D19E7">
        <w:rPr>
          <w:rFonts w:ascii="Times New Roman" w:hAnsi="Times New Roman" w:cs="Times New Roman"/>
          <w:lang w:val="pt-BR"/>
        </w:rPr>
        <w:t xml:space="preserve"> como hipertensão controlada por </w:t>
      </w:r>
      <w:r w:rsidR="00894E81" w:rsidRPr="002D19E7">
        <w:rPr>
          <w:rFonts w:ascii="Times New Roman" w:hAnsi="Times New Roman" w:cs="Times New Roman"/>
          <w:lang w:val="pt-BR"/>
        </w:rPr>
        <w:t xml:space="preserve">beta </w:t>
      </w:r>
      <w:r w:rsidRPr="002D19E7">
        <w:rPr>
          <w:rFonts w:ascii="Times New Roman" w:hAnsi="Times New Roman" w:cs="Times New Roman"/>
          <w:lang w:val="pt-BR"/>
        </w:rPr>
        <w:t xml:space="preserve">bloqueadores, vasos ateroscleróticos que limitam a vasoconstrição e o potencial de desidratação crônica podem contribuir para uma resposta tardia à perda de sangue. Os autores apontam, com razão, que vários outros fatores, principalmente a idade, podem confundir a avaliação do </w:t>
      </w:r>
      <w:r w:rsidR="00121398">
        <w:rPr>
          <w:rFonts w:ascii="Times New Roman" w:hAnsi="Times New Roman" w:cs="Times New Roman"/>
          <w:lang w:val="pt-BR"/>
        </w:rPr>
        <w:t>doente</w:t>
      </w:r>
      <w:r w:rsidRPr="002D19E7">
        <w:rPr>
          <w:rFonts w:ascii="Times New Roman" w:hAnsi="Times New Roman" w:cs="Times New Roman"/>
          <w:lang w:val="pt-BR"/>
        </w:rPr>
        <w:t xml:space="preserve"> traumatizado e, portanto, a decisão de ativar a equipe de trauma. Este documento apoia o uso dos critérios de </w:t>
      </w:r>
      <w:r w:rsidR="00894E81" w:rsidRPr="002D19E7">
        <w:rPr>
          <w:rFonts w:ascii="Times New Roman" w:hAnsi="Times New Roman" w:cs="Times New Roman"/>
          <w:lang w:val="pt-BR"/>
        </w:rPr>
        <w:t>a</w:t>
      </w:r>
      <w:r w:rsidRPr="002D19E7">
        <w:rPr>
          <w:rFonts w:ascii="Times New Roman" w:hAnsi="Times New Roman" w:cs="Times New Roman"/>
          <w:lang w:val="pt-BR"/>
        </w:rPr>
        <w:t>tivação da equipe de trauma que inclu</w:t>
      </w:r>
      <w:r w:rsidR="0094703C">
        <w:rPr>
          <w:rFonts w:ascii="Times New Roman" w:hAnsi="Times New Roman" w:cs="Times New Roman"/>
          <w:lang w:val="pt-BR"/>
        </w:rPr>
        <w:t>a</w:t>
      </w:r>
      <w:r w:rsidRPr="002D19E7">
        <w:rPr>
          <w:rFonts w:ascii="Times New Roman" w:hAnsi="Times New Roman" w:cs="Times New Roman"/>
          <w:lang w:val="pt-BR"/>
        </w:rPr>
        <w:t xml:space="preserve">m a idade como critério. Publicações anteriores (Recursos para o tratamento ideal do </w:t>
      </w:r>
      <w:r w:rsidR="00121398">
        <w:rPr>
          <w:rFonts w:ascii="Times New Roman" w:hAnsi="Times New Roman" w:cs="Times New Roman"/>
          <w:lang w:val="pt-BR"/>
        </w:rPr>
        <w:t>doente</w:t>
      </w:r>
      <w:r w:rsidRPr="002D19E7">
        <w:rPr>
          <w:rFonts w:ascii="Times New Roman" w:hAnsi="Times New Roman" w:cs="Times New Roman"/>
          <w:lang w:val="pt-BR"/>
        </w:rPr>
        <w:t xml:space="preserve"> </w:t>
      </w:r>
      <w:r w:rsidR="0094703C">
        <w:rPr>
          <w:rFonts w:ascii="Times New Roman" w:hAnsi="Times New Roman" w:cs="Times New Roman"/>
          <w:lang w:val="pt-BR"/>
        </w:rPr>
        <w:t>traumatizado</w:t>
      </w:r>
      <w:r w:rsidR="00894E81" w:rsidRPr="002D19E7">
        <w:rPr>
          <w:rFonts w:ascii="Times New Roman" w:hAnsi="Times New Roman" w:cs="Times New Roman"/>
          <w:lang w:val="pt-BR"/>
        </w:rPr>
        <w:t xml:space="preserve"> do Comitê de Trauma do Colégio Americano de Cirurgiões)</w:t>
      </w:r>
      <w:r w:rsidRPr="002D19E7">
        <w:rPr>
          <w:rFonts w:ascii="Times New Roman" w:hAnsi="Times New Roman" w:cs="Times New Roman"/>
          <w:lang w:val="pt-BR"/>
        </w:rPr>
        <w:t xml:space="preserve"> recomendam taxas aceitáveis ​​de triagem entre 25% e 35%. Este centro de trauma urbano considera que a taxa de triagem de 39,6% d</w:t>
      </w:r>
      <w:r w:rsidR="00894E81" w:rsidRPr="002D19E7">
        <w:rPr>
          <w:rFonts w:ascii="Times New Roman" w:hAnsi="Times New Roman" w:cs="Times New Roman"/>
          <w:lang w:val="pt-BR"/>
        </w:rPr>
        <w:t>entro dos</w:t>
      </w:r>
      <w:r w:rsidRPr="002D19E7">
        <w:rPr>
          <w:rFonts w:ascii="Times New Roman" w:hAnsi="Times New Roman" w:cs="Times New Roman"/>
          <w:lang w:val="pt-BR"/>
        </w:rPr>
        <w:t xml:space="preserve"> critérios de </w:t>
      </w:r>
      <w:r w:rsidR="00894E81" w:rsidRPr="002D19E7">
        <w:rPr>
          <w:rFonts w:ascii="Times New Roman" w:hAnsi="Times New Roman" w:cs="Times New Roman"/>
          <w:lang w:val="pt-BR"/>
        </w:rPr>
        <w:t>acionamento da equipe de trauma</w:t>
      </w:r>
      <w:r w:rsidRPr="002D19E7">
        <w:rPr>
          <w:rFonts w:ascii="Times New Roman" w:hAnsi="Times New Roman" w:cs="Times New Roman"/>
          <w:lang w:val="pt-BR"/>
        </w:rPr>
        <w:t xml:space="preserve"> não é excessiva e aceitável para ajudar a diminuir a mortalidade nessa população vulnerável.</w:t>
      </w:r>
    </w:p>
    <w:p w14:paraId="1F6F5693" w14:textId="5C69EB56" w:rsidR="00894E81" w:rsidRPr="002D19E7" w:rsidRDefault="00894E81" w:rsidP="004E64B1">
      <w:pPr>
        <w:pStyle w:val="SemEspaamento"/>
        <w:ind w:firstLine="360"/>
        <w:jc w:val="both"/>
        <w:rPr>
          <w:rFonts w:ascii="Times New Roman" w:hAnsi="Times New Roman" w:cs="Times New Roman"/>
          <w:lang w:val="pt-BR"/>
        </w:rPr>
      </w:pPr>
    </w:p>
    <w:p w14:paraId="66763541" w14:textId="77777777" w:rsidR="00666E03" w:rsidRPr="002D19E7" w:rsidRDefault="00666E03" w:rsidP="004E64B1">
      <w:pPr>
        <w:pStyle w:val="SemEspaamento"/>
        <w:ind w:firstLine="360"/>
        <w:jc w:val="both"/>
        <w:rPr>
          <w:rFonts w:ascii="Times New Roman" w:hAnsi="Times New Roman" w:cs="Times New Roman"/>
          <w:lang w:val="pt-BR"/>
        </w:rPr>
      </w:pPr>
    </w:p>
    <w:p w14:paraId="1B1A323B" w14:textId="24333C15" w:rsidR="00666E03" w:rsidRPr="002D19E7" w:rsidRDefault="00C47435" w:rsidP="00AB6EC4">
      <w:pPr>
        <w:pStyle w:val="PargrafodaLista"/>
        <w:numPr>
          <w:ilvl w:val="0"/>
          <w:numId w:val="21"/>
        </w:numPr>
        <w:spacing w:after="0"/>
        <w:jc w:val="both"/>
        <w:rPr>
          <w:rFonts w:ascii="Times New Roman" w:eastAsia="Times New Roman" w:hAnsi="Times New Roman" w:cs="Times New Roman"/>
        </w:rPr>
      </w:pPr>
      <w:r w:rsidRPr="00C47435">
        <w:rPr>
          <w:rFonts w:ascii="Times New Roman" w:hAnsi="Times New Roman" w:cs="Times New Roman"/>
          <w:b/>
          <w:lang w:val="pt-BR"/>
        </w:rPr>
        <w:t xml:space="preserve">Qual o impacto </w:t>
      </w:r>
      <w:r w:rsidR="004B54F7">
        <w:rPr>
          <w:rFonts w:ascii="Times New Roman" w:hAnsi="Times New Roman" w:cs="Times New Roman"/>
          <w:b/>
          <w:lang w:val="pt-BR"/>
        </w:rPr>
        <w:t>da presença de</w:t>
      </w:r>
      <w:r w:rsidRPr="00C47435">
        <w:rPr>
          <w:rFonts w:ascii="Times New Roman" w:hAnsi="Times New Roman" w:cs="Times New Roman"/>
          <w:b/>
          <w:lang w:val="pt-BR"/>
        </w:rPr>
        <w:t xml:space="preserve"> médicos no </w:t>
      </w:r>
      <w:r>
        <w:rPr>
          <w:rFonts w:ascii="Times New Roman" w:hAnsi="Times New Roman" w:cs="Times New Roman"/>
          <w:b/>
          <w:lang w:val="pt-BR"/>
        </w:rPr>
        <w:t xml:space="preserve">atendimento </w:t>
      </w:r>
      <w:r w:rsidRPr="00C47435">
        <w:rPr>
          <w:rFonts w:ascii="Times New Roman" w:hAnsi="Times New Roman" w:cs="Times New Roman"/>
          <w:b/>
          <w:lang w:val="pt-BR"/>
        </w:rPr>
        <w:t xml:space="preserve">pré-hospitalar para </w:t>
      </w:r>
      <w:r>
        <w:rPr>
          <w:rFonts w:ascii="Times New Roman" w:hAnsi="Times New Roman" w:cs="Times New Roman"/>
          <w:b/>
          <w:lang w:val="pt-BR"/>
        </w:rPr>
        <w:t xml:space="preserve">doentes </w:t>
      </w:r>
      <w:r w:rsidRPr="00C47435">
        <w:rPr>
          <w:rFonts w:ascii="Times New Roman" w:hAnsi="Times New Roman" w:cs="Times New Roman"/>
          <w:b/>
          <w:lang w:val="pt-BR"/>
        </w:rPr>
        <w:t xml:space="preserve">que necessitam de cuidados </w:t>
      </w:r>
      <w:r>
        <w:rPr>
          <w:rFonts w:ascii="Times New Roman" w:hAnsi="Times New Roman" w:cs="Times New Roman"/>
          <w:b/>
          <w:lang w:val="pt-BR"/>
        </w:rPr>
        <w:t>críticos</w:t>
      </w:r>
      <w:r w:rsidRPr="00C47435">
        <w:rPr>
          <w:rFonts w:ascii="Times New Roman" w:hAnsi="Times New Roman" w:cs="Times New Roman"/>
          <w:b/>
          <w:lang w:val="pt-BR"/>
        </w:rPr>
        <w:t>?</w:t>
      </w:r>
      <w:r>
        <w:rPr>
          <w:rFonts w:ascii="Times New Roman" w:hAnsi="Times New Roman" w:cs="Times New Roman"/>
          <w:b/>
          <w:lang w:val="pt-BR"/>
        </w:rPr>
        <w:t xml:space="preserve"> </w:t>
      </w:r>
      <w:r w:rsidR="00666E03" w:rsidRPr="00C47435">
        <w:rPr>
          <w:rFonts w:ascii="Times New Roman" w:hAnsi="Times New Roman" w:cs="Times New Roman"/>
          <w:b/>
          <w:lang w:val="pt-BR"/>
        </w:rPr>
        <w:t xml:space="preserve">– </w:t>
      </w:r>
      <w:r w:rsidRPr="00C47435">
        <w:rPr>
          <w:rFonts w:ascii="Times New Roman" w:hAnsi="Times New Roman" w:cs="Times New Roman"/>
          <w:b/>
          <w:lang w:val="pt-BR"/>
        </w:rPr>
        <w:t>Uma visão geral das revisões</w:t>
      </w:r>
      <w:r w:rsidR="00666E03" w:rsidRPr="00C47435">
        <w:rPr>
          <w:rFonts w:ascii="Times New Roman" w:hAnsi="Times New Roman" w:cs="Times New Roman"/>
          <w:lang w:val="pt-BR"/>
        </w:rPr>
        <w:t xml:space="preserve">. Valentin G, Jensen LG.  </w:t>
      </w:r>
      <w:r w:rsidR="00666E03" w:rsidRPr="002D19E7">
        <w:rPr>
          <w:rFonts w:ascii="Times New Roman" w:hAnsi="Times New Roman" w:cs="Times New Roman"/>
        </w:rPr>
        <w:t xml:space="preserve">International J. Tech Assessment Health Care </w:t>
      </w:r>
      <w:proofErr w:type="gramStart"/>
      <w:r w:rsidR="00666E03" w:rsidRPr="002D19E7">
        <w:rPr>
          <w:rFonts w:ascii="Times New Roman" w:hAnsi="Times New Roman" w:cs="Times New Roman"/>
        </w:rPr>
        <w:t>2019;35:27</w:t>
      </w:r>
      <w:proofErr w:type="gramEnd"/>
      <w:r w:rsidR="00666E03" w:rsidRPr="002D19E7">
        <w:rPr>
          <w:rFonts w:ascii="Times New Roman" w:hAnsi="Times New Roman" w:cs="Times New Roman"/>
        </w:rPr>
        <w:t>-35.</w:t>
      </w:r>
    </w:p>
    <w:p w14:paraId="3B526B70" w14:textId="77777777" w:rsidR="00894E81" w:rsidRPr="002D19E7" w:rsidRDefault="00894E81" w:rsidP="00894E81">
      <w:pPr>
        <w:pStyle w:val="SemEspaamento"/>
        <w:ind w:firstLine="360"/>
        <w:jc w:val="both"/>
        <w:rPr>
          <w:rFonts w:ascii="Times New Roman" w:hAnsi="Times New Roman" w:cs="Times New Roman"/>
        </w:rPr>
      </w:pPr>
    </w:p>
    <w:p w14:paraId="63F085A5" w14:textId="01B3DB73" w:rsidR="00894E81" w:rsidRPr="002D19E7" w:rsidRDefault="00894E81" w:rsidP="00894E81">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Em todo o mundo, os sistemas </w:t>
      </w:r>
      <w:r w:rsidR="0008358F" w:rsidRPr="002D19E7">
        <w:rPr>
          <w:rFonts w:ascii="Times New Roman" w:hAnsi="Times New Roman" w:cs="Times New Roman"/>
          <w:lang w:val="pt-BR"/>
        </w:rPr>
        <w:t xml:space="preserve">de emergência </w:t>
      </w:r>
      <w:r w:rsidRPr="002D19E7">
        <w:rPr>
          <w:rFonts w:ascii="Times New Roman" w:hAnsi="Times New Roman" w:cs="Times New Roman"/>
          <w:lang w:val="pt-BR"/>
        </w:rPr>
        <w:t xml:space="preserve">são estruturados em muitas configurações diferentes. Alguns usam apenas </w:t>
      </w:r>
      <w:r w:rsidR="00604A39">
        <w:rPr>
          <w:rFonts w:ascii="Times New Roman" w:hAnsi="Times New Roman" w:cs="Times New Roman"/>
          <w:lang w:val="pt-BR"/>
        </w:rPr>
        <w:t>profissionais</w:t>
      </w:r>
      <w:r w:rsidRPr="002D19E7">
        <w:rPr>
          <w:rFonts w:ascii="Times New Roman" w:hAnsi="Times New Roman" w:cs="Times New Roman"/>
          <w:lang w:val="pt-BR"/>
        </w:rPr>
        <w:t xml:space="preserve"> de Suporte Básico de Vida (BLS), outros oferecem Suporte Avançado de Vida (</w:t>
      </w:r>
      <w:r w:rsidR="0008358F" w:rsidRPr="002D19E7">
        <w:rPr>
          <w:rFonts w:ascii="Times New Roman" w:hAnsi="Times New Roman" w:cs="Times New Roman"/>
          <w:lang w:val="pt-BR"/>
        </w:rPr>
        <w:t>SAV</w:t>
      </w:r>
      <w:r w:rsidRPr="002D19E7">
        <w:rPr>
          <w:rFonts w:ascii="Times New Roman" w:hAnsi="Times New Roman" w:cs="Times New Roman"/>
          <w:lang w:val="pt-BR"/>
        </w:rPr>
        <w:t>) usando paramédicos e algumas equipes com médicos (</w:t>
      </w:r>
      <w:proofErr w:type="spellStart"/>
      <w:r w:rsidRPr="002D19E7">
        <w:rPr>
          <w:rFonts w:ascii="Times New Roman" w:hAnsi="Times New Roman" w:cs="Times New Roman"/>
          <w:lang w:val="pt-BR"/>
        </w:rPr>
        <w:t>anestesiologistas</w:t>
      </w:r>
      <w:proofErr w:type="spellEnd"/>
      <w:r w:rsidRPr="002D19E7">
        <w:rPr>
          <w:rFonts w:ascii="Times New Roman" w:hAnsi="Times New Roman" w:cs="Times New Roman"/>
          <w:lang w:val="pt-BR"/>
        </w:rPr>
        <w:t xml:space="preserve"> ou médicos de medicina de emergência) ou uma combinação de </w:t>
      </w:r>
      <w:r w:rsidR="00604A39">
        <w:rPr>
          <w:rFonts w:ascii="Times New Roman" w:hAnsi="Times New Roman" w:cs="Times New Roman"/>
          <w:lang w:val="pt-BR"/>
        </w:rPr>
        <w:t>profissionais</w:t>
      </w:r>
      <w:r w:rsidRPr="002D19E7">
        <w:rPr>
          <w:rFonts w:ascii="Times New Roman" w:hAnsi="Times New Roman" w:cs="Times New Roman"/>
          <w:lang w:val="pt-BR"/>
        </w:rPr>
        <w:t xml:space="preserve"> não médicos e médicos. Os autores deste artigo realizaram uma revisão da literatura médica para determinar se os médicos diminuem a mortalidade quando </w:t>
      </w:r>
      <w:r w:rsidR="00EB742E">
        <w:rPr>
          <w:rFonts w:ascii="Times New Roman" w:hAnsi="Times New Roman" w:cs="Times New Roman"/>
          <w:lang w:val="pt-BR"/>
        </w:rPr>
        <w:t xml:space="preserve">presentes no atendimento </w:t>
      </w:r>
      <w:r w:rsidRPr="002D19E7">
        <w:rPr>
          <w:rFonts w:ascii="Times New Roman" w:hAnsi="Times New Roman" w:cs="Times New Roman"/>
          <w:lang w:val="pt-BR"/>
        </w:rPr>
        <w:t xml:space="preserve">de </w:t>
      </w:r>
      <w:r w:rsidR="00121398">
        <w:rPr>
          <w:rFonts w:ascii="Times New Roman" w:hAnsi="Times New Roman" w:cs="Times New Roman"/>
          <w:lang w:val="pt-BR"/>
        </w:rPr>
        <w:t>doente</w:t>
      </w:r>
      <w:r w:rsidRPr="002D19E7">
        <w:rPr>
          <w:rFonts w:ascii="Times New Roman" w:hAnsi="Times New Roman" w:cs="Times New Roman"/>
          <w:lang w:val="pt-BR"/>
        </w:rPr>
        <w:t>s críticos na fase pré-hospitalar dos cuidados médicos.</w:t>
      </w:r>
    </w:p>
    <w:p w14:paraId="1D44029B" w14:textId="2F6034D4" w:rsidR="00894E81" w:rsidRPr="002D19E7" w:rsidRDefault="00894E81" w:rsidP="00894E81">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Os autores realizaram uma pesquisa bibliográfica para</w:t>
      </w:r>
      <w:r w:rsidR="00CA6A61" w:rsidRPr="002D19E7">
        <w:rPr>
          <w:rFonts w:ascii="Times New Roman" w:hAnsi="Times New Roman" w:cs="Times New Roman"/>
          <w:lang w:val="pt-BR"/>
        </w:rPr>
        <w:t xml:space="preserve"> revis</w:t>
      </w:r>
      <w:r w:rsidR="00EA5903" w:rsidRPr="002D19E7">
        <w:rPr>
          <w:rFonts w:ascii="Times New Roman" w:hAnsi="Times New Roman" w:cs="Times New Roman"/>
          <w:lang w:val="pt-BR"/>
        </w:rPr>
        <w:t>ão de</w:t>
      </w:r>
      <w:r w:rsidRPr="002D19E7">
        <w:rPr>
          <w:rFonts w:ascii="Times New Roman" w:hAnsi="Times New Roman" w:cs="Times New Roman"/>
          <w:lang w:val="pt-BR"/>
        </w:rPr>
        <w:t xml:space="preserve"> artigos que avaliaram o impacto do atendimento pré-hospitalar em nível médico em comparação com o atendimento não médico. O uso das bases de dados EMBASE e MEDLINE </w:t>
      </w:r>
      <w:r w:rsidR="00EA5903" w:rsidRPr="002D19E7">
        <w:rPr>
          <w:rFonts w:ascii="Times New Roman" w:hAnsi="Times New Roman" w:cs="Times New Roman"/>
          <w:lang w:val="pt-BR"/>
        </w:rPr>
        <w:t>selecionou</w:t>
      </w:r>
      <w:r w:rsidRPr="002D19E7">
        <w:rPr>
          <w:rFonts w:ascii="Times New Roman" w:hAnsi="Times New Roman" w:cs="Times New Roman"/>
          <w:lang w:val="pt-BR"/>
        </w:rPr>
        <w:t xml:space="preserve"> mais de 1600 referências. Após revisar as publicações identificadas para inclusão e viés do estudo, 10 artigos atenderam aos critérios de inclusão deste estudo.</w:t>
      </w:r>
    </w:p>
    <w:p w14:paraId="5524AADB" w14:textId="77777777" w:rsidR="00894E81" w:rsidRPr="002D19E7" w:rsidRDefault="00894E81" w:rsidP="00894E81">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Os autores analisaram os resultados em cinco (5) categorias de resposta crítica, identificadas pelo Conselho Europeu de Reanimação:</w:t>
      </w:r>
    </w:p>
    <w:p w14:paraId="7ABB7663" w14:textId="497DC8EA" w:rsidR="00894E81" w:rsidRPr="002D19E7" w:rsidRDefault="00894E81" w:rsidP="00EA5903">
      <w:pPr>
        <w:pStyle w:val="SemEspaamento"/>
        <w:numPr>
          <w:ilvl w:val="0"/>
          <w:numId w:val="25"/>
        </w:numPr>
        <w:jc w:val="both"/>
        <w:rPr>
          <w:rFonts w:ascii="Times New Roman" w:hAnsi="Times New Roman" w:cs="Times New Roman"/>
        </w:rPr>
      </w:pPr>
      <w:r w:rsidRPr="002D19E7">
        <w:rPr>
          <w:rFonts w:ascii="Times New Roman" w:hAnsi="Times New Roman" w:cs="Times New Roman"/>
        </w:rPr>
        <w:t xml:space="preserve">Parada </w:t>
      </w:r>
      <w:proofErr w:type="spellStart"/>
      <w:r w:rsidRPr="002D19E7">
        <w:rPr>
          <w:rFonts w:ascii="Times New Roman" w:hAnsi="Times New Roman" w:cs="Times New Roman"/>
        </w:rPr>
        <w:t>cardíaca</w:t>
      </w:r>
      <w:proofErr w:type="spellEnd"/>
      <w:r w:rsidRPr="002D19E7">
        <w:rPr>
          <w:rFonts w:ascii="Times New Roman" w:hAnsi="Times New Roman" w:cs="Times New Roman"/>
        </w:rPr>
        <w:t>,</w:t>
      </w:r>
    </w:p>
    <w:p w14:paraId="2C6980FF" w14:textId="77777777" w:rsidR="00EA5903" w:rsidRPr="002D19E7" w:rsidRDefault="00EA5903" w:rsidP="00EA5903">
      <w:pPr>
        <w:pStyle w:val="SemEspaamento"/>
        <w:numPr>
          <w:ilvl w:val="0"/>
          <w:numId w:val="25"/>
        </w:numPr>
        <w:jc w:val="both"/>
        <w:rPr>
          <w:rFonts w:ascii="Times New Roman" w:hAnsi="Times New Roman" w:cs="Times New Roman"/>
        </w:rPr>
      </w:pPr>
      <w:proofErr w:type="spellStart"/>
      <w:r w:rsidRPr="002D19E7">
        <w:rPr>
          <w:rFonts w:ascii="Times New Roman" w:hAnsi="Times New Roman" w:cs="Times New Roman"/>
        </w:rPr>
        <w:t>D</w:t>
      </w:r>
      <w:r w:rsidR="00894E81" w:rsidRPr="002D19E7">
        <w:rPr>
          <w:rFonts w:ascii="Times New Roman" w:hAnsi="Times New Roman" w:cs="Times New Roman"/>
        </w:rPr>
        <w:t>or</w:t>
      </w:r>
      <w:proofErr w:type="spellEnd"/>
      <w:r w:rsidR="00894E81" w:rsidRPr="002D19E7">
        <w:rPr>
          <w:rFonts w:ascii="Times New Roman" w:hAnsi="Times New Roman" w:cs="Times New Roman"/>
        </w:rPr>
        <w:t xml:space="preserve"> </w:t>
      </w:r>
      <w:proofErr w:type="spellStart"/>
      <w:r w:rsidRPr="002D19E7">
        <w:rPr>
          <w:rFonts w:ascii="Times New Roman" w:hAnsi="Times New Roman" w:cs="Times New Roman"/>
        </w:rPr>
        <w:t>torácica</w:t>
      </w:r>
      <w:proofErr w:type="spellEnd"/>
      <w:r w:rsidR="00894E81" w:rsidRPr="002D19E7">
        <w:rPr>
          <w:rFonts w:ascii="Times New Roman" w:hAnsi="Times New Roman" w:cs="Times New Roman"/>
        </w:rPr>
        <w:t>,</w:t>
      </w:r>
    </w:p>
    <w:p w14:paraId="7357C08E" w14:textId="77777777" w:rsidR="00EA5903" w:rsidRPr="002D19E7" w:rsidRDefault="00894E81" w:rsidP="00EA5903">
      <w:pPr>
        <w:pStyle w:val="SemEspaamento"/>
        <w:numPr>
          <w:ilvl w:val="0"/>
          <w:numId w:val="25"/>
        </w:numPr>
        <w:jc w:val="both"/>
        <w:rPr>
          <w:rFonts w:ascii="Times New Roman" w:hAnsi="Times New Roman" w:cs="Times New Roman"/>
        </w:rPr>
      </w:pPr>
      <w:proofErr w:type="spellStart"/>
      <w:r w:rsidRPr="002D19E7">
        <w:rPr>
          <w:rFonts w:ascii="Times New Roman" w:hAnsi="Times New Roman" w:cs="Times New Roman"/>
        </w:rPr>
        <w:t>Insuficiência</w:t>
      </w:r>
      <w:proofErr w:type="spellEnd"/>
      <w:r w:rsidRPr="002D19E7">
        <w:rPr>
          <w:rFonts w:ascii="Times New Roman" w:hAnsi="Times New Roman" w:cs="Times New Roman"/>
        </w:rPr>
        <w:t xml:space="preserve"> </w:t>
      </w:r>
      <w:proofErr w:type="spellStart"/>
      <w:r w:rsidRPr="002D19E7">
        <w:rPr>
          <w:rFonts w:ascii="Times New Roman" w:hAnsi="Times New Roman" w:cs="Times New Roman"/>
        </w:rPr>
        <w:t>respiratória</w:t>
      </w:r>
      <w:proofErr w:type="spellEnd"/>
      <w:r w:rsidRPr="002D19E7">
        <w:rPr>
          <w:rFonts w:ascii="Times New Roman" w:hAnsi="Times New Roman" w:cs="Times New Roman"/>
        </w:rPr>
        <w:t>,</w:t>
      </w:r>
    </w:p>
    <w:p w14:paraId="3E1765B0" w14:textId="77777777" w:rsidR="00EA5903" w:rsidRPr="002D19E7" w:rsidRDefault="00894E81" w:rsidP="0067138B">
      <w:pPr>
        <w:pStyle w:val="SemEspaamento"/>
        <w:numPr>
          <w:ilvl w:val="0"/>
          <w:numId w:val="25"/>
        </w:numPr>
        <w:jc w:val="both"/>
        <w:rPr>
          <w:rFonts w:ascii="Times New Roman" w:hAnsi="Times New Roman" w:cs="Times New Roman"/>
        </w:rPr>
      </w:pPr>
      <w:r w:rsidRPr="002D19E7">
        <w:rPr>
          <w:rFonts w:ascii="Times New Roman" w:hAnsi="Times New Roman" w:cs="Times New Roman"/>
        </w:rPr>
        <w:t>AVC e</w:t>
      </w:r>
    </w:p>
    <w:p w14:paraId="240E7109" w14:textId="3035EC62" w:rsidR="00894E81" w:rsidRPr="002D19E7" w:rsidRDefault="00894E81" w:rsidP="0067138B">
      <w:pPr>
        <w:pStyle w:val="SemEspaamento"/>
        <w:numPr>
          <w:ilvl w:val="0"/>
          <w:numId w:val="25"/>
        </w:numPr>
        <w:jc w:val="both"/>
        <w:rPr>
          <w:rFonts w:ascii="Times New Roman" w:hAnsi="Times New Roman" w:cs="Times New Roman"/>
          <w:lang w:val="pt-BR"/>
        </w:rPr>
      </w:pPr>
      <w:r w:rsidRPr="002D19E7">
        <w:rPr>
          <w:rFonts w:ascii="Times New Roman" w:hAnsi="Times New Roman" w:cs="Times New Roman"/>
          <w:lang w:val="pt-BR"/>
        </w:rPr>
        <w:t xml:space="preserve">Trauma grave </w:t>
      </w:r>
      <w:r w:rsidR="00EB742E">
        <w:rPr>
          <w:rFonts w:ascii="Times New Roman" w:hAnsi="Times New Roman" w:cs="Times New Roman"/>
          <w:lang w:val="pt-BR"/>
        </w:rPr>
        <w:t>incluindo</w:t>
      </w:r>
      <w:r w:rsidRPr="002D19E7">
        <w:rPr>
          <w:rFonts w:ascii="Times New Roman" w:hAnsi="Times New Roman" w:cs="Times New Roman"/>
          <w:lang w:val="pt-BR"/>
        </w:rPr>
        <w:t xml:space="preserve"> TCE.</w:t>
      </w:r>
    </w:p>
    <w:p w14:paraId="348DFD72" w14:textId="77777777" w:rsidR="00794D6A" w:rsidRPr="002D19E7" w:rsidRDefault="00794D6A" w:rsidP="00794D6A">
      <w:pPr>
        <w:pStyle w:val="SemEspaamento"/>
        <w:ind w:left="720"/>
        <w:jc w:val="both"/>
        <w:rPr>
          <w:rFonts w:ascii="Times New Roman" w:hAnsi="Times New Roman" w:cs="Times New Roman"/>
          <w:lang w:val="pt-BR"/>
        </w:rPr>
      </w:pPr>
    </w:p>
    <w:p w14:paraId="5913219D" w14:textId="77777777" w:rsidR="00894E81" w:rsidRPr="002D19E7" w:rsidRDefault="00894E81" w:rsidP="00894E81">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As revisões incluídas foram então agrupadas em três categorias;</w:t>
      </w:r>
    </w:p>
    <w:p w14:paraId="4DFD587B" w14:textId="77777777" w:rsidR="00894E81" w:rsidRPr="002D19E7" w:rsidRDefault="00894E81" w:rsidP="00894E81">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lastRenderedPageBreak/>
        <w:t>• Tratamento médico versus tratamento não médico,</w:t>
      </w:r>
    </w:p>
    <w:p w14:paraId="0B38355D" w14:textId="7ED6171D" w:rsidR="00894E81" w:rsidRPr="002D19E7" w:rsidRDefault="00894E81" w:rsidP="00894E81">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 </w:t>
      </w:r>
      <w:r w:rsidR="00794D6A" w:rsidRPr="002D19E7">
        <w:rPr>
          <w:rFonts w:ascii="Times New Roman" w:hAnsi="Times New Roman" w:cs="Times New Roman"/>
          <w:lang w:val="pt-BR"/>
        </w:rPr>
        <w:t>Suporte Avançado de Vida (SAV)</w:t>
      </w:r>
      <w:r w:rsidRPr="002D19E7">
        <w:rPr>
          <w:rFonts w:ascii="Times New Roman" w:hAnsi="Times New Roman" w:cs="Times New Roman"/>
          <w:lang w:val="pt-BR"/>
        </w:rPr>
        <w:t xml:space="preserve"> versus BLS (</w:t>
      </w:r>
      <w:r w:rsidR="00794D6A" w:rsidRPr="002D19E7">
        <w:rPr>
          <w:rFonts w:ascii="Times New Roman" w:hAnsi="Times New Roman" w:cs="Times New Roman"/>
          <w:lang w:val="pt-BR"/>
        </w:rPr>
        <w:t>SAV</w:t>
      </w:r>
      <w:r w:rsidRPr="002D19E7">
        <w:rPr>
          <w:rFonts w:ascii="Times New Roman" w:hAnsi="Times New Roman" w:cs="Times New Roman"/>
          <w:lang w:val="pt-BR"/>
        </w:rPr>
        <w:t xml:space="preserve"> baseado em médico versus BLS baseado em </w:t>
      </w:r>
      <w:r w:rsidR="00706CFA">
        <w:rPr>
          <w:rFonts w:ascii="Times New Roman" w:hAnsi="Times New Roman" w:cs="Times New Roman"/>
          <w:lang w:val="pt-BR"/>
        </w:rPr>
        <w:t xml:space="preserve">não </w:t>
      </w:r>
      <w:r w:rsidRPr="002D19E7">
        <w:rPr>
          <w:rFonts w:ascii="Times New Roman" w:hAnsi="Times New Roman" w:cs="Times New Roman"/>
          <w:lang w:val="pt-BR"/>
        </w:rPr>
        <w:t xml:space="preserve">médico ou </w:t>
      </w:r>
      <w:r w:rsidR="00794D6A" w:rsidRPr="002D19E7">
        <w:rPr>
          <w:rFonts w:ascii="Times New Roman" w:hAnsi="Times New Roman" w:cs="Times New Roman"/>
          <w:lang w:val="pt-BR"/>
        </w:rPr>
        <w:t>SAV</w:t>
      </w:r>
      <w:r w:rsidRPr="002D19E7">
        <w:rPr>
          <w:rFonts w:ascii="Times New Roman" w:hAnsi="Times New Roman" w:cs="Times New Roman"/>
          <w:lang w:val="pt-BR"/>
        </w:rPr>
        <w:t xml:space="preserve"> baseado em médico versus </w:t>
      </w:r>
      <w:r w:rsidR="00794D6A" w:rsidRPr="002D19E7">
        <w:rPr>
          <w:rFonts w:ascii="Times New Roman" w:hAnsi="Times New Roman" w:cs="Times New Roman"/>
          <w:lang w:val="pt-BR"/>
        </w:rPr>
        <w:t>SAV</w:t>
      </w:r>
      <w:r w:rsidRPr="002D19E7">
        <w:rPr>
          <w:rFonts w:ascii="Times New Roman" w:hAnsi="Times New Roman" w:cs="Times New Roman"/>
          <w:lang w:val="pt-BR"/>
        </w:rPr>
        <w:t xml:space="preserve"> baseado em </w:t>
      </w:r>
      <w:r w:rsidR="00706CFA">
        <w:rPr>
          <w:rFonts w:ascii="Times New Roman" w:hAnsi="Times New Roman" w:cs="Times New Roman"/>
          <w:lang w:val="pt-BR"/>
        </w:rPr>
        <w:t xml:space="preserve">não </w:t>
      </w:r>
      <w:r w:rsidRPr="002D19E7">
        <w:rPr>
          <w:rFonts w:ascii="Times New Roman" w:hAnsi="Times New Roman" w:cs="Times New Roman"/>
          <w:lang w:val="pt-BR"/>
        </w:rPr>
        <w:t>médico) e</w:t>
      </w:r>
    </w:p>
    <w:p w14:paraId="0663D9A0" w14:textId="4140BB1B" w:rsidR="00894E81" w:rsidRPr="002D19E7" w:rsidRDefault="00894E81" w:rsidP="00894E81">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Intubação endotraqueal</w:t>
      </w:r>
      <w:r w:rsidR="00794D6A" w:rsidRPr="002D19E7">
        <w:rPr>
          <w:rFonts w:ascii="Times New Roman" w:hAnsi="Times New Roman" w:cs="Times New Roman"/>
          <w:lang w:val="pt-BR"/>
        </w:rPr>
        <w:t xml:space="preserve"> (IOT)</w:t>
      </w:r>
      <w:r w:rsidRPr="002D19E7">
        <w:rPr>
          <w:rFonts w:ascii="Times New Roman" w:hAnsi="Times New Roman" w:cs="Times New Roman"/>
          <w:lang w:val="pt-BR"/>
        </w:rPr>
        <w:t xml:space="preserve"> pré-hospitalar baseada em médico versus </w:t>
      </w:r>
      <w:r w:rsidR="00794D6A" w:rsidRPr="002D19E7">
        <w:rPr>
          <w:rFonts w:ascii="Times New Roman" w:hAnsi="Times New Roman" w:cs="Times New Roman"/>
          <w:lang w:val="pt-BR"/>
        </w:rPr>
        <w:t>IOT</w:t>
      </w:r>
      <w:r w:rsidRPr="002D19E7">
        <w:rPr>
          <w:rFonts w:ascii="Times New Roman" w:hAnsi="Times New Roman" w:cs="Times New Roman"/>
          <w:lang w:val="pt-BR"/>
        </w:rPr>
        <w:t xml:space="preserve"> pré-hospitalar baseada em </w:t>
      </w:r>
      <w:r w:rsidR="00706CFA">
        <w:rPr>
          <w:rFonts w:ascii="Times New Roman" w:hAnsi="Times New Roman" w:cs="Times New Roman"/>
          <w:lang w:val="pt-BR"/>
        </w:rPr>
        <w:t xml:space="preserve">não </w:t>
      </w:r>
      <w:r w:rsidRPr="002D19E7">
        <w:rPr>
          <w:rFonts w:ascii="Times New Roman" w:hAnsi="Times New Roman" w:cs="Times New Roman"/>
          <w:lang w:val="pt-BR"/>
        </w:rPr>
        <w:t>médico.</w:t>
      </w:r>
    </w:p>
    <w:p w14:paraId="3FA08260" w14:textId="77777777" w:rsidR="00894E81" w:rsidRPr="002D19E7" w:rsidRDefault="00894E81" w:rsidP="00894E81">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Os artigos não discriminaram entre os modos de transporte (aéreo x terrestre) ou os critérios de tripulação e resposta (resposta médica primária versus secundária).</w:t>
      </w:r>
    </w:p>
    <w:p w14:paraId="0BB68002" w14:textId="5E286424" w:rsidR="00894E81" w:rsidRPr="002D19E7" w:rsidRDefault="00894E81" w:rsidP="00794D6A">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Os autores conclu</w:t>
      </w:r>
      <w:r w:rsidR="00706CFA">
        <w:rPr>
          <w:rFonts w:ascii="Times New Roman" w:hAnsi="Times New Roman" w:cs="Times New Roman"/>
          <w:lang w:val="pt-BR"/>
        </w:rPr>
        <w:t>íram</w:t>
      </w:r>
      <w:r w:rsidRPr="002D19E7">
        <w:rPr>
          <w:rFonts w:ascii="Times New Roman" w:hAnsi="Times New Roman" w:cs="Times New Roman"/>
          <w:lang w:val="pt-BR"/>
        </w:rPr>
        <w:t xml:space="preserve"> que as evidências atuais sugerem um benefício do atendimento médico pré-hospitalar em </w:t>
      </w:r>
      <w:r w:rsidR="00121398">
        <w:rPr>
          <w:rFonts w:ascii="Times New Roman" w:hAnsi="Times New Roman" w:cs="Times New Roman"/>
          <w:lang w:val="pt-BR"/>
        </w:rPr>
        <w:t>doente</w:t>
      </w:r>
      <w:r w:rsidRPr="002D19E7">
        <w:rPr>
          <w:rFonts w:ascii="Times New Roman" w:hAnsi="Times New Roman" w:cs="Times New Roman"/>
          <w:lang w:val="pt-BR"/>
        </w:rPr>
        <w:t>s com parada cardíaca e, em menor grau, em trauma grave. Não havia evidências suficientes desta revisão de qualquer melhora no resultado com intervenções médicas durante a fase pré-hospitalar nas outras categorias; dor no peito, insuficiência respiratória e acidente vascular cerebral.</w:t>
      </w:r>
      <w:r w:rsidR="00794D6A" w:rsidRPr="002D19E7">
        <w:rPr>
          <w:rFonts w:ascii="Times New Roman" w:hAnsi="Times New Roman" w:cs="Times New Roman"/>
          <w:lang w:val="pt-BR"/>
        </w:rPr>
        <w:t xml:space="preserve"> </w:t>
      </w:r>
      <w:r w:rsidRPr="002D19E7">
        <w:rPr>
          <w:rFonts w:ascii="Times New Roman" w:hAnsi="Times New Roman" w:cs="Times New Roman"/>
          <w:lang w:val="pt-BR"/>
        </w:rPr>
        <w:t>Os estudos revisados ​​indicaram que a taxa de sucesso do médico na intubação endotraqueal foi significativamente maior do que a de</w:t>
      </w:r>
      <w:r w:rsidR="0036444E">
        <w:rPr>
          <w:rFonts w:ascii="Times New Roman" w:hAnsi="Times New Roman" w:cs="Times New Roman"/>
          <w:lang w:val="pt-BR"/>
        </w:rPr>
        <w:t xml:space="preserve"> profissionais</w:t>
      </w:r>
      <w:r w:rsidRPr="002D19E7">
        <w:rPr>
          <w:rFonts w:ascii="Times New Roman" w:hAnsi="Times New Roman" w:cs="Times New Roman"/>
          <w:lang w:val="pt-BR"/>
        </w:rPr>
        <w:t xml:space="preserve"> não médicos.</w:t>
      </w:r>
    </w:p>
    <w:p w14:paraId="654FFFC7" w14:textId="16E3ED66" w:rsidR="00894E81" w:rsidRPr="002D19E7" w:rsidRDefault="00894E81" w:rsidP="00894E81">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Esta revisão mostra que uma </w:t>
      </w:r>
      <w:r w:rsidR="0036444E">
        <w:rPr>
          <w:rFonts w:ascii="Times New Roman" w:hAnsi="Times New Roman" w:cs="Times New Roman"/>
          <w:lang w:val="pt-BR"/>
        </w:rPr>
        <w:t xml:space="preserve">maior </w:t>
      </w:r>
      <w:r w:rsidRPr="002D19E7">
        <w:rPr>
          <w:rFonts w:ascii="Times New Roman" w:hAnsi="Times New Roman" w:cs="Times New Roman"/>
          <w:lang w:val="pt-BR"/>
        </w:rPr>
        <w:t>avaliação dos</w:t>
      </w:r>
      <w:r w:rsidR="00794D6A" w:rsidRPr="002D19E7">
        <w:rPr>
          <w:rFonts w:ascii="Times New Roman" w:hAnsi="Times New Roman" w:cs="Times New Roman"/>
          <w:lang w:val="pt-BR"/>
        </w:rPr>
        <w:t xml:space="preserve"> Serviços de Emergências Médicas</w:t>
      </w:r>
      <w:r w:rsidRPr="002D19E7">
        <w:rPr>
          <w:rFonts w:ascii="Times New Roman" w:hAnsi="Times New Roman" w:cs="Times New Roman"/>
          <w:lang w:val="pt-BR"/>
        </w:rPr>
        <w:t xml:space="preserve"> em todo o mundo precisa ser concluída, observando os perfis de configuração e resposta da tripulação para determinar melhor o efeito na mortalidade e também na morbidade. Uma das dificuldades identificadas nesta revisão sistemática é o treinamento diferenciado dos vários grupos de profissionais pré-hospitalares. A maioria dos estudos revisados ​​ocorreu nos EUA, Europa e Austrália. Embora o treinamento inicial dos médicos seja um pouco comparável, não houve menção a treinamento ou especialização de pós-graduação. Por exemplo, muitos dos médicos que prestam atendimento pré-hospitalar na Europa são </w:t>
      </w:r>
      <w:proofErr w:type="spellStart"/>
      <w:r w:rsidRPr="002D19E7">
        <w:rPr>
          <w:rFonts w:ascii="Times New Roman" w:hAnsi="Times New Roman" w:cs="Times New Roman"/>
          <w:lang w:val="pt-BR"/>
        </w:rPr>
        <w:t>anestesiologistas</w:t>
      </w:r>
      <w:proofErr w:type="spellEnd"/>
      <w:r w:rsidRPr="002D19E7">
        <w:rPr>
          <w:rFonts w:ascii="Times New Roman" w:hAnsi="Times New Roman" w:cs="Times New Roman"/>
          <w:lang w:val="pt-BR"/>
        </w:rPr>
        <w:t xml:space="preserve">, o que pode explicar algumas das diferenças nas taxas de sucesso da intubação. Para prestadores de serviços de saúde não médicos, é menos claro como o treinamento varia entre os diversos estudos e países incluídos. Estudos futuros devem tentar realizar uma análise de lacunas para avaliar as diferenças no </w:t>
      </w:r>
      <w:r w:rsidR="0036444E">
        <w:rPr>
          <w:rFonts w:ascii="Times New Roman" w:hAnsi="Times New Roman" w:cs="Times New Roman"/>
          <w:lang w:val="pt-BR"/>
        </w:rPr>
        <w:t>a</w:t>
      </w:r>
      <w:r w:rsidR="00FD5695" w:rsidRPr="002D19E7">
        <w:rPr>
          <w:rFonts w:ascii="Times New Roman" w:hAnsi="Times New Roman" w:cs="Times New Roman"/>
          <w:lang w:val="pt-BR"/>
        </w:rPr>
        <w:t>tendimento de suporte avançado de vida</w:t>
      </w:r>
      <w:r w:rsidRPr="002D19E7">
        <w:rPr>
          <w:rFonts w:ascii="Times New Roman" w:hAnsi="Times New Roman" w:cs="Times New Roman"/>
          <w:lang w:val="pt-BR"/>
        </w:rPr>
        <w:t xml:space="preserve"> médic</w:t>
      </w:r>
      <w:r w:rsidR="00FD5695" w:rsidRPr="002D19E7">
        <w:rPr>
          <w:rFonts w:ascii="Times New Roman" w:hAnsi="Times New Roman" w:cs="Times New Roman"/>
          <w:lang w:val="pt-BR"/>
        </w:rPr>
        <w:t>o</w:t>
      </w:r>
      <w:r w:rsidRPr="002D19E7">
        <w:rPr>
          <w:rFonts w:ascii="Times New Roman" w:hAnsi="Times New Roman" w:cs="Times New Roman"/>
          <w:lang w:val="pt-BR"/>
        </w:rPr>
        <w:t xml:space="preserve"> e não médic</w:t>
      </w:r>
      <w:r w:rsidR="00FD5695" w:rsidRPr="002D19E7">
        <w:rPr>
          <w:rFonts w:ascii="Times New Roman" w:hAnsi="Times New Roman" w:cs="Times New Roman"/>
          <w:lang w:val="pt-BR"/>
        </w:rPr>
        <w:t>o</w:t>
      </w:r>
      <w:r w:rsidRPr="002D19E7">
        <w:rPr>
          <w:rFonts w:ascii="Times New Roman" w:hAnsi="Times New Roman" w:cs="Times New Roman"/>
          <w:lang w:val="pt-BR"/>
        </w:rPr>
        <w:t xml:space="preserve"> e determinar por que há um </w:t>
      </w:r>
      <w:r w:rsidR="00FD5695" w:rsidRPr="002D19E7">
        <w:rPr>
          <w:rFonts w:ascii="Times New Roman" w:hAnsi="Times New Roman" w:cs="Times New Roman"/>
          <w:lang w:val="pt-BR"/>
        </w:rPr>
        <w:t xml:space="preserve">melhor </w:t>
      </w:r>
      <w:r w:rsidRPr="002D19E7">
        <w:rPr>
          <w:rFonts w:ascii="Times New Roman" w:hAnsi="Times New Roman" w:cs="Times New Roman"/>
          <w:lang w:val="pt-BR"/>
        </w:rPr>
        <w:t>resultado com intervenções médicas no local. Esse conhecimento seria fundamental na determinação de currículos futuros para profissionais que não sejam médicos, com a esperança de diminuir a diferença de resultados entre os dois grupos. Por fim, nenhum dos estudos revisados ​​tentou realizar uma análise de custo-benefício referente ao uso de médicos no campo.</w:t>
      </w:r>
    </w:p>
    <w:p w14:paraId="32D0DE26" w14:textId="0570B51C" w:rsidR="004D12C9" w:rsidRPr="002D19E7" w:rsidRDefault="004D12C9" w:rsidP="00894E81">
      <w:pPr>
        <w:pStyle w:val="SemEspaamento"/>
        <w:ind w:firstLine="360"/>
        <w:jc w:val="both"/>
        <w:rPr>
          <w:rFonts w:ascii="Times New Roman" w:hAnsi="Times New Roman" w:cs="Times New Roman"/>
          <w:lang w:val="pt-BR"/>
        </w:rPr>
      </w:pPr>
    </w:p>
    <w:p w14:paraId="3328AF3E" w14:textId="77777777" w:rsidR="00666E03" w:rsidRPr="002D19E7" w:rsidRDefault="00666E03" w:rsidP="00894E81">
      <w:pPr>
        <w:pStyle w:val="SemEspaamento"/>
        <w:ind w:firstLine="360"/>
        <w:jc w:val="both"/>
        <w:rPr>
          <w:rFonts w:ascii="Times New Roman" w:hAnsi="Times New Roman" w:cs="Times New Roman"/>
          <w:lang w:val="pt-BR"/>
        </w:rPr>
      </w:pPr>
    </w:p>
    <w:p w14:paraId="11E47425" w14:textId="29BF853E" w:rsidR="00666E03" w:rsidRPr="002D19E7" w:rsidRDefault="000240B9" w:rsidP="00AB6EC4">
      <w:pPr>
        <w:pStyle w:val="PargrafodaLista"/>
        <w:numPr>
          <w:ilvl w:val="0"/>
          <w:numId w:val="21"/>
        </w:numPr>
        <w:spacing w:after="0"/>
        <w:jc w:val="both"/>
        <w:rPr>
          <w:rFonts w:ascii="Times New Roman" w:eastAsia="Times New Roman" w:hAnsi="Times New Roman" w:cs="Times New Roman"/>
          <w:b/>
        </w:rPr>
      </w:pPr>
      <w:r>
        <w:rPr>
          <w:rFonts w:ascii="Times New Roman" w:eastAsia="Times New Roman" w:hAnsi="Times New Roman" w:cs="Times New Roman"/>
          <w:b/>
          <w:lang w:val="pt-BR"/>
        </w:rPr>
        <w:t>C</w:t>
      </w:r>
      <w:r w:rsidRPr="000240B9">
        <w:rPr>
          <w:rFonts w:ascii="Times New Roman" w:eastAsia="Times New Roman" w:hAnsi="Times New Roman" w:cs="Times New Roman"/>
          <w:b/>
          <w:lang w:val="pt-BR"/>
        </w:rPr>
        <w:t xml:space="preserve">onsenso de especialistas clínicos </w:t>
      </w:r>
      <w:r>
        <w:rPr>
          <w:rFonts w:ascii="Times New Roman" w:eastAsia="Times New Roman" w:hAnsi="Times New Roman" w:cs="Times New Roman"/>
          <w:b/>
          <w:lang w:val="pt-BR"/>
        </w:rPr>
        <w:t xml:space="preserve">da </w:t>
      </w:r>
      <w:r w:rsidR="00666E03" w:rsidRPr="000240B9">
        <w:rPr>
          <w:rFonts w:ascii="Times New Roman" w:eastAsia="Times New Roman" w:hAnsi="Times New Roman" w:cs="Times New Roman"/>
          <w:b/>
          <w:lang w:val="pt-BR"/>
        </w:rPr>
        <w:t xml:space="preserve">HFSA/SAEM/ISHLT </w:t>
      </w:r>
      <w:r w:rsidRPr="000240B9">
        <w:rPr>
          <w:rFonts w:ascii="Times New Roman" w:eastAsia="Times New Roman" w:hAnsi="Times New Roman" w:cs="Times New Roman"/>
          <w:b/>
          <w:lang w:val="pt-BR"/>
        </w:rPr>
        <w:t xml:space="preserve">sobre o manejo de emergência de </w:t>
      </w:r>
      <w:r>
        <w:rPr>
          <w:rFonts w:ascii="Times New Roman" w:eastAsia="Times New Roman" w:hAnsi="Times New Roman" w:cs="Times New Roman"/>
          <w:b/>
          <w:lang w:val="pt-BR"/>
        </w:rPr>
        <w:t>doentes</w:t>
      </w:r>
      <w:r w:rsidRPr="000240B9">
        <w:rPr>
          <w:rFonts w:ascii="Times New Roman" w:eastAsia="Times New Roman" w:hAnsi="Times New Roman" w:cs="Times New Roman"/>
          <w:b/>
          <w:lang w:val="pt-BR"/>
        </w:rPr>
        <w:t xml:space="preserve"> com dispositivos de assistência ventricular</w:t>
      </w:r>
      <w:r w:rsidR="00666E03" w:rsidRPr="000240B9">
        <w:rPr>
          <w:rFonts w:ascii="Times New Roman" w:eastAsia="Times New Roman" w:hAnsi="Times New Roman" w:cs="Times New Roman"/>
          <w:b/>
          <w:lang w:val="pt-BR"/>
        </w:rPr>
        <w:t xml:space="preserve">.  </w:t>
      </w:r>
      <w:proofErr w:type="spellStart"/>
      <w:r w:rsidR="00666E03" w:rsidRPr="002D19E7">
        <w:rPr>
          <w:rFonts w:ascii="Times New Roman" w:eastAsia="Times New Roman" w:hAnsi="Times New Roman" w:cs="Times New Roman"/>
        </w:rPr>
        <w:t>Givertz</w:t>
      </w:r>
      <w:proofErr w:type="spellEnd"/>
      <w:r w:rsidR="00666E03" w:rsidRPr="002D19E7">
        <w:rPr>
          <w:rFonts w:ascii="Times New Roman" w:eastAsia="Times New Roman" w:hAnsi="Times New Roman" w:cs="Times New Roman"/>
        </w:rPr>
        <w:t xml:space="preserve"> M, </w:t>
      </w:r>
      <w:proofErr w:type="spellStart"/>
      <w:r w:rsidR="00666E03" w:rsidRPr="002D19E7">
        <w:rPr>
          <w:rFonts w:ascii="Times New Roman" w:eastAsia="Times New Roman" w:hAnsi="Times New Roman" w:cs="Times New Roman"/>
        </w:rPr>
        <w:t>DelFilippis</w:t>
      </w:r>
      <w:proofErr w:type="spellEnd"/>
      <w:r w:rsidR="00666E03" w:rsidRPr="002D19E7">
        <w:rPr>
          <w:rFonts w:ascii="Times New Roman" w:eastAsia="Times New Roman" w:hAnsi="Times New Roman" w:cs="Times New Roman"/>
        </w:rPr>
        <w:t xml:space="preserve"> E, Colvin M, et al.  J Heart Lung Transplant </w:t>
      </w:r>
      <w:proofErr w:type="gramStart"/>
      <w:r w:rsidR="00666E03" w:rsidRPr="002D19E7">
        <w:rPr>
          <w:rFonts w:ascii="Times New Roman" w:eastAsia="Times New Roman" w:hAnsi="Times New Roman" w:cs="Times New Roman"/>
        </w:rPr>
        <w:t>2019;38:677</w:t>
      </w:r>
      <w:proofErr w:type="gramEnd"/>
      <w:r w:rsidR="00666E03" w:rsidRPr="002D19E7">
        <w:rPr>
          <w:rFonts w:ascii="Times New Roman" w:eastAsia="Times New Roman" w:hAnsi="Times New Roman" w:cs="Times New Roman"/>
        </w:rPr>
        <w:t>-698.</w:t>
      </w:r>
    </w:p>
    <w:p w14:paraId="4D6DCCFD" w14:textId="77777777" w:rsidR="004D12C9" w:rsidRPr="002D19E7" w:rsidRDefault="004D12C9" w:rsidP="004D12C9">
      <w:pPr>
        <w:pStyle w:val="SemEspaamento"/>
        <w:ind w:firstLine="360"/>
        <w:jc w:val="both"/>
        <w:rPr>
          <w:rFonts w:ascii="Times New Roman" w:hAnsi="Times New Roman" w:cs="Times New Roman"/>
          <w:lang w:val="pt-BR"/>
        </w:rPr>
      </w:pPr>
    </w:p>
    <w:p w14:paraId="085DF0D6" w14:textId="2F61AA45" w:rsidR="004D12C9" w:rsidRPr="002D19E7" w:rsidRDefault="004D12C9" w:rsidP="004D12C9">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Um número maior de </w:t>
      </w:r>
      <w:r w:rsidR="00121398">
        <w:rPr>
          <w:rFonts w:ascii="Times New Roman" w:hAnsi="Times New Roman" w:cs="Times New Roman"/>
          <w:lang w:val="pt-BR"/>
        </w:rPr>
        <w:t>doente</w:t>
      </w:r>
      <w:r w:rsidRPr="002D19E7">
        <w:rPr>
          <w:rFonts w:ascii="Times New Roman" w:hAnsi="Times New Roman" w:cs="Times New Roman"/>
          <w:lang w:val="pt-BR"/>
        </w:rPr>
        <w:t>s com insuficiência cardíaca</w:t>
      </w:r>
      <w:r w:rsidR="00FC786D">
        <w:rPr>
          <w:rFonts w:ascii="Times New Roman" w:hAnsi="Times New Roman" w:cs="Times New Roman"/>
          <w:lang w:val="pt-BR"/>
        </w:rPr>
        <w:t xml:space="preserve"> </w:t>
      </w:r>
      <w:r w:rsidR="00FC786D" w:rsidRPr="002D19E7">
        <w:rPr>
          <w:rFonts w:ascii="Times New Roman" w:hAnsi="Times New Roman" w:cs="Times New Roman"/>
          <w:lang w:val="pt-BR"/>
        </w:rPr>
        <w:t>(IC)</w:t>
      </w:r>
      <w:r w:rsidRPr="002D19E7">
        <w:rPr>
          <w:rFonts w:ascii="Times New Roman" w:hAnsi="Times New Roman" w:cs="Times New Roman"/>
          <w:lang w:val="pt-BR"/>
        </w:rPr>
        <w:t xml:space="preserve"> em estágio terminal vive em nossas comunidades </w:t>
      </w:r>
      <w:r w:rsidR="00176822" w:rsidRPr="002D19E7">
        <w:rPr>
          <w:rFonts w:ascii="Times New Roman" w:hAnsi="Times New Roman" w:cs="Times New Roman"/>
          <w:lang w:val="pt-BR"/>
        </w:rPr>
        <w:t xml:space="preserve">e são </w:t>
      </w:r>
      <w:r w:rsidRPr="002D19E7">
        <w:rPr>
          <w:rFonts w:ascii="Times New Roman" w:hAnsi="Times New Roman" w:cs="Times New Roman"/>
          <w:lang w:val="pt-BR"/>
        </w:rPr>
        <w:t>dependentes de dispositivos de assistência ventricular (DA</w:t>
      </w:r>
      <w:r w:rsidR="00176822" w:rsidRPr="002D19E7">
        <w:rPr>
          <w:rFonts w:ascii="Times New Roman" w:hAnsi="Times New Roman" w:cs="Times New Roman"/>
          <w:lang w:val="pt-BR"/>
        </w:rPr>
        <w:t>V</w:t>
      </w:r>
      <w:r w:rsidRPr="002D19E7">
        <w:rPr>
          <w:rFonts w:ascii="Times New Roman" w:hAnsi="Times New Roman" w:cs="Times New Roman"/>
          <w:lang w:val="pt-BR"/>
        </w:rPr>
        <w:t xml:space="preserve">). Os </w:t>
      </w:r>
      <w:proofErr w:type="spellStart"/>
      <w:r w:rsidRPr="002D19E7">
        <w:rPr>
          <w:rFonts w:ascii="Times New Roman" w:hAnsi="Times New Roman" w:cs="Times New Roman"/>
          <w:lang w:val="pt-BR"/>
        </w:rPr>
        <w:t>DAVs</w:t>
      </w:r>
      <w:proofErr w:type="spellEnd"/>
      <w:r w:rsidRPr="002D19E7">
        <w:rPr>
          <w:rFonts w:ascii="Times New Roman" w:hAnsi="Times New Roman" w:cs="Times New Roman"/>
          <w:lang w:val="pt-BR"/>
        </w:rPr>
        <w:t xml:space="preserve"> são comumente usados ​​como ponte para o transplante (</w:t>
      </w:r>
      <w:r w:rsidR="00176822" w:rsidRPr="002D19E7">
        <w:rPr>
          <w:rFonts w:ascii="Times New Roman" w:hAnsi="Times New Roman" w:cs="Times New Roman"/>
          <w:lang w:val="pt-BR"/>
        </w:rPr>
        <w:t>PPT</w:t>
      </w:r>
      <w:r w:rsidRPr="002D19E7">
        <w:rPr>
          <w:rFonts w:ascii="Times New Roman" w:hAnsi="Times New Roman" w:cs="Times New Roman"/>
          <w:lang w:val="pt-BR"/>
        </w:rPr>
        <w:t>), para permitir a recuperação cardíaca após um infarto do miocárdio ou para a terapia definitiva (T</w:t>
      </w:r>
      <w:r w:rsidR="00176822" w:rsidRPr="002D19E7">
        <w:rPr>
          <w:rFonts w:ascii="Times New Roman" w:hAnsi="Times New Roman" w:cs="Times New Roman"/>
          <w:lang w:val="pt-BR"/>
        </w:rPr>
        <w:t>D</w:t>
      </w:r>
      <w:r w:rsidRPr="002D19E7">
        <w:rPr>
          <w:rFonts w:ascii="Times New Roman" w:hAnsi="Times New Roman" w:cs="Times New Roman"/>
          <w:lang w:val="pt-BR"/>
        </w:rPr>
        <w:t xml:space="preserve">) nos </w:t>
      </w:r>
      <w:r w:rsidR="00121398">
        <w:rPr>
          <w:rFonts w:ascii="Times New Roman" w:hAnsi="Times New Roman" w:cs="Times New Roman"/>
          <w:lang w:val="pt-BR"/>
        </w:rPr>
        <w:t>doente</w:t>
      </w:r>
      <w:r w:rsidRPr="002D19E7">
        <w:rPr>
          <w:rFonts w:ascii="Times New Roman" w:hAnsi="Times New Roman" w:cs="Times New Roman"/>
          <w:lang w:val="pt-BR"/>
        </w:rPr>
        <w:t xml:space="preserve">s inelegíveis para transplante. Os </w:t>
      </w:r>
      <w:r w:rsidR="0063140B">
        <w:rPr>
          <w:rFonts w:ascii="Times New Roman" w:hAnsi="Times New Roman" w:cs="Times New Roman"/>
          <w:lang w:val="pt-BR"/>
        </w:rPr>
        <w:t>profissionais dos</w:t>
      </w:r>
      <w:r w:rsidR="00176822" w:rsidRPr="002D19E7">
        <w:rPr>
          <w:rFonts w:ascii="Times New Roman" w:hAnsi="Times New Roman" w:cs="Times New Roman"/>
          <w:lang w:val="pt-BR"/>
        </w:rPr>
        <w:t xml:space="preserve"> </w:t>
      </w:r>
      <w:r w:rsidR="00695285" w:rsidRPr="002D19E7">
        <w:rPr>
          <w:rFonts w:ascii="Times New Roman" w:hAnsi="Times New Roman" w:cs="Times New Roman"/>
          <w:lang w:val="pt-BR"/>
        </w:rPr>
        <w:t>Serviços de Emergências Médicas</w:t>
      </w:r>
      <w:r w:rsidRPr="002D19E7">
        <w:rPr>
          <w:rFonts w:ascii="Times New Roman" w:hAnsi="Times New Roman" w:cs="Times New Roman"/>
          <w:lang w:val="pt-BR"/>
        </w:rPr>
        <w:t xml:space="preserve"> em todos os níveis devem ter um entendimento básico da fisiologia, mecânica e gerenciamento de emergências dos </w:t>
      </w:r>
      <w:proofErr w:type="spellStart"/>
      <w:r w:rsidRPr="002D19E7">
        <w:rPr>
          <w:rFonts w:ascii="Times New Roman" w:hAnsi="Times New Roman" w:cs="Times New Roman"/>
          <w:lang w:val="pt-BR"/>
        </w:rPr>
        <w:t>DAVs</w:t>
      </w:r>
      <w:proofErr w:type="spellEnd"/>
      <w:r w:rsidRPr="002D19E7">
        <w:rPr>
          <w:rFonts w:ascii="Times New Roman" w:hAnsi="Times New Roman" w:cs="Times New Roman"/>
          <w:lang w:val="pt-BR"/>
        </w:rPr>
        <w:t>.</w:t>
      </w:r>
    </w:p>
    <w:p w14:paraId="16ECFCF0" w14:textId="3C5C07E2" w:rsidR="004D12C9" w:rsidRPr="002D19E7" w:rsidRDefault="004D12C9" w:rsidP="004D12C9">
      <w:pPr>
        <w:pStyle w:val="SemEspaamento"/>
        <w:ind w:firstLine="360"/>
        <w:jc w:val="both"/>
        <w:rPr>
          <w:rFonts w:ascii="Times New Roman" w:hAnsi="Times New Roman" w:cs="Times New Roman"/>
          <w:lang w:val="pt-BR"/>
        </w:rPr>
      </w:pPr>
      <w:proofErr w:type="spellStart"/>
      <w:r w:rsidRPr="002D19E7">
        <w:rPr>
          <w:rFonts w:ascii="Times New Roman" w:hAnsi="Times New Roman" w:cs="Times New Roman"/>
          <w:lang w:val="pt-BR"/>
        </w:rPr>
        <w:t>Givertz</w:t>
      </w:r>
      <w:proofErr w:type="spellEnd"/>
      <w:r w:rsidRPr="002D19E7">
        <w:rPr>
          <w:rFonts w:ascii="Times New Roman" w:hAnsi="Times New Roman" w:cs="Times New Roman"/>
          <w:lang w:val="pt-BR"/>
        </w:rPr>
        <w:t xml:space="preserve"> et al publicaram este documento de consenso para educar os médicos, dentro e fora do hospital, sobre o tratamento de emergência </w:t>
      </w:r>
      <w:r w:rsidR="00695285" w:rsidRPr="002D19E7">
        <w:rPr>
          <w:rFonts w:ascii="Times New Roman" w:hAnsi="Times New Roman" w:cs="Times New Roman"/>
          <w:lang w:val="pt-BR"/>
        </w:rPr>
        <w:t>à</w:t>
      </w:r>
      <w:r w:rsidRPr="002D19E7">
        <w:rPr>
          <w:rFonts w:ascii="Times New Roman" w:hAnsi="Times New Roman" w:cs="Times New Roman"/>
          <w:lang w:val="pt-BR"/>
        </w:rPr>
        <w:t xml:space="preserve"> </w:t>
      </w:r>
      <w:r w:rsidR="00121398">
        <w:rPr>
          <w:rFonts w:ascii="Times New Roman" w:hAnsi="Times New Roman" w:cs="Times New Roman"/>
          <w:lang w:val="pt-BR"/>
        </w:rPr>
        <w:t>doente</w:t>
      </w:r>
      <w:r w:rsidRPr="002D19E7">
        <w:rPr>
          <w:rFonts w:ascii="Times New Roman" w:hAnsi="Times New Roman" w:cs="Times New Roman"/>
          <w:lang w:val="pt-BR"/>
        </w:rPr>
        <w:t>s com suporte circulatório mecânico (SCM). O D</w:t>
      </w:r>
      <w:r w:rsidR="00695285" w:rsidRPr="002D19E7">
        <w:rPr>
          <w:rFonts w:ascii="Times New Roman" w:hAnsi="Times New Roman" w:cs="Times New Roman"/>
          <w:lang w:val="pt-BR"/>
        </w:rPr>
        <w:t>AV</w:t>
      </w:r>
      <w:r w:rsidRPr="002D19E7">
        <w:rPr>
          <w:rFonts w:ascii="Times New Roman" w:hAnsi="Times New Roman" w:cs="Times New Roman"/>
          <w:lang w:val="pt-BR"/>
        </w:rPr>
        <w:t xml:space="preserve"> típico consiste em quatro componentes</w:t>
      </w:r>
      <w:r w:rsidR="0063140B">
        <w:rPr>
          <w:rFonts w:ascii="Times New Roman" w:hAnsi="Times New Roman" w:cs="Times New Roman"/>
          <w:lang w:val="pt-BR"/>
        </w:rPr>
        <w:t>:</w:t>
      </w:r>
      <w:r w:rsidRPr="002D19E7">
        <w:rPr>
          <w:rFonts w:ascii="Times New Roman" w:hAnsi="Times New Roman" w:cs="Times New Roman"/>
          <w:lang w:val="pt-BR"/>
        </w:rPr>
        <w:t xml:space="preserve"> uma bomba de fluxo contínuo implantada cirurgicamente no ápice cardíaco e na aorta ascendente do </w:t>
      </w:r>
      <w:r w:rsidR="00121398">
        <w:rPr>
          <w:rFonts w:ascii="Times New Roman" w:hAnsi="Times New Roman" w:cs="Times New Roman"/>
          <w:lang w:val="pt-BR"/>
        </w:rPr>
        <w:t>doente</w:t>
      </w:r>
      <w:r w:rsidRPr="002D19E7">
        <w:rPr>
          <w:rFonts w:ascii="Times New Roman" w:hAnsi="Times New Roman" w:cs="Times New Roman"/>
          <w:lang w:val="pt-BR"/>
        </w:rPr>
        <w:t xml:space="preserve">, uma linha de transmissão percutânea conectando a bomba a um controlador, o controlador e uma bateria / unidade baseada em energia. </w:t>
      </w:r>
      <w:r w:rsidR="00121398">
        <w:rPr>
          <w:rFonts w:ascii="Times New Roman" w:hAnsi="Times New Roman" w:cs="Times New Roman"/>
          <w:lang w:val="pt-BR"/>
        </w:rPr>
        <w:t>Doente</w:t>
      </w:r>
      <w:r w:rsidRPr="002D19E7">
        <w:rPr>
          <w:rFonts w:ascii="Times New Roman" w:hAnsi="Times New Roman" w:cs="Times New Roman"/>
          <w:lang w:val="pt-BR"/>
        </w:rPr>
        <w:t xml:space="preserve">s, famílias e profissionais são ensinados a </w:t>
      </w:r>
      <w:r w:rsidR="009E7CD1" w:rsidRPr="002D19E7">
        <w:rPr>
          <w:rFonts w:ascii="Times New Roman" w:hAnsi="Times New Roman" w:cs="Times New Roman"/>
          <w:lang w:val="pt-BR"/>
        </w:rPr>
        <w:t>detect</w:t>
      </w:r>
      <w:r w:rsidR="0063140B">
        <w:rPr>
          <w:rFonts w:ascii="Times New Roman" w:hAnsi="Times New Roman" w:cs="Times New Roman"/>
          <w:lang w:val="pt-BR"/>
        </w:rPr>
        <w:t>a</w:t>
      </w:r>
      <w:r w:rsidR="009E7CD1" w:rsidRPr="002D19E7">
        <w:rPr>
          <w:rFonts w:ascii="Times New Roman" w:hAnsi="Times New Roman" w:cs="Times New Roman"/>
          <w:lang w:val="pt-BR"/>
        </w:rPr>
        <w:t xml:space="preserve">r e </w:t>
      </w:r>
      <w:r w:rsidRPr="002D19E7">
        <w:rPr>
          <w:rFonts w:ascii="Times New Roman" w:hAnsi="Times New Roman" w:cs="Times New Roman"/>
          <w:lang w:val="pt-BR"/>
        </w:rPr>
        <w:t>corrigir problemas com os três componentes externos de um DAV.</w:t>
      </w:r>
    </w:p>
    <w:p w14:paraId="4F3BD081" w14:textId="6E364FCB" w:rsidR="009E7CD1" w:rsidRPr="002D19E7" w:rsidRDefault="004D12C9" w:rsidP="001B1D1E">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Os </w:t>
      </w:r>
      <w:r w:rsidR="00121398">
        <w:rPr>
          <w:rFonts w:ascii="Times New Roman" w:hAnsi="Times New Roman" w:cs="Times New Roman"/>
          <w:lang w:val="pt-BR"/>
        </w:rPr>
        <w:t>doente</w:t>
      </w:r>
      <w:r w:rsidRPr="002D19E7">
        <w:rPr>
          <w:rFonts w:ascii="Times New Roman" w:hAnsi="Times New Roman" w:cs="Times New Roman"/>
          <w:lang w:val="pt-BR"/>
        </w:rPr>
        <w:t xml:space="preserve">s com SCM devem ser avaliados como qualquer outro </w:t>
      </w:r>
      <w:r w:rsidR="00121398">
        <w:rPr>
          <w:rFonts w:ascii="Times New Roman" w:hAnsi="Times New Roman" w:cs="Times New Roman"/>
          <w:lang w:val="pt-BR"/>
        </w:rPr>
        <w:t>doente</w:t>
      </w:r>
      <w:r w:rsidRPr="002D19E7">
        <w:rPr>
          <w:rFonts w:ascii="Times New Roman" w:hAnsi="Times New Roman" w:cs="Times New Roman"/>
          <w:lang w:val="pt-BR"/>
        </w:rPr>
        <w:t xml:space="preserve">. Uma história focada e um exame físico direcionado devem ser concluídos, prestando atenção às descobertas específicas dos </w:t>
      </w:r>
      <w:proofErr w:type="spellStart"/>
      <w:r w:rsidRPr="002D19E7">
        <w:rPr>
          <w:rFonts w:ascii="Times New Roman" w:hAnsi="Times New Roman" w:cs="Times New Roman"/>
          <w:lang w:val="pt-BR"/>
        </w:rPr>
        <w:t>DAVs</w:t>
      </w:r>
      <w:proofErr w:type="spellEnd"/>
      <w:r w:rsidRPr="002D19E7">
        <w:rPr>
          <w:rFonts w:ascii="Times New Roman" w:hAnsi="Times New Roman" w:cs="Times New Roman"/>
          <w:lang w:val="pt-BR"/>
        </w:rPr>
        <w:t xml:space="preserve">. A natureza do fluxo contínuo da maioria dos </w:t>
      </w:r>
      <w:proofErr w:type="spellStart"/>
      <w:r w:rsidRPr="002D19E7">
        <w:rPr>
          <w:rFonts w:ascii="Times New Roman" w:hAnsi="Times New Roman" w:cs="Times New Roman"/>
          <w:lang w:val="pt-BR"/>
        </w:rPr>
        <w:t>D</w:t>
      </w:r>
      <w:r w:rsidR="001B1D1E" w:rsidRPr="002D19E7">
        <w:rPr>
          <w:rFonts w:ascii="Times New Roman" w:hAnsi="Times New Roman" w:cs="Times New Roman"/>
          <w:lang w:val="pt-BR"/>
        </w:rPr>
        <w:t>AV</w:t>
      </w:r>
      <w:r w:rsidRPr="002D19E7">
        <w:rPr>
          <w:rFonts w:ascii="Times New Roman" w:hAnsi="Times New Roman" w:cs="Times New Roman"/>
          <w:lang w:val="pt-BR"/>
        </w:rPr>
        <w:t>s</w:t>
      </w:r>
      <w:proofErr w:type="spellEnd"/>
      <w:r w:rsidRPr="002D19E7">
        <w:rPr>
          <w:rFonts w:ascii="Times New Roman" w:hAnsi="Times New Roman" w:cs="Times New Roman"/>
          <w:lang w:val="pt-BR"/>
        </w:rPr>
        <w:t xml:space="preserve"> cria um desafio na obtenção de sinais vitais devido à </w:t>
      </w:r>
      <w:r w:rsidRPr="002D19E7">
        <w:rPr>
          <w:rFonts w:ascii="Times New Roman" w:hAnsi="Times New Roman" w:cs="Times New Roman"/>
          <w:lang w:val="pt-BR"/>
        </w:rPr>
        <w:lastRenderedPageBreak/>
        <w:t xml:space="preserve">natureza do fluxo contínuo da circulação fornecida pela bomba. A </w:t>
      </w:r>
      <w:proofErr w:type="spellStart"/>
      <w:r w:rsidR="001B1D1E" w:rsidRPr="002D19E7">
        <w:rPr>
          <w:rFonts w:ascii="Times New Roman" w:hAnsi="Times New Roman" w:cs="Times New Roman"/>
          <w:lang w:val="pt-BR"/>
        </w:rPr>
        <w:t>ultra</w:t>
      </w:r>
      <w:r w:rsidRPr="002D19E7">
        <w:rPr>
          <w:rFonts w:ascii="Times New Roman" w:hAnsi="Times New Roman" w:cs="Times New Roman"/>
          <w:lang w:val="pt-BR"/>
        </w:rPr>
        <w:t>sonografia</w:t>
      </w:r>
      <w:proofErr w:type="spellEnd"/>
      <w:r w:rsidRPr="002D19E7">
        <w:rPr>
          <w:rFonts w:ascii="Times New Roman" w:hAnsi="Times New Roman" w:cs="Times New Roman"/>
          <w:lang w:val="pt-BR"/>
        </w:rPr>
        <w:t xml:space="preserve"> com Doppler vascular é frequentemente usada para determinar a pressão sanguínea com o primeiro som de abertura correlacionado à pressão arterial média do </w:t>
      </w:r>
      <w:r w:rsidR="00121398">
        <w:rPr>
          <w:rFonts w:ascii="Times New Roman" w:hAnsi="Times New Roman" w:cs="Times New Roman"/>
          <w:lang w:val="pt-BR"/>
        </w:rPr>
        <w:t>doente</w:t>
      </w:r>
      <w:r w:rsidRPr="002D19E7">
        <w:rPr>
          <w:rFonts w:ascii="Times New Roman" w:hAnsi="Times New Roman" w:cs="Times New Roman"/>
          <w:lang w:val="pt-BR"/>
        </w:rPr>
        <w:t xml:space="preserve">, que deve ser de aproximadamente 80 mmHg ou um pouco menos. Palpar um pulso é difícil; portanto, um monitor cardíaco deve ser </w:t>
      </w:r>
      <w:r w:rsidR="001B1D1E" w:rsidRPr="002D19E7">
        <w:rPr>
          <w:rFonts w:ascii="Times New Roman" w:hAnsi="Times New Roman" w:cs="Times New Roman"/>
          <w:lang w:val="pt-BR"/>
        </w:rPr>
        <w:t>instalado</w:t>
      </w:r>
      <w:r w:rsidRPr="002D19E7">
        <w:rPr>
          <w:rFonts w:ascii="Times New Roman" w:hAnsi="Times New Roman" w:cs="Times New Roman"/>
          <w:lang w:val="pt-BR"/>
        </w:rPr>
        <w:t xml:space="preserve">. A </w:t>
      </w:r>
      <w:proofErr w:type="spellStart"/>
      <w:r w:rsidRPr="002D19E7">
        <w:rPr>
          <w:rFonts w:ascii="Times New Roman" w:hAnsi="Times New Roman" w:cs="Times New Roman"/>
          <w:lang w:val="pt-BR"/>
        </w:rPr>
        <w:t>oximetria</w:t>
      </w:r>
      <w:proofErr w:type="spellEnd"/>
      <w:r w:rsidRPr="002D19E7">
        <w:rPr>
          <w:rFonts w:ascii="Times New Roman" w:hAnsi="Times New Roman" w:cs="Times New Roman"/>
          <w:lang w:val="pt-BR"/>
        </w:rPr>
        <w:t xml:space="preserve"> de pulso geralmente é </w:t>
      </w:r>
      <w:r w:rsidR="001B1D1E" w:rsidRPr="002D19E7">
        <w:rPr>
          <w:rFonts w:ascii="Times New Roman" w:hAnsi="Times New Roman" w:cs="Times New Roman"/>
          <w:lang w:val="pt-BR"/>
        </w:rPr>
        <w:t>imprecis</w:t>
      </w:r>
      <w:r w:rsidR="002F717B">
        <w:rPr>
          <w:rFonts w:ascii="Times New Roman" w:hAnsi="Times New Roman" w:cs="Times New Roman"/>
          <w:lang w:val="pt-BR"/>
        </w:rPr>
        <w:t>a</w:t>
      </w:r>
      <w:r w:rsidR="001B1D1E" w:rsidRPr="002D19E7">
        <w:rPr>
          <w:rFonts w:ascii="Times New Roman" w:hAnsi="Times New Roman" w:cs="Times New Roman"/>
          <w:lang w:val="pt-BR"/>
        </w:rPr>
        <w:t xml:space="preserve"> ou </w:t>
      </w:r>
      <w:r w:rsidRPr="002D19E7">
        <w:rPr>
          <w:rFonts w:ascii="Times New Roman" w:hAnsi="Times New Roman" w:cs="Times New Roman"/>
          <w:lang w:val="pt-BR"/>
        </w:rPr>
        <w:t xml:space="preserve">impossível de </w:t>
      </w:r>
      <w:r w:rsidR="001B1D1E" w:rsidRPr="002D19E7">
        <w:rPr>
          <w:rFonts w:ascii="Times New Roman" w:hAnsi="Times New Roman" w:cs="Times New Roman"/>
          <w:lang w:val="pt-BR"/>
        </w:rPr>
        <w:t xml:space="preserve">ser </w:t>
      </w:r>
      <w:r w:rsidRPr="002D19E7">
        <w:rPr>
          <w:rFonts w:ascii="Times New Roman" w:hAnsi="Times New Roman" w:cs="Times New Roman"/>
          <w:lang w:val="pt-BR"/>
        </w:rPr>
        <w:t>obt</w:t>
      </w:r>
      <w:r w:rsidR="001B1D1E" w:rsidRPr="002D19E7">
        <w:rPr>
          <w:rFonts w:ascii="Times New Roman" w:hAnsi="Times New Roman" w:cs="Times New Roman"/>
          <w:lang w:val="pt-BR"/>
        </w:rPr>
        <w:t>ida</w:t>
      </w:r>
      <w:r w:rsidRPr="002D19E7">
        <w:rPr>
          <w:rFonts w:ascii="Times New Roman" w:hAnsi="Times New Roman" w:cs="Times New Roman"/>
          <w:lang w:val="pt-BR"/>
        </w:rPr>
        <w:t xml:space="preserve">. Sinais clínicos, como cor da pele e nível de consciência, são importantes para avaliar a fisiologia do </w:t>
      </w:r>
      <w:r w:rsidR="00121398">
        <w:rPr>
          <w:rFonts w:ascii="Times New Roman" w:hAnsi="Times New Roman" w:cs="Times New Roman"/>
          <w:lang w:val="pt-BR"/>
        </w:rPr>
        <w:t>doente</w:t>
      </w:r>
      <w:r w:rsidRPr="002D19E7">
        <w:rPr>
          <w:rFonts w:ascii="Times New Roman" w:hAnsi="Times New Roman" w:cs="Times New Roman"/>
          <w:lang w:val="pt-BR"/>
        </w:rPr>
        <w:t>.</w:t>
      </w:r>
    </w:p>
    <w:p w14:paraId="6D4E79C6" w14:textId="34A0009A" w:rsidR="004D12C9" w:rsidRPr="002D19E7" w:rsidRDefault="004D12C9" w:rsidP="004D12C9">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Todos os </w:t>
      </w:r>
      <w:proofErr w:type="spellStart"/>
      <w:r w:rsidRPr="002D19E7">
        <w:rPr>
          <w:rFonts w:ascii="Times New Roman" w:hAnsi="Times New Roman" w:cs="Times New Roman"/>
          <w:lang w:val="pt-BR"/>
        </w:rPr>
        <w:t>D</w:t>
      </w:r>
      <w:r w:rsidR="001B1D1E" w:rsidRPr="002D19E7">
        <w:rPr>
          <w:rFonts w:ascii="Times New Roman" w:hAnsi="Times New Roman" w:cs="Times New Roman"/>
          <w:lang w:val="pt-BR"/>
        </w:rPr>
        <w:t>AV</w:t>
      </w:r>
      <w:r w:rsidRPr="002D19E7">
        <w:rPr>
          <w:rFonts w:ascii="Times New Roman" w:hAnsi="Times New Roman" w:cs="Times New Roman"/>
          <w:lang w:val="pt-BR"/>
        </w:rPr>
        <w:t>s</w:t>
      </w:r>
      <w:proofErr w:type="spellEnd"/>
      <w:r w:rsidRPr="002D19E7">
        <w:rPr>
          <w:rFonts w:ascii="Times New Roman" w:hAnsi="Times New Roman" w:cs="Times New Roman"/>
          <w:lang w:val="pt-BR"/>
        </w:rPr>
        <w:t xml:space="preserve"> </w:t>
      </w:r>
      <w:r w:rsidR="001B1D1E" w:rsidRPr="002D19E7">
        <w:rPr>
          <w:rFonts w:ascii="Times New Roman" w:hAnsi="Times New Roman" w:cs="Times New Roman"/>
          <w:lang w:val="pt-BR"/>
        </w:rPr>
        <w:t>vão emitir alarmes</w:t>
      </w:r>
      <w:r w:rsidRPr="002D19E7">
        <w:rPr>
          <w:rFonts w:ascii="Times New Roman" w:hAnsi="Times New Roman" w:cs="Times New Roman"/>
          <w:lang w:val="pt-BR"/>
        </w:rPr>
        <w:t xml:space="preserve"> quando forem identificadas falhas e dificuldades no equipamento. </w:t>
      </w:r>
      <w:r w:rsidR="001B1D1E" w:rsidRPr="002D19E7">
        <w:rPr>
          <w:rFonts w:ascii="Times New Roman" w:hAnsi="Times New Roman" w:cs="Times New Roman"/>
          <w:lang w:val="pt-BR"/>
        </w:rPr>
        <w:t>Ainda no hospital</w:t>
      </w:r>
      <w:r w:rsidR="002F717B">
        <w:rPr>
          <w:rFonts w:ascii="Times New Roman" w:hAnsi="Times New Roman" w:cs="Times New Roman"/>
          <w:lang w:val="pt-BR"/>
        </w:rPr>
        <w:t>,</w:t>
      </w:r>
      <w:r w:rsidR="001B1D1E" w:rsidRPr="002D19E7">
        <w:rPr>
          <w:rFonts w:ascii="Times New Roman" w:hAnsi="Times New Roman" w:cs="Times New Roman"/>
          <w:lang w:val="pt-BR"/>
        </w:rPr>
        <w:t xml:space="preserve"> o</w:t>
      </w:r>
      <w:r w:rsidRPr="002D19E7">
        <w:rPr>
          <w:rFonts w:ascii="Times New Roman" w:hAnsi="Times New Roman" w:cs="Times New Roman"/>
          <w:lang w:val="pt-BR"/>
        </w:rPr>
        <w:t xml:space="preserve">s </w:t>
      </w:r>
      <w:r w:rsidR="00121398">
        <w:rPr>
          <w:rFonts w:ascii="Times New Roman" w:hAnsi="Times New Roman" w:cs="Times New Roman"/>
          <w:lang w:val="pt-BR"/>
        </w:rPr>
        <w:t>doente</w:t>
      </w:r>
      <w:r w:rsidRPr="002D19E7">
        <w:rPr>
          <w:rFonts w:ascii="Times New Roman" w:hAnsi="Times New Roman" w:cs="Times New Roman"/>
          <w:lang w:val="pt-BR"/>
        </w:rPr>
        <w:t xml:space="preserve">s e suas famílias são treinados para corrigir esses problemas antes que os </w:t>
      </w:r>
      <w:r w:rsidR="00121398">
        <w:rPr>
          <w:rFonts w:ascii="Times New Roman" w:hAnsi="Times New Roman" w:cs="Times New Roman"/>
          <w:lang w:val="pt-BR"/>
        </w:rPr>
        <w:t>doente</w:t>
      </w:r>
      <w:r w:rsidRPr="002D19E7">
        <w:rPr>
          <w:rFonts w:ascii="Times New Roman" w:hAnsi="Times New Roman" w:cs="Times New Roman"/>
          <w:lang w:val="pt-BR"/>
        </w:rPr>
        <w:t xml:space="preserve">s </w:t>
      </w:r>
      <w:r w:rsidR="001B1D1E" w:rsidRPr="002D19E7">
        <w:rPr>
          <w:rFonts w:ascii="Times New Roman" w:hAnsi="Times New Roman" w:cs="Times New Roman"/>
          <w:lang w:val="pt-BR"/>
        </w:rPr>
        <w:t>recebam alta hospitalar.</w:t>
      </w:r>
      <w:r w:rsidRPr="002D19E7">
        <w:rPr>
          <w:rFonts w:ascii="Times New Roman" w:hAnsi="Times New Roman" w:cs="Times New Roman"/>
          <w:lang w:val="pt-BR"/>
        </w:rPr>
        <w:t xml:space="preserve"> Os </w:t>
      </w:r>
      <w:r w:rsidR="00121398">
        <w:rPr>
          <w:rFonts w:ascii="Times New Roman" w:hAnsi="Times New Roman" w:cs="Times New Roman"/>
          <w:lang w:val="pt-BR"/>
        </w:rPr>
        <w:t>doente</w:t>
      </w:r>
      <w:r w:rsidRPr="002D19E7">
        <w:rPr>
          <w:rFonts w:ascii="Times New Roman" w:hAnsi="Times New Roman" w:cs="Times New Roman"/>
          <w:lang w:val="pt-BR"/>
        </w:rPr>
        <w:t>s geralmente viajam com baterias e controladores de dispositivos</w:t>
      </w:r>
      <w:r w:rsidR="001B1D1E" w:rsidRPr="002D19E7">
        <w:rPr>
          <w:rFonts w:ascii="Times New Roman" w:hAnsi="Times New Roman" w:cs="Times New Roman"/>
          <w:lang w:val="pt-BR"/>
        </w:rPr>
        <w:t xml:space="preserve"> sobressalentes que</w:t>
      </w:r>
      <w:r w:rsidRPr="002D19E7">
        <w:rPr>
          <w:rFonts w:ascii="Times New Roman" w:hAnsi="Times New Roman" w:cs="Times New Roman"/>
          <w:lang w:val="pt-BR"/>
        </w:rPr>
        <w:t xml:space="preserve"> podem ser facilmente trocados para corrigir e evitar falhas no equipamento.</w:t>
      </w:r>
    </w:p>
    <w:p w14:paraId="058E76A0" w14:textId="0D5A5A1E" w:rsidR="001B1D1E" w:rsidRPr="002D19E7" w:rsidRDefault="001B1D1E" w:rsidP="001B1D1E">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Parada cardio</w:t>
      </w:r>
      <w:r w:rsidR="003D03E0" w:rsidRPr="002D19E7">
        <w:rPr>
          <w:rFonts w:ascii="Times New Roman" w:hAnsi="Times New Roman" w:cs="Times New Roman"/>
          <w:lang w:val="pt-BR"/>
        </w:rPr>
        <w:t>rrespiratória</w:t>
      </w:r>
      <w:r w:rsidRPr="002D19E7">
        <w:rPr>
          <w:rFonts w:ascii="Times New Roman" w:hAnsi="Times New Roman" w:cs="Times New Roman"/>
          <w:lang w:val="pt-BR"/>
        </w:rPr>
        <w:t xml:space="preserve"> e </w:t>
      </w:r>
      <w:r w:rsidR="003D03E0" w:rsidRPr="002D19E7">
        <w:rPr>
          <w:rFonts w:ascii="Times New Roman" w:hAnsi="Times New Roman" w:cs="Times New Roman"/>
          <w:lang w:val="pt-BR"/>
        </w:rPr>
        <w:t>ar</w:t>
      </w:r>
      <w:r w:rsidRPr="002D19E7">
        <w:rPr>
          <w:rFonts w:ascii="Times New Roman" w:hAnsi="Times New Roman" w:cs="Times New Roman"/>
          <w:lang w:val="pt-BR"/>
        </w:rPr>
        <w:t xml:space="preserve">ritmias instáveis ​​são frequentemente difíceis de </w:t>
      </w:r>
      <w:r w:rsidR="00F16EB9">
        <w:rPr>
          <w:rFonts w:ascii="Times New Roman" w:hAnsi="Times New Roman" w:cs="Times New Roman"/>
          <w:lang w:val="pt-BR"/>
        </w:rPr>
        <w:t xml:space="preserve">se </w:t>
      </w:r>
      <w:r w:rsidRPr="002D19E7">
        <w:rPr>
          <w:rFonts w:ascii="Times New Roman" w:hAnsi="Times New Roman" w:cs="Times New Roman"/>
          <w:lang w:val="pt-BR"/>
        </w:rPr>
        <w:t xml:space="preserve">determinar clinicamente. A ausência de pulso e a incapacidade de obter pressão arterial são achados normais em </w:t>
      </w:r>
      <w:r w:rsidR="00121398">
        <w:rPr>
          <w:rFonts w:ascii="Times New Roman" w:hAnsi="Times New Roman" w:cs="Times New Roman"/>
          <w:lang w:val="pt-BR"/>
        </w:rPr>
        <w:t>doente</w:t>
      </w:r>
      <w:r w:rsidRPr="002D19E7">
        <w:rPr>
          <w:rFonts w:ascii="Times New Roman" w:hAnsi="Times New Roman" w:cs="Times New Roman"/>
          <w:lang w:val="pt-BR"/>
        </w:rPr>
        <w:t>s com DAV. A falta de resposta, a apneia e a ausência de um zumbido mecânico na ausculta cardíaca são melhores indicadores de parada card</w:t>
      </w:r>
      <w:r w:rsidR="003D03E0" w:rsidRPr="002D19E7">
        <w:rPr>
          <w:rFonts w:ascii="Times New Roman" w:hAnsi="Times New Roman" w:cs="Times New Roman"/>
          <w:lang w:val="pt-BR"/>
        </w:rPr>
        <w:t>iorrespiratória</w:t>
      </w:r>
      <w:r w:rsidRPr="002D19E7">
        <w:rPr>
          <w:rFonts w:ascii="Times New Roman" w:hAnsi="Times New Roman" w:cs="Times New Roman"/>
          <w:lang w:val="pt-BR"/>
        </w:rPr>
        <w:t xml:space="preserve">. Os autores, assim como a American Heart </w:t>
      </w:r>
      <w:proofErr w:type="spellStart"/>
      <w:r w:rsidRPr="002D19E7">
        <w:rPr>
          <w:rFonts w:ascii="Times New Roman" w:hAnsi="Times New Roman" w:cs="Times New Roman"/>
          <w:lang w:val="pt-BR"/>
        </w:rPr>
        <w:t>Association</w:t>
      </w:r>
      <w:proofErr w:type="spellEnd"/>
      <w:r w:rsidRPr="002D19E7">
        <w:rPr>
          <w:rFonts w:ascii="Times New Roman" w:hAnsi="Times New Roman" w:cs="Times New Roman"/>
          <w:lang w:val="pt-BR"/>
        </w:rPr>
        <w:t xml:space="preserve">, recomendam a RCP manual para </w:t>
      </w:r>
      <w:r w:rsidR="00121398">
        <w:rPr>
          <w:rFonts w:ascii="Times New Roman" w:hAnsi="Times New Roman" w:cs="Times New Roman"/>
          <w:lang w:val="pt-BR"/>
        </w:rPr>
        <w:t>doente</w:t>
      </w:r>
      <w:r w:rsidRPr="002D19E7">
        <w:rPr>
          <w:rFonts w:ascii="Times New Roman" w:hAnsi="Times New Roman" w:cs="Times New Roman"/>
          <w:lang w:val="pt-BR"/>
        </w:rPr>
        <w:t>s com DA</w:t>
      </w:r>
      <w:r w:rsidR="003D03E0" w:rsidRPr="002D19E7">
        <w:rPr>
          <w:rFonts w:ascii="Times New Roman" w:hAnsi="Times New Roman" w:cs="Times New Roman"/>
          <w:lang w:val="pt-BR"/>
        </w:rPr>
        <w:t>V</w:t>
      </w:r>
      <w:r w:rsidRPr="002D19E7">
        <w:rPr>
          <w:rFonts w:ascii="Times New Roman" w:hAnsi="Times New Roman" w:cs="Times New Roman"/>
          <w:lang w:val="pt-BR"/>
        </w:rPr>
        <w:t xml:space="preserve">, conforme descrito acima. Os autores não recomendam o uso de dispositivos mecânicos de compressão torácica em </w:t>
      </w:r>
      <w:r w:rsidR="00121398">
        <w:rPr>
          <w:rFonts w:ascii="Times New Roman" w:hAnsi="Times New Roman" w:cs="Times New Roman"/>
          <w:lang w:val="pt-BR"/>
        </w:rPr>
        <w:t>doente</w:t>
      </w:r>
      <w:r w:rsidRPr="002D19E7">
        <w:rPr>
          <w:rFonts w:ascii="Times New Roman" w:hAnsi="Times New Roman" w:cs="Times New Roman"/>
          <w:lang w:val="pt-BR"/>
        </w:rPr>
        <w:t xml:space="preserve">s com DAV. As </w:t>
      </w:r>
      <w:r w:rsidR="003D03E0" w:rsidRPr="002D19E7">
        <w:rPr>
          <w:rFonts w:ascii="Times New Roman" w:hAnsi="Times New Roman" w:cs="Times New Roman"/>
          <w:lang w:val="pt-BR"/>
        </w:rPr>
        <w:t>ar</w:t>
      </w:r>
      <w:r w:rsidRPr="002D19E7">
        <w:rPr>
          <w:rFonts w:ascii="Times New Roman" w:hAnsi="Times New Roman" w:cs="Times New Roman"/>
          <w:lang w:val="pt-BR"/>
        </w:rPr>
        <w:t>ritmias sintomáticas, incluindo fibrilação ventricular, devem ser tratadas usando algoritmos padrão do ACLS.</w:t>
      </w:r>
    </w:p>
    <w:p w14:paraId="031C298C" w14:textId="47FCE0C2" w:rsidR="003D03E0" w:rsidRPr="002D19E7" w:rsidRDefault="001B1D1E" w:rsidP="0066525D">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Os princípios e protocolos do Suporte Avançado à Vida </w:t>
      </w:r>
      <w:r w:rsidR="003D03E0" w:rsidRPr="002D19E7">
        <w:rPr>
          <w:rFonts w:ascii="Times New Roman" w:hAnsi="Times New Roman" w:cs="Times New Roman"/>
          <w:lang w:val="pt-BR"/>
        </w:rPr>
        <w:t>no</w:t>
      </w:r>
      <w:r w:rsidRPr="002D19E7">
        <w:rPr>
          <w:rFonts w:ascii="Times New Roman" w:hAnsi="Times New Roman" w:cs="Times New Roman"/>
          <w:lang w:val="pt-BR"/>
        </w:rPr>
        <w:t xml:space="preserve"> Trauma aplicam-se </w:t>
      </w:r>
      <w:r w:rsidR="00F16EB9">
        <w:rPr>
          <w:rFonts w:ascii="Times New Roman" w:hAnsi="Times New Roman" w:cs="Times New Roman"/>
          <w:lang w:val="pt-BR"/>
        </w:rPr>
        <w:t>a</w:t>
      </w:r>
      <w:r w:rsidRPr="002D19E7">
        <w:rPr>
          <w:rFonts w:ascii="Times New Roman" w:hAnsi="Times New Roman" w:cs="Times New Roman"/>
          <w:lang w:val="pt-BR"/>
        </w:rPr>
        <w:t xml:space="preserve"> todos os </w:t>
      </w:r>
      <w:r w:rsidR="00121398">
        <w:rPr>
          <w:rFonts w:ascii="Times New Roman" w:hAnsi="Times New Roman" w:cs="Times New Roman"/>
          <w:lang w:val="pt-BR"/>
        </w:rPr>
        <w:t>doente</w:t>
      </w:r>
      <w:r w:rsidRPr="002D19E7">
        <w:rPr>
          <w:rFonts w:ascii="Times New Roman" w:hAnsi="Times New Roman" w:cs="Times New Roman"/>
          <w:lang w:val="pt-BR"/>
        </w:rPr>
        <w:t>s com DA</w:t>
      </w:r>
      <w:r w:rsidR="003D03E0" w:rsidRPr="002D19E7">
        <w:rPr>
          <w:rFonts w:ascii="Times New Roman" w:hAnsi="Times New Roman" w:cs="Times New Roman"/>
          <w:lang w:val="pt-BR"/>
        </w:rPr>
        <w:t>V</w:t>
      </w:r>
      <w:r w:rsidRPr="002D19E7">
        <w:rPr>
          <w:rFonts w:ascii="Times New Roman" w:hAnsi="Times New Roman" w:cs="Times New Roman"/>
          <w:lang w:val="pt-BR"/>
        </w:rPr>
        <w:t xml:space="preserve"> que sofrem uma lesão traumática contundente ou penetrante. Todos os </w:t>
      </w:r>
      <w:r w:rsidR="00121398">
        <w:rPr>
          <w:rFonts w:ascii="Times New Roman" w:hAnsi="Times New Roman" w:cs="Times New Roman"/>
          <w:lang w:val="pt-BR"/>
        </w:rPr>
        <w:t>doente</w:t>
      </w:r>
      <w:r w:rsidRPr="002D19E7">
        <w:rPr>
          <w:rFonts w:ascii="Times New Roman" w:hAnsi="Times New Roman" w:cs="Times New Roman"/>
          <w:lang w:val="pt-BR"/>
        </w:rPr>
        <w:t>s com DAV recebem terapia antitrombótica e isso deve ser considerado durante a triagem do trauma. O maior risco para um</w:t>
      </w:r>
      <w:r w:rsidR="003D03E0" w:rsidRPr="002D19E7">
        <w:rPr>
          <w:rFonts w:ascii="Times New Roman" w:hAnsi="Times New Roman" w:cs="Times New Roman"/>
          <w:lang w:val="pt-BR"/>
        </w:rPr>
        <w:t xml:space="preserve"> Suporte Circulatório Mecânico</w:t>
      </w:r>
      <w:r w:rsidRPr="002D19E7">
        <w:rPr>
          <w:rFonts w:ascii="Times New Roman" w:hAnsi="Times New Roman" w:cs="Times New Roman"/>
          <w:lang w:val="pt-BR"/>
        </w:rPr>
        <w:t xml:space="preserve"> </w:t>
      </w:r>
      <w:r w:rsidR="003D03E0" w:rsidRPr="002D19E7">
        <w:rPr>
          <w:rFonts w:ascii="Times New Roman" w:hAnsi="Times New Roman" w:cs="Times New Roman"/>
          <w:lang w:val="pt-BR"/>
        </w:rPr>
        <w:t>(SCM)</w:t>
      </w:r>
      <w:r w:rsidRPr="002D19E7">
        <w:rPr>
          <w:rFonts w:ascii="Times New Roman" w:hAnsi="Times New Roman" w:cs="Times New Roman"/>
          <w:lang w:val="pt-BR"/>
        </w:rPr>
        <w:t xml:space="preserve"> durante um evento traumático é o deslocamento ou dano à bomba e / ou linha de transmissão. </w:t>
      </w:r>
      <w:r w:rsidR="00F16EB9">
        <w:rPr>
          <w:rFonts w:ascii="Times New Roman" w:hAnsi="Times New Roman" w:cs="Times New Roman"/>
          <w:lang w:val="pt-BR"/>
        </w:rPr>
        <w:t>Uma radiografia</w:t>
      </w:r>
      <w:r w:rsidRPr="002D19E7">
        <w:rPr>
          <w:rFonts w:ascii="Times New Roman" w:hAnsi="Times New Roman" w:cs="Times New Roman"/>
          <w:lang w:val="pt-BR"/>
        </w:rPr>
        <w:t xml:space="preserve"> da linha de transmissão deve ser obtid</w:t>
      </w:r>
      <w:r w:rsidR="00F16EB9">
        <w:rPr>
          <w:rFonts w:ascii="Times New Roman" w:hAnsi="Times New Roman" w:cs="Times New Roman"/>
          <w:lang w:val="pt-BR"/>
        </w:rPr>
        <w:t>a</w:t>
      </w:r>
      <w:r w:rsidRPr="002D19E7">
        <w:rPr>
          <w:rFonts w:ascii="Times New Roman" w:hAnsi="Times New Roman" w:cs="Times New Roman"/>
          <w:lang w:val="pt-BR"/>
        </w:rPr>
        <w:t xml:space="preserve"> na chegada ao hospital para confirmar a posição e a integridade da bomba.</w:t>
      </w:r>
    </w:p>
    <w:p w14:paraId="498530AA" w14:textId="7824B034" w:rsidR="003D03E0" w:rsidRPr="002D19E7" w:rsidRDefault="001B1D1E" w:rsidP="00F03698">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Infecção e sepse são complicações comuns d</w:t>
      </w:r>
      <w:r w:rsidR="0063140B">
        <w:rPr>
          <w:rFonts w:ascii="Times New Roman" w:hAnsi="Times New Roman" w:cs="Times New Roman"/>
          <w:lang w:val="pt-BR"/>
        </w:rPr>
        <w:t>e</w:t>
      </w:r>
      <w:r w:rsidRPr="002D19E7">
        <w:rPr>
          <w:rFonts w:ascii="Times New Roman" w:hAnsi="Times New Roman" w:cs="Times New Roman"/>
          <w:lang w:val="pt-BR"/>
        </w:rPr>
        <w:t xml:space="preserve"> </w:t>
      </w:r>
      <w:r w:rsidR="00121398">
        <w:rPr>
          <w:rFonts w:ascii="Times New Roman" w:hAnsi="Times New Roman" w:cs="Times New Roman"/>
          <w:lang w:val="pt-BR"/>
        </w:rPr>
        <w:t>doente</w:t>
      </w:r>
      <w:r w:rsidR="00851522" w:rsidRPr="002D19E7">
        <w:rPr>
          <w:rFonts w:ascii="Times New Roman" w:hAnsi="Times New Roman" w:cs="Times New Roman"/>
          <w:lang w:val="pt-BR"/>
        </w:rPr>
        <w:t>s com SCM</w:t>
      </w:r>
      <w:r w:rsidRPr="002D19E7">
        <w:rPr>
          <w:rFonts w:ascii="Times New Roman" w:hAnsi="Times New Roman" w:cs="Times New Roman"/>
          <w:lang w:val="pt-BR"/>
        </w:rPr>
        <w:t xml:space="preserve"> e podem ter sérias </w:t>
      </w:r>
      <w:r w:rsidR="00851522" w:rsidRPr="002D19E7">
        <w:rPr>
          <w:rFonts w:ascii="Times New Roman" w:hAnsi="Times New Roman" w:cs="Times New Roman"/>
          <w:lang w:val="pt-BR"/>
        </w:rPr>
        <w:t>co</w:t>
      </w:r>
      <w:r w:rsidRPr="002D19E7">
        <w:rPr>
          <w:rFonts w:ascii="Times New Roman" w:hAnsi="Times New Roman" w:cs="Times New Roman"/>
          <w:lang w:val="pt-BR"/>
        </w:rPr>
        <w:t xml:space="preserve">mplicações para </w:t>
      </w:r>
      <w:r w:rsidR="00121398">
        <w:rPr>
          <w:rFonts w:ascii="Times New Roman" w:hAnsi="Times New Roman" w:cs="Times New Roman"/>
          <w:lang w:val="pt-BR"/>
        </w:rPr>
        <w:t>doente</w:t>
      </w:r>
      <w:r w:rsidRPr="002D19E7">
        <w:rPr>
          <w:rFonts w:ascii="Times New Roman" w:hAnsi="Times New Roman" w:cs="Times New Roman"/>
          <w:lang w:val="pt-BR"/>
        </w:rPr>
        <w:t xml:space="preserve">s com DAV, especificamente </w:t>
      </w:r>
      <w:r w:rsidR="00121398">
        <w:rPr>
          <w:rFonts w:ascii="Times New Roman" w:hAnsi="Times New Roman" w:cs="Times New Roman"/>
          <w:lang w:val="pt-BR"/>
        </w:rPr>
        <w:t>doente</w:t>
      </w:r>
      <w:r w:rsidRPr="002D19E7">
        <w:rPr>
          <w:rFonts w:ascii="Times New Roman" w:hAnsi="Times New Roman" w:cs="Times New Roman"/>
          <w:lang w:val="pt-BR"/>
        </w:rPr>
        <w:t xml:space="preserve">s com TD. As infecções comuns relacionadas à DAV incluem infecções </w:t>
      </w:r>
      <w:r w:rsidR="00706EAB" w:rsidRPr="002D19E7">
        <w:rPr>
          <w:rFonts w:ascii="Times New Roman" w:hAnsi="Times New Roman" w:cs="Times New Roman"/>
          <w:lang w:val="pt-BR"/>
        </w:rPr>
        <w:t>na linha de transmissão</w:t>
      </w:r>
      <w:r w:rsidRPr="002D19E7">
        <w:rPr>
          <w:rFonts w:ascii="Times New Roman" w:hAnsi="Times New Roman" w:cs="Times New Roman"/>
          <w:lang w:val="pt-BR"/>
        </w:rPr>
        <w:t xml:space="preserve"> que variam de eritema da pele, celulite e infecções profundas que abrangem a fáscia e o músculo. As infecções </w:t>
      </w:r>
      <w:r w:rsidR="00B96FD3" w:rsidRPr="002D19E7">
        <w:rPr>
          <w:rFonts w:ascii="Times New Roman" w:hAnsi="Times New Roman" w:cs="Times New Roman"/>
          <w:lang w:val="pt-BR"/>
        </w:rPr>
        <w:t>podem acometer</w:t>
      </w:r>
      <w:r w:rsidRPr="002D19E7">
        <w:rPr>
          <w:rFonts w:ascii="Times New Roman" w:hAnsi="Times New Roman" w:cs="Times New Roman"/>
          <w:lang w:val="pt-BR"/>
        </w:rPr>
        <w:t xml:space="preserve"> a “bolsa” onde a bomba é implantada cirurgicamente. Isso geralmente resulta em coleta de fluido</w:t>
      </w:r>
      <w:r w:rsidR="00B96FD3" w:rsidRPr="002D19E7">
        <w:rPr>
          <w:rFonts w:ascii="Times New Roman" w:hAnsi="Times New Roman" w:cs="Times New Roman"/>
          <w:lang w:val="pt-BR"/>
        </w:rPr>
        <w:t>s</w:t>
      </w:r>
      <w:r w:rsidR="00706EAB" w:rsidRPr="002D19E7">
        <w:rPr>
          <w:rFonts w:ascii="Times New Roman" w:hAnsi="Times New Roman" w:cs="Times New Roman"/>
          <w:lang w:val="pt-BR"/>
        </w:rPr>
        <w:t xml:space="preserve"> desse compartimento</w:t>
      </w:r>
      <w:r w:rsidRPr="002D19E7">
        <w:rPr>
          <w:rFonts w:ascii="Times New Roman" w:hAnsi="Times New Roman" w:cs="Times New Roman"/>
          <w:lang w:val="pt-BR"/>
        </w:rPr>
        <w:t xml:space="preserve">. As infecções da corrente sanguínea ocorrem em até 30% dos </w:t>
      </w:r>
      <w:r w:rsidR="00121398">
        <w:rPr>
          <w:rFonts w:ascii="Times New Roman" w:hAnsi="Times New Roman" w:cs="Times New Roman"/>
          <w:lang w:val="pt-BR"/>
        </w:rPr>
        <w:t>doente</w:t>
      </w:r>
      <w:r w:rsidRPr="002D19E7">
        <w:rPr>
          <w:rFonts w:ascii="Times New Roman" w:hAnsi="Times New Roman" w:cs="Times New Roman"/>
          <w:lang w:val="pt-BR"/>
        </w:rPr>
        <w:t xml:space="preserve">s com </w:t>
      </w:r>
      <w:proofErr w:type="spellStart"/>
      <w:r w:rsidR="00B96FD3" w:rsidRPr="002D19E7">
        <w:rPr>
          <w:rFonts w:ascii="Times New Roman" w:hAnsi="Times New Roman" w:cs="Times New Roman"/>
          <w:lang w:val="pt-BR"/>
        </w:rPr>
        <w:t>DAVs</w:t>
      </w:r>
      <w:proofErr w:type="spellEnd"/>
      <w:r w:rsidRPr="002D19E7">
        <w:rPr>
          <w:rFonts w:ascii="Times New Roman" w:hAnsi="Times New Roman" w:cs="Times New Roman"/>
          <w:lang w:val="pt-BR"/>
        </w:rPr>
        <w:t>, geralmente nos três primeiros meses de implantação do S</w:t>
      </w:r>
      <w:r w:rsidR="00B96FD3" w:rsidRPr="002D19E7">
        <w:rPr>
          <w:rFonts w:ascii="Times New Roman" w:hAnsi="Times New Roman" w:cs="Times New Roman"/>
          <w:lang w:val="pt-BR"/>
        </w:rPr>
        <w:t>CM</w:t>
      </w:r>
      <w:r w:rsidRPr="002D19E7">
        <w:rPr>
          <w:rFonts w:ascii="Times New Roman" w:hAnsi="Times New Roman" w:cs="Times New Roman"/>
          <w:lang w:val="pt-BR"/>
        </w:rPr>
        <w:t xml:space="preserve"> e podem estar relacionadas à bomba, linha de transmissão, bolsa ou outras fontes. Os </w:t>
      </w:r>
      <w:r w:rsidR="00121398">
        <w:rPr>
          <w:rFonts w:ascii="Times New Roman" w:hAnsi="Times New Roman" w:cs="Times New Roman"/>
          <w:lang w:val="pt-BR"/>
        </w:rPr>
        <w:t>doente</w:t>
      </w:r>
      <w:r w:rsidRPr="002D19E7">
        <w:rPr>
          <w:rFonts w:ascii="Times New Roman" w:hAnsi="Times New Roman" w:cs="Times New Roman"/>
          <w:lang w:val="pt-BR"/>
        </w:rPr>
        <w:t xml:space="preserve">s com </w:t>
      </w:r>
      <w:r w:rsidR="0066525D" w:rsidRPr="002D19E7">
        <w:rPr>
          <w:rFonts w:ascii="Times New Roman" w:hAnsi="Times New Roman" w:cs="Times New Roman"/>
          <w:lang w:val="pt-BR"/>
        </w:rPr>
        <w:t>SCM</w:t>
      </w:r>
      <w:r w:rsidRPr="002D19E7">
        <w:rPr>
          <w:rFonts w:ascii="Times New Roman" w:hAnsi="Times New Roman" w:cs="Times New Roman"/>
          <w:lang w:val="pt-BR"/>
        </w:rPr>
        <w:t xml:space="preserve"> também correm risco de infecções adquiridas na comunidade, como infecções do trato urinário e pneumonias. O gerenciamento de infecções associadas à DAV é baseado no tipo e extensão da infecção.</w:t>
      </w:r>
    </w:p>
    <w:p w14:paraId="10215935" w14:textId="069DC854" w:rsidR="001B1D1E" w:rsidRPr="002D19E7" w:rsidRDefault="001B1D1E" w:rsidP="001B1D1E">
      <w:pPr>
        <w:pStyle w:val="SemEspaamento"/>
        <w:ind w:firstLine="360"/>
        <w:jc w:val="both"/>
        <w:rPr>
          <w:rFonts w:ascii="Times New Roman" w:hAnsi="Times New Roman" w:cs="Times New Roman"/>
          <w:lang w:val="pt-BR"/>
        </w:rPr>
      </w:pPr>
      <w:r w:rsidRPr="002D19E7">
        <w:rPr>
          <w:rFonts w:ascii="Times New Roman" w:hAnsi="Times New Roman" w:cs="Times New Roman"/>
          <w:lang w:val="pt-BR"/>
        </w:rPr>
        <w:t xml:space="preserve">Este artigo fornece informações sobre os </w:t>
      </w:r>
      <w:proofErr w:type="spellStart"/>
      <w:r w:rsidRPr="002D19E7">
        <w:rPr>
          <w:rFonts w:ascii="Times New Roman" w:hAnsi="Times New Roman" w:cs="Times New Roman"/>
          <w:lang w:val="pt-BR"/>
        </w:rPr>
        <w:t>DAVs</w:t>
      </w:r>
      <w:proofErr w:type="spellEnd"/>
      <w:r w:rsidRPr="002D19E7">
        <w:rPr>
          <w:rFonts w:ascii="Times New Roman" w:hAnsi="Times New Roman" w:cs="Times New Roman"/>
          <w:lang w:val="pt-BR"/>
        </w:rPr>
        <w:t xml:space="preserve"> implantados, os melhores métodos para avaliar a função do dispositivo, o status do </w:t>
      </w:r>
      <w:r w:rsidR="00121398">
        <w:rPr>
          <w:rFonts w:ascii="Times New Roman" w:hAnsi="Times New Roman" w:cs="Times New Roman"/>
          <w:lang w:val="pt-BR"/>
        </w:rPr>
        <w:t>doente</w:t>
      </w:r>
      <w:r w:rsidRPr="002D19E7">
        <w:rPr>
          <w:rFonts w:ascii="Times New Roman" w:hAnsi="Times New Roman" w:cs="Times New Roman"/>
          <w:lang w:val="pt-BR"/>
        </w:rPr>
        <w:t xml:space="preserve"> e o gerenciamento de emergências relacionadas ao equipamento. À medida que mais e mais </w:t>
      </w:r>
      <w:r w:rsidR="00121398">
        <w:rPr>
          <w:rFonts w:ascii="Times New Roman" w:hAnsi="Times New Roman" w:cs="Times New Roman"/>
          <w:lang w:val="pt-BR"/>
        </w:rPr>
        <w:t>doente</w:t>
      </w:r>
      <w:r w:rsidRPr="002D19E7">
        <w:rPr>
          <w:rFonts w:ascii="Times New Roman" w:hAnsi="Times New Roman" w:cs="Times New Roman"/>
          <w:lang w:val="pt-BR"/>
        </w:rPr>
        <w:t xml:space="preserve">s retornam às nossas comunidades com </w:t>
      </w:r>
      <w:proofErr w:type="spellStart"/>
      <w:r w:rsidR="00F03698" w:rsidRPr="002D19E7">
        <w:rPr>
          <w:rFonts w:ascii="Times New Roman" w:hAnsi="Times New Roman" w:cs="Times New Roman"/>
          <w:lang w:val="pt-BR"/>
        </w:rPr>
        <w:t>DAV</w:t>
      </w:r>
      <w:r w:rsidRPr="002D19E7">
        <w:rPr>
          <w:rFonts w:ascii="Times New Roman" w:hAnsi="Times New Roman" w:cs="Times New Roman"/>
          <w:lang w:val="pt-BR"/>
        </w:rPr>
        <w:t>s</w:t>
      </w:r>
      <w:proofErr w:type="spellEnd"/>
      <w:r w:rsidRPr="002D19E7">
        <w:rPr>
          <w:rFonts w:ascii="Times New Roman" w:hAnsi="Times New Roman" w:cs="Times New Roman"/>
          <w:lang w:val="pt-BR"/>
        </w:rPr>
        <w:t xml:space="preserve">, os provedores </w:t>
      </w:r>
      <w:r w:rsidR="00F03698" w:rsidRPr="002D19E7">
        <w:rPr>
          <w:rFonts w:ascii="Times New Roman" w:hAnsi="Times New Roman" w:cs="Times New Roman"/>
          <w:lang w:val="pt-BR"/>
        </w:rPr>
        <w:t>adquirem</w:t>
      </w:r>
      <w:r w:rsidRPr="002D19E7">
        <w:rPr>
          <w:rFonts w:ascii="Times New Roman" w:hAnsi="Times New Roman" w:cs="Times New Roman"/>
          <w:lang w:val="pt-BR"/>
        </w:rPr>
        <w:t xml:space="preserve"> conhecimento no gerenciamento de emergências relacionadas a dispositivos que podem ocorrer nessa população. Os </w:t>
      </w:r>
      <w:r w:rsidR="00F03698" w:rsidRPr="002D19E7">
        <w:rPr>
          <w:rFonts w:ascii="Times New Roman" w:hAnsi="Times New Roman" w:cs="Times New Roman"/>
          <w:lang w:val="pt-BR"/>
        </w:rPr>
        <w:t>manuais de instruções</w:t>
      </w:r>
      <w:r w:rsidRPr="002D19E7">
        <w:rPr>
          <w:rFonts w:ascii="Times New Roman" w:hAnsi="Times New Roman" w:cs="Times New Roman"/>
          <w:lang w:val="pt-BR"/>
        </w:rPr>
        <w:t xml:space="preserve"> específicos do dispositivo podem ser usados ​​como um recurso para emergências relacionadas ao </w:t>
      </w:r>
      <w:r w:rsidR="00F03698" w:rsidRPr="002D19E7">
        <w:rPr>
          <w:rFonts w:ascii="Times New Roman" w:hAnsi="Times New Roman" w:cs="Times New Roman"/>
          <w:lang w:val="pt-BR"/>
        </w:rPr>
        <w:t>DAV</w:t>
      </w:r>
      <w:r w:rsidRPr="002D19E7">
        <w:rPr>
          <w:rFonts w:ascii="Times New Roman" w:hAnsi="Times New Roman" w:cs="Times New Roman"/>
          <w:lang w:val="pt-BR"/>
        </w:rPr>
        <w:t xml:space="preserve"> e podem ser encontrados em</w:t>
      </w:r>
      <w:r w:rsidR="00851522" w:rsidRPr="002D19E7">
        <w:rPr>
          <w:rFonts w:ascii="Times New Roman" w:hAnsi="Times New Roman" w:cs="Times New Roman"/>
          <w:lang w:val="pt-BR"/>
        </w:rPr>
        <w:t>:</w:t>
      </w:r>
    </w:p>
    <w:p w14:paraId="7181B535" w14:textId="0FD64465" w:rsidR="00851522" w:rsidRPr="002D19E7" w:rsidRDefault="00011B6F" w:rsidP="00F03698">
      <w:pPr>
        <w:pStyle w:val="SemEspaamento"/>
        <w:jc w:val="both"/>
        <w:rPr>
          <w:rFonts w:ascii="Times New Roman" w:hAnsi="Times New Roman" w:cs="Times New Roman"/>
          <w:lang w:val="pt-BR"/>
        </w:rPr>
      </w:pPr>
      <w:hyperlink r:id="rId9" w:history="1">
        <w:r w:rsidR="001D3A24" w:rsidRPr="002D19E7">
          <w:rPr>
            <w:rStyle w:val="Hyperlink"/>
            <w:rFonts w:ascii="Times New Roman" w:hAnsi="Times New Roman" w:cs="Times New Roman"/>
            <w:lang w:val="pt-BR"/>
          </w:rPr>
          <w:t>www.mylvad.com/medical-professionals/resource-library/ems-field-guides</w:t>
        </w:r>
      </w:hyperlink>
      <w:r w:rsidR="00851522" w:rsidRPr="002D19E7">
        <w:rPr>
          <w:rFonts w:ascii="Times New Roman" w:hAnsi="Times New Roman" w:cs="Times New Roman"/>
          <w:lang w:val="pt-BR"/>
        </w:rPr>
        <w:t>.</w:t>
      </w:r>
    </w:p>
    <w:p w14:paraId="2A0A9269" w14:textId="64801D33" w:rsidR="00C566A2" w:rsidRPr="002D19E7" w:rsidRDefault="00C566A2" w:rsidP="00F03698">
      <w:pPr>
        <w:pStyle w:val="SemEspaamento"/>
        <w:jc w:val="both"/>
        <w:rPr>
          <w:rFonts w:ascii="Times New Roman" w:hAnsi="Times New Roman" w:cs="Times New Roman"/>
          <w:lang w:val="pt-BR"/>
        </w:rPr>
      </w:pPr>
    </w:p>
    <w:p w14:paraId="21ED0AE4" w14:textId="77777777" w:rsidR="00666E03" w:rsidRPr="002D19E7" w:rsidRDefault="00666E03" w:rsidP="00F03698">
      <w:pPr>
        <w:pStyle w:val="SemEspaamento"/>
        <w:jc w:val="both"/>
        <w:rPr>
          <w:rFonts w:ascii="Times New Roman" w:hAnsi="Times New Roman" w:cs="Times New Roman"/>
          <w:lang w:val="pt-BR"/>
        </w:rPr>
      </w:pPr>
    </w:p>
    <w:p w14:paraId="7934A8E3" w14:textId="3072CDE9" w:rsidR="00C566A2" w:rsidRPr="002D19E7" w:rsidRDefault="00611A18" w:rsidP="00AB6EC4">
      <w:pPr>
        <w:pStyle w:val="PargrafodaLista"/>
        <w:numPr>
          <w:ilvl w:val="0"/>
          <w:numId w:val="21"/>
        </w:numPr>
        <w:spacing w:after="0"/>
        <w:jc w:val="both"/>
        <w:rPr>
          <w:rFonts w:ascii="Times New Roman" w:hAnsi="Times New Roman" w:cs="Times New Roman"/>
        </w:rPr>
      </w:pPr>
      <w:r w:rsidRPr="00611A18">
        <w:rPr>
          <w:rFonts w:ascii="Times New Roman" w:hAnsi="Times New Roman" w:cs="Times New Roman"/>
          <w:b/>
          <w:lang w:val="pt-BR"/>
        </w:rPr>
        <w:t>Uma investigação preliminar da perspectiva clínic</w:t>
      </w:r>
      <w:r w:rsidR="00AB6EC4">
        <w:rPr>
          <w:rFonts w:ascii="Times New Roman" w:hAnsi="Times New Roman" w:cs="Times New Roman"/>
          <w:b/>
          <w:lang w:val="pt-BR"/>
        </w:rPr>
        <w:t>a</w:t>
      </w:r>
      <w:r w:rsidRPr="00611A18">
        <w:rPr>
          <w:rFonts w:ascii="Times New Roman" w:hAnsi="Times New Roman" w:cs="Times New Roman"/>
          <w:b/>
          <w:lang w:val="pt-BR"/>
        </w:rPr>
        <w:t xml:space="preserve"> civil e orientação </w:t>
      </w:r>
      <w:proofErr w:type="spellStart"/>
      <w:r w:rsidRPr="00611A18">
        <w:rPr>
          <w:rFonts w:ascii="Times New Roman" w:hAnsi="Times New Roman" w:cs="Times New Roman"/>
          <w:b/>
          <w:lang w:val="pt-BR"/>
        </w:rPr>
        <w:t>just</w:t>
      </w:r>
      <w:proofErr w:type="spellEnd"/>
      <w:r w:rsidRPr="00611A18">
        <w:rPr>
          <w:rFonts w:ascii="Times New Roman" w:hAnsi="Times New Roman" w:cs="Times New Roman"/>
          <w:b/>
          <w:lang w:val="pt-BR"/>
        </w:rPr>
        <w:t>-</w:t>
      </w:r>
      <w:proofErr w:type="spellStart"/>
      <w:r w:rsidRPr="00611A18">
        <w:rPr>
          <w:rFonts w:ascii="Times New Roman" w:hAnsi="Times New Roman" w:cs="Times New Roman"/>
          <w:b/>
          <w:lang w:val="pt-BR"/>
        </w:rPr>
        <w:t>in-time</w:t>
      </w:r>
      <w:proofErr w:type="spellEnd"/>
      <w:r w:rsidRPr="00611A18">
        <w:rPr>
          <w:rFonts w:ascii="Times New Roman" w:hAnsi="Times New Roman" w:cs="Times New Roman"/>
          <w:b/>
          <w:lang w:val="pt-BR"/>
        </w:rPr>
        <w:t xml:space="preserve"> para o uso de torniquete para "parar o sangramento".</w:t>
      </w:r>
      <w:r w:rsidR="00666E03" w:rsidRPr="00611A18">
        <w:rPr>
          <w:rFonts w:ascii="Times New Roman" w:hAnsi="Times New Roman" w:cs="Times New Roman"/>
          <w:b/>
          <w:lang w:val="pt-BR"/>
        </w:rPr>
        <w:t xml:space="preserve"> </w:t>
      </w:r>
      <w:r w:rsidR="00666E03" w:rsidRPr="002D19E7">
        <w:rPr>
          <w:rFonts w:ascii="Times New Roman" w:hAnsi="Times New Roman" w:cs="Times New Roman"/>
        </w:rPr>
        <w:t>Lowndes B, Law K, Abdelrahman A, et al.  Mil Med 2019;184(Suppl. 1):28-36.</w:t>
      </w:r>
    </w:p>
    <w:p w14:paraId="41E0B4AD" w14:textId="77777777" w:rsidR="00666E03" w:rsidRPr="002D19E7" w:rsidRDefault="00666E03" w:rsidP="00666E03">
      <w:pPr>
        <w:pStyle w:val="PargrafodaLista"/>
        <w:spacing w:after="0"/>
        <w:rPr>
          <w:rFonts w:ascii="Times New Roman" w:hAnsi="Times New Roman" w:cs="Times New Roman"/>
        </w:rPr>
      </w:pPr>
    </w:p>
    <w:p w14:paraId="58C29E54" w14:textId="6586ACD5" w:rsidR="00C566A2" w:rsidRPr="002D19E7" w:rsidRDefault="00C566A2" w:rsidP="00666E03">
      <w:pPr>
        <w:pStyle w:val="SemEspaamento"/>
        <w:ind w:firstLine="720"/>
        <w:jc w:val="both"/>
        <w:rPr>
          <w:rFonts w:ascii="Times New Roman" w:hAnsi="Times New Roman" w:cs="Times New Roman"/>
          <w:lang w:val="pt-BR"/>
        </w:rPr>
      </w:pPr>
      <w:r w:rsidRPr="002D19E7">
        <w:rPr>
          <w:rFonts w:ascii="Times New Roman" w:hAnsi="Times New Roman" w:cs="Times New Roman"/>
          <w:lang w:val="pt-BR"/>
        </w:rPr>
        <w:lastRenderedPageBreak/>
        <w:t xml:space="preserve">O controle da hemorragia externa é um componente essencial na diminuição da morte evitável após lesões traumáticas. A aplicação de torniquete ganhou ampla aceitação como um método importante de controle do sangramento </w:t>
      </w:r>
      <w:r w:rsidR="00D21411" w:rsidRPr="002D19E7">
        <w:rPr>
          <w:rFonts w:ascii="Times New Roman" w:hAnsi="Times New Roman" w:cs="Times New Roman"/>
          <w:lang w:val="pt-BR"/>
        </w:rPr>
        <w:t>em</w:t>
      </w:r>
      <w:r w:rsidRPr="002D19E7">
        <w:rPr>
          <w:rFonts w:ascii="Times New Roman" w:hAnsi="Times New Roman" w:cs="Times New Roman"/>
          <w:lang w:val="pt-BR"/>
        </w:rPr>
        <w:t xml:space="preserve"> extremidades lesionadas.</w:t>
      </w:r>
    </w:p>
    <w:p w14:paraId="7D9F9961" w14:textId="542F0D95" w:rsidR="00C566A2" w:rsidRPr="002D19E7" w:rsidRDefault="00C566A2" w:rsidP="00666E03">
      <w:pPr>
        <w:pStyle w:val="SemEspaamento"/>
        <w:ind w:firstLine="720"/>
        <w:jc w:val="both"/>
        <w:rPr>
          <w:rFonts w:ascii="Times New Roman" w:hAnsi="Times New Roman" w:cs="Times New Roman"/>
          <w:lang w:val="pt-BR"/>
        </w:rPr>
      </w:pPr>
      <w:r w:rsidRPr="002D19E7">
        <w:rPr>
          <w:rFonts w:ascii="Times New Roman" w:hAnsi="Times New Roman" w:cs="Times New Roman"/>
          <w:lang w:val="pt-BR"/>
        </w:rPr>
        <w:t>Esta publicação examina o uso das instruções para a aplicação</w:t>
      </w:r>
      <w:r w:rsidR="003578E7" w:rsidRPr="002D19E7">
        <w:rPr>
          <w:rFonts w:ascii="Times New Roman" w:hAnsi="Times New Roman" w:cs="Times New Roman"/>
          <w:lang w:val="pt-BR"/>
        </w:rPr>
        <w:t xml:space="preserve"> imediata</w:t>
      </w:r>
      <w:r w:rsidRPr="002D19E7">
        <w:rPr>
          <w:rFonts w:ascii="Times New Roman" w:hAnsi="Times New Roman" w:cs="Times New Roman"/>
          <w:lang w:val="pt-BR"/>
        </w:rPr>
        <w:t xml:space="preserve"> de torniquetes usando vários </w:t>
      </w:r>
      <w:r w:rsidR="003578E7" w:rsidRPr="002D19E7">
        <w:rPr>
          <w:rFonts w:ascii="Times New Roman" w:hAnsi="Times New Roman" w:cs="Times New Roman"/>
          <w:lang w:val="pt-BR"/>
        </w:rPr>
        <w:t>protocolos</w:t>
      </w:r>
      <w:r w:rsidRPr="002D19E7">
        <w:rPr>
          <w:rFonts w:ascii="Times New Roman" w:hAnsi="Times New Roman" w:cs="Times New Roman"/>
          <w:lang w:val="pt-BR"/>
        </w:rPr>
        <w:t xml:space="preserve">. Os pesquisadores usaram residentes </w:t>
      </w:r>
      <w:r w:rsidR="003578E7" w:rsidRPr="002D19E7">
        <w:rPr>
          <w:rFonts w:ascii="Times New Roman" w:hAnsi="Times New Roman" w:cs="Times New Roman"/>
          <w:lang w:val="pt-BR"/>
        </w:rPr>
        <w:t xml:space="preserve">de </w:t>
      </w:r>
      <w:r w:rsidRPr="002D19E7">
        <w:rPr>
          <w:rFonts w:ascii="Times New Roman" w:hAnsi="Times New Roman" w:cs="Times New Roman"/>
          <w:lang w:val="pt-BR"/>
        </w:rPr>
        <w:t>cir</w:t>
      </w:r>
      <w:r w:rsidR="003578E7" w:rsidRPr="002D19E7">
        <w:rPr>
          <w:rFonts w:ascii="Times New Roman" w:hAnsi="Times New Roman" w:cs="Times New Roman"/>
          <w:lang w:val="pt-BR"/>
        </w:rPr>
        <w:t>u</w:t>
      </w:r>
      <w:r w:rsidRPr="002D19E7">
        <w:rPr>
          <w:rFonts w:ascii="Times New Roman" w:hAnsi="Times New Roman" w:cs="Times New Roman"/>
          <w:lang w:val="pt-BR"/>
        </w:rPr>
        <w:t>rgi</w:t>
      </w:r>
      <w:r w:rsidR="003578E7" w:rsidRPr="002D19E7">
        <w:rPr>
          <w:rFonts w:ascii="Times New Roman" w:hAnsi="Times New Roman" w:cs="Times New Roman"/>
          <w:lang w:val="pt-BR"/>
        </w:rPr>
        <w:t>a</w:t>
      </w:r>
      <w:r w:rsidRPr="002D19E7">
        <w:rPr>
          <w:rFonts w:ascii="Times New Roman" w:hAnsi="Times New Roman" w:cs="Times New Roman"/>
          <w:lang w:val="pt-BR"/>
        </w:rPr>
        <w:t xml:space="preserve"> PGY 1, estudantes de medicina e pesquisadores durante um evento educacional. Os grupos de teste receberam um questionário de pré-inscrição que determinou a extensão do treinamento prévio e a utilização de torniquetes. Um total de 30 indivíduos foram matriculados na primeira fase do estudo e 20 na segunda. Na primeira fase, os participantes foram randomizados em 3 grupos, cada um dos quais utilizando um fo</w:t>
      </w:r>
      <w:r w:rsidR="005A0620">
        <w:rPr>
          <w:rFonts w:ascii="Times New Roman" w:hAnsi="Times New Roman" w:cs="Times New Roman"/>
          <w:lang w:val="pt-BR"/>
        </w:rPr>
        <w:t>rmulário</w:t>
      </w:r>
      <w:r w:rsidRPr="002D19E7">
        <w:rPr>
          <w:rFonts w:ascii="Times New Roman" w:hAnsi="Times New Roman" w:cs="Times New Roman"/>
          <w:lang w:val="pt-BR"/>
        </w:rPr>
        <w:t xml:space="preserve"> de instruções diferente. O grupo um usou </w:t>
      </w:r>
      <w:r w:rsidR="005A0620">
        <w:rPr>
          <w:rFonts w:ascii="Times New Roman" w:hAnsi="Times New Roman" w:cs="Times New Roman"/>
          <w:lang w:val="pt-BR"/>
        </w:rPr>
        <w:t>o formulário</w:t>
      </w:r>
      <w:r w:rsidRPr="002D19E7">
        <w:rPr>
          <w:rFonts w:ascii="Times New Roman" w:hAnsi="Times New Roman" w:cs="Times New Roman"/>
          <w:lang w:val="pt-BR"/>
        </w:rPr>
        <w:t xml:space="preserve"> de instruções d</w:t>
      </w:r>
      <w:r w:rsidR="005A0620">
        <w:rPr>
          <w:rFonts w:ascii="Times New Roman" w:hAnsi="Times New Roman" w:cs="Times New Roman"/>
          <w:lang w:val="pt-BR"/>
        </w:rPr>
        <w:t>o</w:t>
      </w:r>
      <w:r w:rsidRPr="002D19E7">
        <w:rPr>
          <w:rFonts w:ascii="Times New Roman" w:hAnsi="Times New Roman" w:cs="Times New Roman"/>
          <w:lang w:val="pt-BR"/>
        </w:rPr>
        <w:t xml:space="preserve"> torniquete CAT (geração 7) que vem </w:t>
      </w:r>
      <w:proofErr w:type="spellStart"/>
      <w:r w:rsidRPr="002D19E7">
        <w:rPr>
          <w:rFonts w:ascii="Times New Roman" w:hAnsi="Times New Roman" w:cs="Times New Roman"/>
          <w:lang w:val="pt-BR"/>
        </w:rPr>
        <w:t>pré</w:t>
      </w:r>
      <w:proofErr w:type="spellEnd"/>
      <w:r w:rsidRPr="002D19E7">
        <w:rPr>
          <w:rFonts w:ascii="Times New Roman" w:hAnsi="Times New Roman" w:cs="Times New Roman"/>
          <w:lang w:val="pt-BR"/>
        </w:rPr>
        <w:t xml:space="preserve">-embalada com o dispositivo. O grupo dois recebeu </w:t>
      </w:r>
      <w:r w:rsidR="005A0620">
        <w:rPr>
          <w:rFonts w:ascii="Times New Roman" w:hAnsi="Times New Roman" w:cs="Times New Roman"/>
          <w:lang w:val="pt-BR"/>
        </w:rPr>
        <w:t>o formulário</w:t>
      </w:r>
      <w:r w:rsidRPr="002D19E7">
        <w:rPr>
          <w:rFonts w:ascii="Times New Roman" w:hAnsi="Times New Roman" w:cs="Times New Roman"/>
          <w:lang w:val="pt-BR"/>
        </w:rPr>
        <w:t xml:space="preserve"> de instruções preparada pelo </w:t>
      </w:r>
      <w:r w:rsidR="003578E7" w:rsidRPr="002D19E7">
        <w:rPr>
          <w:rFonts w:ascii="Times New Roman" w:hAnsi="Times New Roman" w:cs="Times New Roman"/>
          <w:lang w:val="pt-BR"/>
        </w:rPr>
        <w:t xml:space="preserve">Colégio Americano de Cirurgiões </w:t>
      </w:r>
      <w:r w:rsidRPr="002D19E7">
        <w:rPr>
          <w:rFonts w:ascii="Times New Roman" w:hAnsi="Times New Roman" w:cs="Times New Roman"/>
          <w:lang w:val="pt-BR"/>
        </w:rPr>
        <w:t>(</w:t>
      </w:r>
      <w:r w:rsidR="003D62E7">
        <w:rPr>
          <w:rFonts w:ascii="Times New Roman" w:hAnsi="Times New Roman" w:cs="Times New Roman"/>
          <w:lang w:val="pt-BR"/>
        </w:rPr>
        <w:t>ACS</w:t>
      </w:r>
      <w:r w:rsidRPr="002D19E7">
        <w:rPr>
          <w:rFonts w:ascii="Times New Roman" w:hAnsi="Times New Roman" w:cs="Times New Roman"/>
          <w:lang w:val="pt-BR"/>
        </w:rPr>
        <w:t>). O grupo três usou as instruções do Departamento de Segurança Interna (DS</w:t>
      </w:r>
      <w:r w:rsidR="003578E7" w:rsidRPr="002D19E7">
        <w:rPr>
          <w:rFonts w:ascii="Times New Roman" w:hAnsi="Times New Roman" w:cs="Times New Roman"/>
          <w:lang w:val="pt-BR"/>
        </w:rPr>
        <w:t>I</w:t>
      </w:r>
      <w:r w:rsidRPr="002D19E7">
        <w:rPr>
          <w:rFonts w:ascii="Times New Roman" w:hAnsi="Times New Roman" w:cs="Times New Roman"/>
          <w:lang w:val="pt-BR"/>
        </w:rPr>
        <w:t xml:space="preserve">). Os sujeitos foram informados sobre o incidente de trauma simulado, receberam instruções verbais e a oportunidade de fazer perguntas relacionadas à tarefa antes de iniciar. A simulação consistiu em um manequim de perna com uma ferida de hemorragia simulada. Localizado próximo ao manequim, havia um torniquete CAT-7, um conjunto de instruções apropriadas para o grupo em particular e um marcador para indicar o horário da aplicação. Antes da segunda fase do estudo, o </w:t>
      </w:r>
      <w:r w:rsidR="003D62E7">
        <w:rPr>
          <w:rFonts w:ascii="Times New Roman" w:hAnsi="Times New Roman" w:cs="Times New Roman"/>
          <w:lang w:val="pt-BR"/>
        </w:rPr>
        <w:t>ACS</w:t>
      </w:r>
      <w:r w:rsidRPr="002D19E7">
        <w:rPr>
          <w:rFonts w:ascii="Times New Roman" w:hAnsi="Times New Roman" w:cs="Times New Roman"/>
          <w:lang w:val="pt-BR"/>
        </w:rPr>
        <w:t xml:space="preserve"> alterou </w:t>
      </w:r>
      <w:r w:rsidR="003D62E7">
        <w:rPr>
          <w:rFonts w:ascii="Times New Roman" w:hAnsi="Times New Roman" w:cs="Times New Roman"/>
          <w:lang w:val="pt-BR"/>
        </w:rPr>
        <w:t>seu formulário</w:t>
      </w:r>
      <w:r w:rsidRPr="002D19E7">
        <w:rPr>
          <w:rFonts w:ascii="Times New Roman" w:hAnsi="Times New Roman" w:cs="Times New Roman"/>
          <w:lang w:val="pt-BR"/>
        </w:rPr>
        <w:t xml:space="preserve"> de instruções. </w:t>
      </w:r>
      <w:r w:rsidR="00EA6C48" w:rsidRPr="002D19E7">
        <w:rPr>
          <w:rFonts w:ascii="Times New Roman" w:hAnsi="Times New Roman" w:cs="Times New Roman"/>
          <w:lang w:val="pt-BR"/>
        </w:rPr>
        <w:t xml:space="preserve">O </w:t>
      </w:r>
      <w:r w:rsidR="003D62E7">
        <w:rPr>
          <w:rFonts w:ascii="Times New Roman" w:hAnsi="Times New Roman" w:cs="Times New Roman"/>
          <w:lang w:val="pt-BR"/>
        </w:rPr>
        <w:t>s</w:t>
      </w:r>
      <w:r w:rsidR="00EA6C48" w:rsidRPr="002D19E7">
        <w:rPr>
          <w:rFonts w:ascii="Times New Roman" w:hAnsi="Times New Roman" w:cs="Times New Roman"/>
          <w:lang w:val="pt-BR"/>
        </w:rPr>
        <w:t>egundo grupo</w:t>
      </w:r>
      <w:r w:rsidRPr="002D19E7">
        <w:rPr>
          <w:rFonts w:ascii="Times New Roman" w:hAnsi="Times New Roman" w:cs="Times New Roman"/>
          <w:lang w:val="pt-BR"/>
        </w:rPr>
        <w:t xml:space="preserve"> foi dividid</w:t>
      </w:r>
      <w:r w:rsidR="00EA6C48" w:rsidRPr="002D19E7">
        <w:rPr>
          <w:rFonts w:ascii="Times New Roman" w:hAnsi="Times New Roman" w:cs="Times New Roman"/>
          <w:lang w:val="pt-BR"/>
        </w:rPr>
        <w:t>o</w:t>
      </w:r>
      <w:r w:rsidRPr="002D19E7">
        <w:rPr>
          <w:rFonts w:ascii="Times New Roman" w:hAnsi="Times New Roman" w:cs="Times New Roman"/>
          <w:lang w:val="pt-BR"/>
        </w:rPr>
        <w:t xml:space="preserve"> em dois, o primeiro usando o conjunto de instruções original e o segundo</w:t>
      </w:r>
      <w:r w:rsidR="003D62E7">
        <w:rPr>
          <w:rFonts w:ascii="Times New Roman" w:hAnsi="Times New Roman" w:cs="Times New Roman"/>
          <w:lang w:val="pt-BR"/>
        </w:rPr>
        <w:t>,</w:t>
      </w:r>
      <w:r w:rsidRPr="002D19E7">
        <w:rPr>
          <w:rFonts w:ascii="Times New Roman" w:hAnsi="Times New Roman" w:cs="Times New Roman"/>
          <w:lang w:val="pt-BR"/>
        </w:rPr>
        <w:t xml:space="preserve"> </w:t>
      </w:r>
      <w:r w:rsidR="003578E7" w:rsidRPr="002D19E7">
        <w:rPr>
          <w:rFonts w:ascii="Times New Roman" w:hAnsi="Times New Roman" w:cs="Times New Roman"/>
          <w:lang w:val="pt-BR"/>
        </w:rPr>
        <w:t>as instruções</w:t>
      </w:r>
      <w:r w:rsidRPr="002D19E7">
        <w:rPr>
          <w:rFonts w:ascii="Times New Roman" w:hAnsi="Times New Roman" w:cs="Times New Roman"/>
          <w:lang w:val="pt-BR"/>
        </w:rPr>
        <w:t xml:space="preserve"> revisad</w:t>
      </w:r>
      <w:r w:rsidR="003578E7" w:rsidRPr="002D19E7">
        <w:rPr>
          <w:rFonts w:ascii="Times New Roman" w:hAnsi="Times New Roman" w:cs="Times New Roman"/>
          <w:lang w:val="pt-BR"/>
        </w:rPr>
        <w:t>as</w:t>
      </w:r>
      <w:r w:rsidRPr="002D19E7">
        <w:rPr>
          <w:rFonts w:ascii="Times New Roman" w:hAnsi="Times New Roman" w:cs="Times New Roman"/>
          <w:lang w:val="pt-BR"/>
        </w:rPr>
        <w:t>.</w:t>
      </w:r>
    </w:p>
    <w:p w14:paraId="2756EB32" w14:textId="51C75896" w:rsidR="00C566A2" w:rsidRPr="002D19E7" w:rsidRDefault="00C566A2" w:rsidP="001E5DD0">
      <w:pPr>
        <w:pStyle w:val="SemEspaamento"/>
        <w:ind w:firstLine="720"/>
        <w:jc w:val="both"/>
        <w:rPr>
          <w:rFonts w:ascii="Times New Roman" w:hAnsi="Times New Roman" w:cs="Times New Roman"/>
          <w:lang w:val="pt-BR"/>
        </w:rPr>
      </w:pPr>
      <w:r w:rsidRPr="002D19E7">
        <w:rPr>
          <w:rFonts w:ascii="Times New Roman" w:hAnsi="Times New Roman" w:cs="Times New Roman"/>
          <w:lang w:val="pt-BR"/>
        </w:rPr>
        <w:t xml:space="preserve">A análise da primeira </w:t>
      </w:r>
      <w:r w:rsidR="00B855F3" w:rsidRPr="002D19E7">
        <w:rPr>
          <w:rFonts w:ascii="Times New Roman" w:hAnsi="Times New Roman" w:cs="Times New Roman"/>
          <w:lang w:val="pt-BR"/>
        </w:rPr>
        <w:t>turma</w:t>
      </w:r>
      <w:r w:rsidRPr="002D19E7">
        <w:rPr>
          <w:rFonts w:ascii="Times New Roman" w:hAnsi="Times New Roman" w:cs="Times New Roman"/>
          <w:lang w:val="pt-BR"/>
        </w:rPr>
        <w:t xml:space="preserve"> mostrou que, tanto nos participantes que tiveram treinamento prévio em aplicação de torniquete quanto nos que não foram treinados, </w:t>
      </w:r>
      <w:r w:rsidR="008D36EA">
        <w:rPr>
          <w:rFonts w:ascii="Times New Roman" w:hAnsi="Times New Roman" w:cs="Times New Roman"/>
          <w:lang w:val="pt-BR"/>
        </w:rPr>
        <w:t>o formulário</w:t>
      </w:r>
      <w:r w:rsidRPr="002D19E7">
        <w:rPr>
          <w:rFonts w:ascii="Times New Roman" w:hAnsi="Times New Roman" w:cs="Times New Roman"/>
          <w:lang w:val="pt-BR"/>
        </w:rPr>
        <w:t xml:space="preserve"> de instruções d</w:t>
      </w:r>
      <w:r w:rsidR="00B855F3" w:rsidRPr="002D19E7">
        <w:rPr>
          <w:rFonts w:ascii="Times New Roman" w:hAnsi="Times New Roman" w:cs="Times New Roman"/>
          <w:lang w:val="pt-BR"/>
        </w:rPr>
        <w:t xml:space="preserve">o </w:t>
      </w:r>
      <w:r w:rsidR="003D62E7">
        <w:rPr>
          <w:rFonts w:ascii="Times New Roman" w:hAnsi="Times New Roman" w:cs="Times New Roman"/>
          <w:lang w:val="pt-BR"/>
        </w:rPr>
        <w:t>ACS</w:t>
      </w:r>
      <w:r w:rsidRPr="002D19E7">
        <w:rPr>
          <w:rFonts w:ascii="Times New Roman" w:hAnsi="Times New Roman" w:cs="Times New Roman"/>
          <w:lang w:val="pt-BR"/>
        </w:rPr>
        <w:t xml:space="preserve"> teve o tempo de conclusão mais rápido das tarefas, em média, em 70 segundos. Seguiu-se </w:t>
      </w:r>
      <w:r w:rsidR="003D62E7">
        <w:rPr>
          <w:rFonts w:ascii="Times New Roman" w:hAnsi="Times New Roman" w:cs="Times New Roman"/>
          <w:lang w:val="pt-BR"/>
        </w:rPr>
        <w:t>o formulário do</w:t>
      </w:r>
      <w:r w:rsidRPr="002D19E7">
        <w:rPr>
          <w:rFonts w:ascii="Times New Roman" w:hAnsi="Times New Roman" w:cs="Times New Roman"/>
          <w:lang w:val="pt-BR"/>
        </w:rPr>
        <w:t xml:space="preserve"> DS</w:t>
      </w:r>
      <w:r w:rsidR="00B855F3" w:rsidRPr="002D19E7">
        <w:rPr>
          <w:rFonts w:ascii="Times New Roman" w:hAnsi="Times New Roman" w:cs="Times New Roman"/>
          <w:lang w:val="pt-BR"/>
        </w:rPr>
        <w:t>I</w:t>
      </w:r>
      <w:r w:rsidRPr="002D19E7">
        <w:rPr>
          <w:rFonts w:ascii="Times New Roman" w:hAnsi="Times New Roman" w:cs="Times New Roman"/>
          <w:lang w:val="pt-BR"/>
        </w:rPr>
        <w:t xml:space="preserve"> aos 105 segundos e, por fim, </w:t>
      </w:r>
      <w:r w:rsidR="00B855F3" w:rsidRPr="002D19E7">
        <w:rPr>
          <w:rFonts w:ascii="Times New Roman" w:hAnsi="Times New Roman" w:cs="Times New Roman"/>
          <w:lang w:val="pt-BR"/>
        </w:rPr>
        <w:t xml:space="preserve">137 segundos para aqueles que usaram </w:t>
      </w:r>
      <w:r w:rsidRPr="002D19E7">
        <w:rPr>
          <w:rFonts w:ascii="Times New Roman" w:hAnsi="Times New Roman" w:cs="Times New Roman"/>
          <w:lang w:val="pt-BR"/>
        </w:rPr>
        <w:t>as instruções</w:t>
      </w:r>
      <w:r w:rsidR="00B855F3" w:rsidRPr="002D19E7">
        <w:rPr>
          <w:rFonts w:ascii="Times New Roman" w:hAnsi="Times New Roman" w:cs="Times New Roman"/>
          <w:lang w:val="pt-BR"/>
        </w:rPr>
        <w:t xml:space="preserve"> incluídas no</w:t>
      </w:r>
      <w:r w:rsidRPr="002D19E7">
        <w:rPr>
          <w:rFonts w:ascii="Times New Roman" w:hAnsi="Times New Roman" w:cs="Times New Roman"/>
          <w:lang w:val="pt-BR"/>
        </w:rPr>
        <w:t xml:space="preserve"> CAT-7. </w:t>
      </w:r>
      <w:r w:rsidR="003D62E7">
        <w:rPr>
          <w:rFonts w:ascii="Times New Roman" w:hAnsi="Times New Roman" w:cs="Times New Roman"/>
          <w:lang w:val="pt-BR"/>
        </w:rPr>
        <w:t>O formulário do ACS</w:t>
      </w:r>
      <w:r w:rsidRPr="002D19E7">
        <w:rPr>
          <w:rFonts w:ascii="Times New Roman" w:hAnsi="Times New Roman" w:cs="Times New Roman"/>
          <w:lang w:val="pt-BR"/>
        </w:rPr>
        <w:t xml:space="preserve"> também teve uma falha</w:t>
      </w:r>
      <w:r w:rsidR="00B855F3" w:rsidRPr="002D19E7">
        <w:rPr>
          <w:rFonts w:ascii="Times New Roman" w:hAnsi="Times New Roman" w:cs="Times New Roman"/>
          <w:lang w:val="pt-BR"/>
        </w:rPr>
        <w:t xml:space="preserve"> média</w:t>
      </w:r>
      <w:r w:rsidRPr="002D19E7">
        <w:rPr>
          <w:rFonts w:ascii="Times New Roman" w:hAnsi="Times New Roman" w:cs="Times New Roman"/>
          <w:lang w:val="pt-BR"/>
        </w:rPr>
        <w:t xml:space="preserve"> combinada significativamente mais baixa nas 10 etapas de aplicação do torniquete avaliadas no estudo. Os sujeitos da segunda fase do estudo demonstraram um tempo médio de aplicação mais baixo, usando as instruções do </w:t>
      </w:r>
      <w:r w:rsidR="003D62E7">
        <w:rPr>
          <w:rFonts w:ascii="Times New Roman" w:hAnsi="Times New Roman" w:cs="Times New Roman"/>
          <w:lang w:val="pt-BR"/>
        </w:rPr>
        <w:t>ACS</w:t>
      </w:r>
      <w:r w:rsidRPr="002D19E7">
        <w:rPr>
          <w:rFonts w:ascii="Times New Roman" w:hAnsi="Times New Roman" w:cs="Times New Roman"/>
          <w:lang w:val="pt-BR"/>
        </w:rPr>
        <w:t xml:space="preserve"> versão 2 (73 segundos) sobre o </w:t>
      </w:r>
      <w:r w:rsidR="003D62E7">
        <w:rPr>
          <w:rFonts w:ascii="Times New Roman" w:hAnsi="Times New Roman" w:cs="Times New Roman"/>
          <w:lang w:val="pt-BR"/>
        </w:rPr>
        <w:t>formulário</w:t>
      </w:r>
      <w:r w:rsidRPr="002D19E7">
        <w:rPr>
          <w:rFonts w:ascii="Times New Roman" w:hAnsi="Times New Roman" w:cs="Times New Roman"/>
          <w:lang w:val="pt-BR"/>
        </w:rPr>
        <w:t xml:space="preserve"> do </w:t>
      </w:r>
      <w:r w:rsidR="003D62E7">
        <w:rPr>
          <w:rFonts w:ascii="Times New Roman" w:hAnsi="Times New Roman" w:cs="Times New Roman"/>
          <w:lang w:val="pt-BR"/>
        </w:rPr>
        <w:t>ACS</w:t>
      </w:r>
      <w:r w:rsidRPr="002D19E7">
        <w:rPr>
          <w:rFonts w:ascii="Times New Roman" w:hAnsi="Times New Roman" w:cs="Times New Roman"/>
          <w:lang w:val="pt-BR"/>
        </w:rPr>
        <w:t xml:space="preserve"> versão 1 (89 segundos). No entanto, os dois tempos foram maiores do que o registrado usando as instruções do </w:t>
      </w:r>
      <w:r w:rsidR="003D62E7">
        <w:rPr>
          <w:rFonts w:ascii="Times New Roman" w:hAnsi="Times New Roman" w:cs="Times New Roman"/>
          <w:lang w:val="pt-BR"/>
        </w:rPr>
        <w:t>ACS</w:t>
      </w:r>
      <w:r w:rsidRPr="002D19E7">
        <w:rPr>
          <w:rFonts w:ascii="Times New Roman" w:hAnsi="Times New Roman" w:cs="Times New Roman"/>
          <w:lang w:val="pt-BR"/>
        </w:rPr>
        <w:t xml:space="preserve"> versão 1 na primeira fase do estudo</w:t>
      </w:r>
      <w:r w:rsidR="001E5DD0" w:rsidRPr="002D19E7">
        <w:rPr>
          <w:rFonts w:ascii="Times New Roman" w:hAnsi="Times New Roman" w:cs="Times New Roman"/>
          <w:lang w:val="pt-BR"/>
        </w:rPr>
        <w:t>.</w:t>
      </w:r>
    </w:p>
    <w:p w14:paraId="4E2CE24B" w14:textId="5033805A" w:rsidR="00C566A2" w:rsidRPr="002D19E7" w:rsidRDefault="00C566A2" w:rsidP="001E5DD0">
      <w:pPr>
        <w:pStyle w:val="SemEspaamento"/>
        <w:ind w:firstLine="720"/>
        <w:jc w:val="both"/>
        <w:rPr>
          <w:rFonts w:ascii="Times New Roman" w:hAnsi="Times New Roman" w:cs="Times New Roman"/>
          <w:lang w:val="pt-BR"/>
        </w:rPr>
      </w:pPr>
      <w:r w:rsidRPr="002D19E7">
        <w:rPr>
          <w:rFonts w:ascii="Times New Roman" w:hAnsi="Times New Roman" w:cs="Times New Roman"/>
          <w:lang w:val="pt-BR"/>
        </w:rPr>
        <w:t xml:space="preserve">A experiência militar e o </w:t>
      </w:r>
      <w:r w:rsidR="00487145" w:rsidRPr="002D19E7">
        <w:rPr>
          <w:rFonts w:ascii="Times New Roman" w:hAnsi="Times New Roman" w:cs="Times New Roman"/>
          <w:lang w:val="pt-BR"/>
        </w:rPr>
        <w:t xml:space="preserve">subsequente </w:t>
      </w:r>
      <w:r w:rsidRPr="002D19E7">
        <w:rPr>
          <w:rFonts w:ascii="Times New Roman" w:hAnsi="Times New Roman" w:cs="Times New Roman"/>
          <w:lang w:val="pt-BR"/>
        </w:rPr>
        <w:t xml:space="preserve">uso civil demonstraram claramente que a aplicação rápida e correta de torniquetes proporciona ao </w:t>
      </w:r>
      <w:r w:rsidR="00121398">
        <w:rPr>
          <w:rFonts w:ascii="Times New Roman" w:hAnsi="Times New Roman" w:cs="Times New Roman"/>
          <w:lang w:val="pt-BR"/>
        </w:rPr>
        <w:t>doente</w:t>
      </w:r>
      <w:r w:rsidRPr="002D19E7">
        <w:rPr>
          <w:rFonts w:ascii="Times New Roman" w:hAnsi="Times New Roman" w:cs="Times New Roman"/>
          <w:lang w:val="pt-BR"/>
        </w:rPr>
        <w:t xml:space="preserve"> com hemorragia </w:t>
      </w:r>
      <w:proofErr w:type="spellStart"/>
      <w:r w:rsidRPr="002D19E7">
        <w:rPr>
          <w:rFonts w:ascii="Times New Roman" w:hAnsi="Times New Roman" w:cs="Times New Roman"/>
          <w:lang w:val="pt-BR"/>
        </w:rPr>
        <w:t>exsanguinante</w:t>
      </w:r>
      <w:proofErr w:type="spellEnd"/>
      <w:r w:rsidRPr="002D19E7">
        <w:rPr>
          <w:rFonts w:ascii="Times New Roman" w:hAnsi="Times New Roman" w:cs="Times New Roman"/>
          <w:lang w:val="pt-BR"/>
        </w:rPr>
        <w:t xml:space="preserve"> </w:t>
      </w:r>
      <w:r w:rsidR="00487145" w:rsidRPr="002D19E7">
        <w:rPr>
          <w:rFonts w:ascii="Times New Roman" w:hAnsi="Times New Roman" w:cs="Times New Roman"/>
          <w:lang w:val="pt-BR"/>
        </w:rPr>
        <w:t>em</w:t>
      </w:r>
      <w:r w:rsidRPr="002D19E7">
        <w:rPr>
          <w:rFonts w:ascii="Times New Roman" w:hAnsi="Times New Roman" w:cs="Times New Roman"/>
          <w:lang w:val="pt-BR"/>
        </w:rPr>
        <w:t xml:space="preserve"> uma extremidade</w:t>
      </w:r>
      <w:r w:rsidR="008D36EA">
        <w:rPr>
          <w:rFonts w:ascii="Times New Roman" w:hAnsi="Times New Roman" w:cs="Times New Roman"/>
          <w:lang w:val="pt-BR"/>
        </w:rPr>
        <w:t>,</w:t>
      </w:r>
      <w:r w:rsidRPr="002D19E7">
        <w:rPr>
          <w:rFonts w:ascii="Times New Roman" w:hAnsi="Times New Roman" w:cs="Times New Roman"/>
          <w:lang w:val="pt-BR"/>
        </w:rPr>
        <w:t xml:space="preserve"> a melhor chance possível de sobrevivência. Este estudo demonstrou que as instruções do </w:t>
      </w:r>
      <w:r w:rsidR="008D36EA">
        <w:rPr>
          <w:rFonts w:ascii="Times New Roman" w:hAnsi="Times New Roman" w:cs="Times New Roman"/>
          <w:lang w:val="pt-BR"/>
        </w:rPr>
        <w:t>ACS</w:t>
      </w:r>
      <w:r w:rsidRPr="002D19E7">
        <w:rPr>
          <w:rFonts w:ascii="Times New Roman" w:hAnsi="Times New Roman" w:cs="Times New Roman"/>
          <w:lang w:val="pt-BR"/>
        </w:rPr>
        <w:t xml:space="preserve"> (</w:t>
      </w:r>
      <w:r w:rsidR="008E1FF8" w:rsidRPr="002D19E7">
        <w:rPr>
          <w:rFonts w:ascii="Times New Roman" w:hAnsi="Times New Roman" w:cs="Times New Roman"/>
          <w:lang w:val="pt-BR"/>
        </w:rPr>
        <w:t>ambas as versões</w:t>
      </w:r>
      <w:r w:rsidRPr="002D19E7">
        <w:rPr>
          <w:rFonts w:ascii="Times New Roman" w:hAnsi="Times New Roman" w:cs="Times New Roman"/>
          <w:lang w:val="pt-BR"/>
        </w:rPr>
        <w:t xml:space="preserve">) proporcionaram um tempo de aplicação mais rápido e demonstraram </w:t>
      </w:r>
      <w:r w:rsidR="008E1FF8" w:rsidRPr="002D19E7">
        <w:rPr>
          <w:rFonts w:ascii="Times New Roman" w:hAnsi="Times New Roman" w:cs="Times New Roman"/>
          <w:lang w:val="pt-BR"/>
        </w:rPr>
        <w:t xml:space="preserve">menos </w:t>
      </w:r>
      <w:r w:rsidRPr="002D19E7">
        <w:rPr>
          <w:rFonts w:ascii="Times New Roman" w:hAnsi="Times New Roman" w:cs="Times New Roman"/>
          <w:lang w:val="pt-BR"/>
        </w:rPr>
        <w:t>etapas perdidas ou incorretamente executadas em comparação com as instruções do DS</w:t>
      </w:r>
      <w:r w:rsidR="008E1FF8" w:rsidRPr="002D19E7">
        <w:rPr>
          <w:rFonts w:ascii="Times New Roman" w:hAnsi="Times New Roman" w:cs="Times New Roman"/>
          <w:lang w:val="pt-BR"/>
        </w:rPr>
        <w:t>I</w:t>
      </w:r>
      <w:r w:rsidRPr="002D19E7">
        <w:rPr>
          <w:rFonts w:ascii="Times New Roman" w:hAnsi="Times New Roman" w:cs="Times New Roman"/>
          <w:lang w:val="pt-BR"/>
        </w:rPr>
        <w:t xml:space="preserve"> ou as instruções do fabricante incluídas. </w:t>
      </w:r>
      <w:r w:rsidR="008D36EA">
        <w:rPr>
          <w:rFonts w:ascii="Times New Roman" w:hAnsi="Times New Roman" w:cs="Times New Roman"/>
          <w:lang w:val="pt-BR"/>
        </w:rPr>
        <w:t>Os formulários do ACS</w:t>
      </w:r>
      <w:r w:rsidRPr="002D19E7">
        <w:rPr>
          <w:rFonts w:ascii="Times New Roman" w:hAnsi="Times New Roman" w:cs="Times New Roman"/>
          <w:lang w:val="pt-BR"/>
        </w:rPr>
        <w:t xml:space="preserve"> eram principalmente uma representação </w:t>
      </w:r>
      <w:r w:rsidR="0066730D" w:rsidRPr="002D19E7">
        <w:rPr>
          <w:rFonts w:ascii="Times New Roman" w:hAnsi="Times New Roman" w:cs="Times New Roman"/>
          <w:lang w:val="pt-BR"/>
        </w:rPr>
        <w:t xml:space="preserve">ilustrada e </w:t>
      </w:r>
      <w:r w:rsidRPr="002D19E7">
        <w:rPr>
          <w:rFonts w:ascii="Times New Roman" w:hAnsi="Times New Roman" w:cs="Times New Roman"/>
          <w:lang w:val="pt-BR"/>
        </w:rPr>
        <w:t xml:space="preserve">com poucas palavras-chave ou sugestões. </w:t>
      </w:r>
      <w:r w:rsidR="008D36EA">
        <w:rPr>
          <w:rFonts w:ascii="Times New Roman" w:hAnsi="Times New Roman" w:cs="Times New Roman"/>
          <w:lang w:val="pt-BR"/>
        </w:rPr>
        <w:t>O formulário</w:t>
      </w:r>
      <w:r w:rsidRPr="002D19E7">
        <w:rPr>
          <w:rFonts w:ascii="Times New Roman" w:hAnsi="Times New Roman" w:cs="Times New Roman"/>
          <w:lang w:val="pt-BR"/>
        </w:rPr>
        <w:t xml:space="preserve"> </w:t>
      </w:r>
      <w:r w:rsidR="005D5701" w:rsidRPr="002D19E7">
        <w:rPr>
          <w:rFonts w:ascii="Times New Roman" w:hAnsi="Times New Roman" w:cs="Times New Roman"/>
          <w:lang w:val="pt-BR"/>
        </w:rPr>
        <w:t xml:space="preserve">do </w:t>
      </w:r>
      <w:r w:rsidRPr="002D19E7">
        <w:rPr>
          <w:rFonts w:ascii="Times New Roman" w:hAnsi="Times New Roman" w:cs="Times New Roman"/>
          <w:lang w:val="pt-BR"/>
        </w:rPr>
        <w:t>DS</w:t>
      </w:r>
      <w:r w:rsidR="0066730D" w:rsidRPr="002D19E7">
        <w:rPr>
          <w:rFonts w:ascii="Times New Roman" w:hAnsi="Times New Roman" w:cs="Times New Roman"/>
          <w:lang w:val="pt-BR"/>
        </w:rPr>
        <w:t>I</w:t>
      </w:r>
      <w:r w:rsidRPr="002D19E7">
        <w:rPr>
          <w:rFonts w:ascii="Times New Roman" w:hAnsi="Times New Roman" w:cs="Times New Roman"/>
          <w:lang w:val="pt-BR"/>
        </w:rPr>
        <w:t xml:space="preserve"> e as instruções do fabricante são uma combinação de narrativa </w:t>
      </w:r>
      <w:r w:rsidR="005D5701" w:rsidRPr="002D19E7">
        <w:rPr>
          <w:rFonts w:ascii="Times New Roman" w:hAnsi="Times New Roman" w:cs="Times New Roman"/>
          <w:lang w:val="pt-BR"/>
        </w:rPr>
        <w:t>com ilustrações</w:t>
      </w:r>
      <w:r w:rsidRPr="002D19E7">
        <w:rPr>
          <w:rFonts w:ascii="Times New Roman" w:hAnsi="Times New Roman" w:cs="Times New Roman"/>
          <w:lang w:val="pt-BR"/>
        </w:rPr>
        <w:t>.</w:t>
      </w:r>
    </w:p>
    <w:p w14:paraId="291B219D" w14:textId="3F6B252E" w:rsidR="00C566A2" w:rsidRPr="002D19E7" w:rsidRDefault="00C566A2" w:rsidP="001E5DD0">
      <w:pPr>
        <w:pStyle w:val="SemEspaamento"/>
        <w:ind w:firstLine="720"/>
        <w:jc w:val="both"/>
        <w:rPr>
          <w:rFonts w:ascii="Times New Roman" w:hAnsi="Times New Roman" w:cs="Times New Roman"/>
          <w:lang w:val="pt-BR"/>
        </w:rPr>
      </w:pPr>
      <w:r w:rsidRPr="002D19E7">
        <w:rPr>
          <w:rFonts w:ascii="Times New Roman" w:hAnsi="Times New Roman" w:cs="Times New Roman"/>
          <w:lang w:val="pt-BR"/>
        </w:rPr>
        <w:t xml:space="preserve">O estudo tem algumas limitações importantes quanto à sua aplicabilidade à população civil em geral. Primeiro, os sujeitos, independentemente de terem ou não experiência anterior com a aplicação de torniquete, receberam treinamento médico (estudantes de medicina, residentes de cirurgia ou companheiros). Seu conhecimento avançado da anatomia e fisiologia do sangramento combinado com sua capacidade de ler, compreender e concluir tarefas médicas os diferencia da maioria da população </w:t>
      </w:r>
      <w:r w:rsidR="00E9749E" w:rsidRPr="002D19E7">
        <w:rPr>
          <w:rFonts w:ascii="Times New Roman" w:hAnsi="Times New Roman" w:cs="Times New Roman"/>
          <w:lang w:val="pt-BR"/>
        </w:rPr>
        <w:t>que não possui tais conhecimentos</w:t>
      </w:r>
      <w:r w:rsidRPr="002D19E7">
        <w:rPr>
          <w:rFonts w:ascii="Times New Roman" w:hAnsi="Times New Roman" w:cs="Times New Roman"/>
          <w:lang w:val="pt-BR"/>
        </w:rPr>
        <w:t xml:space="preserve">. A simulação usada durante o estudo não incluiu o desfecho esperado na vida real de interromper o sangramento simulado, porque o manequim usado não pôde simular a oclusão da extremidade e, portanto, a cessação do sangramento. Também é crucial observar que nenhum dos três conjuntos de instruções foi desenvolvido ou pretende ser instruções </w:t>
      </w:r>
      <w:r w:rsidR="00E9749E" w:rsidRPr="002D19E7">
        <w:rPr>
          <w:rFonts w:ascii="Times New Roman" w:hAnsi="Times New Roman" w:cs="Times New Roman"/>
          <w:lang w:val="pt-BR"/>
        </w:rPr>
        <w:t>para uso imediato</w:t>
      </w:r>
      <w:r w:rsidRPr="002D19E7">
        <w:rPr>
          <w:rFonts w:ascii="Times New Roman" w:hAnsi="Times New Roman" w:cs="Times New Roman"/>
          <w:lang w:val="pt-BR"/>
        </w:rPr>
        <w:t>.</w:t>
      </w:r>
    </w:p>
    <w:p w14:paraId="593BBEAC" w14:textId="27E16817" w:rsidR="00C566A2" w:rsidRPr="002D19E7" w:rsidRDefault="00C566A2" w:rsidP="00883A89">
      <w:pPr>
        <w:pStyle w:val="SemEspaamento"/>
        <w:ind w:firstLine="720"/>
        <w:jc w:val="both"/>
        <w:rPr>
          <w:rFonts w:ascii="Times New Roman" w:hAnsi="Times New Roman" w:cs="Times New Roman"/>
          <w:lang w:val="pt-BR"/>
        </w:rPr>
      </w:pPr>
      <w:r w:rsidRPr="002D19E7">
        <w:rPr>
          <w:rFonts w:ascii="Times New Roman" w:hAnsi="Times New Roman" w:cs="Times New Roman"/>
          <w:lang w:val="pt-BR"/>
        </w:rPr>
        <w:t xml:space="preserve">O desenvolvimento das melhores instruções possíveis </w:t>
      </w:r>
      <w:r w:rsidR="00DD567C" w:rsidRPr="002D19E7">
        <w:rPr>
          <w:rFonts w:ascii="Times New Roman" w:hAnsi="Times New Roman" w:cs="Times New Roman"/>
          <w:lang w:val="pt-BR"/>
        </w:rPr>
        <w:t xml:space="preserve">para a </w:t>
      </w:r>
      <w:r w:rsidRPr="002D19E7">
        <w:rPr>
          <w:rFonts w:ascii="Times New Roman" w:hAnsi="Times New Roman" w:cs="Times New Roman"/>
          <w:lang w:val="pt-BR"/>
        </w:rPr>
        <w:t>aplicação</w:t>
      </w:r>
      <w:r w:rsidR="00AE2969" w:rsidRPr="002D19E7">
        <w:rPr>
          <w:rFonts w:ascii="Times New Roman" w:hAnsi="Times New Roman" w:cs="Times New Roman"/>
          <w:lang w:val="pt-BR"/>
        </w:rPr>
        <w:t xml:space="preserve"> imediata</w:t>
      </w:r>
      <w:r w:rsidRPr="002D19E7">
        <w:rPr>
          <w:rFonts w:ascii="Times New Roman" w:hAnsi="Times New Roman" w:cs="Times New Roman"/>
          <w:lang w:val="pt-BR"/>
        </w:rPr>
        <w:t xml:space="preserve"> de torniquete, especialmente para indivíduos não treinado</w:t>
      </w:r>
      <w:r w:rsidR="00DD567C" w:rsidRPr="002D19E7">
        <w:rPr>
          <w:rFonts w:ascii="Times New Roman" w:hAnsi="Times New Roman" w:cs="Times New Roman"/>
          <w:lang w:val="pt-BR"/>
        </w:rPr>
        <w:t>s</w:t>
      </w:r>
      <w:r w:rsidRPr="002D19E7">
        <w:rPr>
          <w:rFonts w:ascii="Times New Roman" w:hAnsi="Times New Roman" w:cs="Times New Roman"/>
          <w:lang w:val="pt-BR"/>
        </w:rPr>
        <w:t xml:space="preserve">, é imprescindível ao lidar com trauma súbito </w:t>
      </w:r>
      <w:r w:rsidR="00DD567C" w:rsidRPr="002D19E7">
        <w:rPr>
          <w:rFonts w:ascii="Times New Roman" w:hAnsi="Times New Roman" w:cs="Times New Roman"/>
          <w:lang w:val="pt-BR"/>
        </w:rPr>
        <w:t>em</w:t>
      </w:r>
      <w:r w:rsidRPr="002D19E7">
        <w:rPr>
          <w:rFonts w:ascii="Times New Roman" w:hAnsi="Times New Roman" w:cs="Times New Roman"/>
          <w:lang w:val="pt-BR"/>
        </w:rPr>
        <w:t xml:space="preserve"> extremidade</w:t>
      </w:r>
      <w:r w:rsidR="00DD567C" w:rsidRPr="002D19E7">
        <w:rPr>
          <w:rFonts w:ascii="Times New Roman" w:hAnsi="Times New Roman" w:cs="Times New Roman"/>
          <w:lang w:val="pt-BR"/>
        </w:rPr>
        <w:t>s</w:t>
      </w:r>
      <w:r w:rsidRPr="002D19E7">
        <w:rPr>
          <w:rFonts w:ascii="Times New Roman" w:hAnsi="Times New Roman" w:cs="Times New Roman"/>
          <w:lang w:val="pt-BR"/>
        </w:rPr>
        <w:t xml:space="preserve">, resultando em hemorragia com risco de vida. Este estudo mostrou que mesmo </w:t>
      </w:r>
      <w:r w:rsidR="001E5DD0" w:rsidRPr="002D19E7">
        <w:rPr>
          <w:rFonts w:ascii="Times New Roman" w:hAnsi="Times New Roman" w:cs="Times New Roman"/>
          <w:lang w:val="pt-BR"/>
        </w:rPr>
        <w:t xml:space="preserve">com as atuais tecnologias médicas </w:t>
      </w:r>
      <w:r w:rsidRPr="002D19E7">
        <w:rPr>
          <w:rFonts w:ascii="Times New Roman" w:hAnsi="Times New Roman" w:cs="Times New Roman"/>
          <w:lang w:val="pt-BR"/>
        </w:rPr>
        <w:t xml:space="preserve">indivíduos inexperientes têm dificuldade em aplicar com sucesso um torniquete usando as </w:t>
      </w:r>
      <w:r w:rsidR="001E5DD0" w:rsidRPr="002D19E7">
        <w:rPr>
          <w:rFonts w:ascii="Times New Roman" w:hAnsi="Times New Roman" w:cs="Times New Roman"/>
          <w:lang w:val="pt-BR"/>
        </w:rPr>
        <w:t>instruções</w:t>
      </w:r>
      <w:r w:rsidRPr="002D19E7">
        <w:rPr>
          <w:rFonts w:ascii="Times New Roman" w:hAnsi="Times New Roman" w:cs="Times New Roman"/>
          <w:lang w:val="pt-BR"/>
        </w:rPr>
        <w:t xml:space="preserve"> existentes </w:t>
      </w:r>
      <w:r w:rsidR="001E5DD0" w:rsidRPr="002D19E7">
        <w:rPr>
          <w:rFonts w:ascii="Times New Roman" w:hAnsi="Times New Roman" w:cs="Times New Roman"/>
          <w:lang w:val="pt-BR"/>
        </w:rPr>
        <w:t>no</w:t>
      </w:r>
      <w:r w:rsidRPr="002D19E7">
        <w:rPr>
          <w:rFonts w:ascii="Times New Roman" w:hAnsi="Times New Roman" w:cs="Times New Roman"/>
          <w:lang w:val="pt-BR"/>
        </w:rPr>
        <w:t xml:space="preserve"> guia. Embora não seja um componente deste estudo, ele </w:t>
      </w:r>
      <w:r w:rsidR="00843840" w:rsidRPr="002D19E7">
        <w:rPr>
          <w:rFonts w:ascii="Times New Roman" w:hAnsi="Times New Roman" w:cs="Times New Roman"/>
          <w:lang w:val="pt-BR"/>
        </w:rPr>
        <w:t>apoia</w:t>
      </w:r>
      <w:r w:rsidRPr="002D19E7">
        <w:rPr>
          <w:rFonts w:ascii="Times New Roman" w:hAnsi="Times New Roman" w:cs="Times New Roman"/>
          <w:lang w:val="pt-BR"/>
        </w:rPr>
        <w:t xml:space="preserve"> a recomendação de que é necessário </w:t>
      </w:r>
      <w:r w:rsidR="001E5DD0" w:rsidRPr="002D19E7">
        <w:rPr>
          <w:rFonts w:ascii="Times New Roman" w:hAnsi="Times New Roman" w:cs="Times New Roman"/>
          <w:lang w:val="pt-BR"/>
        </w:rPr>
        <w:t xml:space="preserve">educação e </w:t>
      </w:r>
      <w:r w:rsidRPr="002D19E7">
        <w:rPr>
          <w:rFonts w:ascii="Times New Roman" w:hAnsi="Times New Roman" w:cs="Times New Roman"/>
          <w:lang w:val="pt-BR"/>
        </w:rPr>
        <w:t>treinamento</w:t>
      </w:r>
      <w:r w:rsidR="001E5DD0" w:rsidRPr="002D19E7">
        <w:rPr>
          <w:rFonts w:ascii="Times New Roman" w:hAnsi="Times New Roman" w:cs="Times New Roman"/>
          <w:lang w:val="pt-BR"/>
        </w:rPr>
        <w:t>s</w:t>
      </w:r>
      <w:r w:rsidRPr="002D19E7">
        <w:rPr>
          <w:rFonts w:ascii="Times New Roman" w:hAnsi="Times New Roman" w:cs="Times New Roman"/>
          <w:lang w:val="pt-BR"/>
        </w:rPr>
        <w:t xml:space="preserve"> práticos. Este estudo pode fornecer </w:t>
      </w:r>
      <w:r w:rsidRPr="002D19E7">
        <w:rPr>
          <w:rFonts w:ascii="Times New Roman" w:hAnsi="Times New Roman" w:cs="Times New Roman"/>
          <w:lang w:val="pt-BR"/>
        </w:rPr>
        <w:lastRenderedPageBreak/>
        <w:t xml:space="preserve">um roteiro para </w:t>
      </w:r>
      <w:r w:rsidR="001E5DD0" w:rsidRPr="002D19E7">
        <w:rPr>
          <w:rFonts w:ascii="Times New Roman" w:hAnsi="Times New Roman" w:cs="Times New Roman"/>
          <w:lang w:val="pt-BR"/>
        </w:rPr>
        <w:t>trabalhos</w:t>
      </w:r>
      <w:r w:rsidRPr="002D19E7">
        <w:rPr>
          <w:rFonts w:ascii="Times New Roman" w:hAnsi="Times New Roman" w:cs="Times New Roman"/>
          <w:lang w:val="pt-BR"/>
        </w:rPr>
        <w:t xml:space="preserve"> futuros que envolvam indivíduos não treinados clinicamente. Finalmente, devem ser desenvolvidos e utilizados manequins baratos e de alta fidelidade, que permitam medir a perda de sangue e a cessação do sangramento na extremidade.</w:t>
      </w:r>
      <w:bookmarkStart w:id="0" w:name="_GoBack"/>
      <w:bookmarkEnd w:id="0"/>
    </w:p>
    <w:sectPr w:rsidR="00C566A2" w:rsidRPr="002D19E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FB9C9" w14:textId="77777777" w:rsidR="00011B6F" w:rsidRDefault="00011B6F" w:rsidP="00CC1ECE">
      <w:pPr>
        <w:spacing w:after="0" w:line="240" w:lineRule="auto"/>
      </w:pPr>
      <w:r>
        <w:rPr>
          <w:lang w:val="pt"/>
        </w:rPr>
        <w:separator/>
      </w:r>
    </w:p>
  </w:endnote>
  <w:endnote w:type="continuationSeparator" w:id="0">
    <w:p w14:paraId="2679502D" w14:textId="77777777" w:rsidR="00011B6F" w:rsidRDefault="00011B6F" w:rsidP="00CC1ECE">
      <w:pPr>
        <w:spacing w:after="0" w:line="240" w:lineRule="auto"/>
      </w:pPr>
      <w:r>
        <w:rPr>
          <w:lang w:val="p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FFA4" w14:textId="77777777" w:rsidR="00EC556A" w:rsidRPr="00172874" w:rsidRDefault="00EC556A" w:rsidP="00EC556A">
    <w:pPr>
      <w:pStyle w:val="Rodap"/>
      <w:jc w:val="center"/>
      <w:rPr>
        <w:rFonts w:ascii="Times New Roman" w:hAnsi="Times New Roman" w:cs="Times New Roman"/>
        <w:b/>
      </w:rPr>
    </w:pPr>
    <w:r w:rsidRPr="00172874">
      <w:rPr>
        <w:rFonts w:ascii="Times New Roman" w:hAnsi="Times New Roman" w:cs="Times New Roman"/>
        <w:b/>
        <w:lang w:val="pt"/>
      </w:rPr>
      <w:t>www.IPHMI.com</w:t>
    </w:r>
  </w:p>
  <w:p w14:paraId="6B60E3E8" w14:textId="77777777" w:rsidR="00EC556A" w:rsidRDefault="00EC55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BF9E6" w14:textId="77777777" w:rsidR="00011B6F" w:rsidRDefault="00011B6F" w:rsidP="00CC1ECE">
      <w:pPr>
        <w:spacing w:after="0" w:line="240" w:lineRule="auto"/>
      </w:pPr>
      <w:r>
        <w:rPr>
          <w:lang w:val="pt"/>
        </w:rPr>
        <w:separator/>
      </w:r>
    </w:p>
  </w:footnote>
  <w:footnote w:type="continuationSeparator" w:id="0">
    <w:p w14:paraId="599AA738" w14:textId="77777777" w:rsidR="00011B6F" w:rsidRDefault="00011B6F" w:rsidP="00CC1ECE">
      <w:pPr>
        <w:spacing w:after="0" w:line="240" w:lineRule="auto"/>
      </w:pPr>
      <w:r>
        <w:rPr>
          <w:lang w:val="p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7238" w14:textId="77777777" w:rsidR="00663901" w:rsidRPr="00663901" w:rsidRDefault="00663901" w:rsidP="00663901">
    <w:pPr>
      <w:pStyle w:val="Cabealho"/>
      <w:jc w:val="center"/>
      <w:rPr>
        <w:rFonts w:ascii="Times New Roman" w:hAnsi="Times New Roman" w:cs="Times New Roman"/>
        <w:b/>
        <w:i/>
        <w:sz w:val="36"/>
        <w:u w:val="single"/>
        <w:lang w:val="pt-BR"/>
      </w:rPr>
    </w:pPr>
    <w:r w:rsidRPr="00663901">
      <w:rPr>
        <w:rFonts w:ascii="Times New Roman" w:hAnsi="Times New Roman" w:cs="Times New Roman"/>
        <w:b/>
        <w:i/>
        <w:sz w:val="36"/>
        <w:u w:val="single"/>
        <w:lang w:val="pt-BR"/>
      </w:rPr>
      <w:t>Instituto Internacional de Medicina Pré-Hospitalar (IPHMI)</w:t>
    </w:r>
  </w:p>
  <w:p w14:paraId="0080CD39" w14:textId="77777777" w:rsidR="00EC556A" w:rsidRPr="00663901" w:rsidRDefault="00EC556A">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2CC"/>
    <w:multiLevelType w:val="hybridMultilevel"/>
    <w:tmpl w:val="6A9C547A"/>
    <w:lvl w:ilvl="0" w:tplc="7D9E92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05C02"/>
    <w:multiLevelType w:val="hybridMultilevel"/>
    <w:tmpl w:val="C32A9CBA"/>
    <w:lvl w:ilvl="0" w:tplc="9C1433B6">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52265C"/>
    <w:multiLevelType w:val="hybridMultilevel"/>
    <w:tmpl w:val="BF88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C3535"/>
    <w:multiLevelType w:val="hybridMultilevel"/>
    <w:tmpl w:val="B302DC22"/>
    <w:lvl w:ilvl="0" w:tplc="C346EE3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C49AA"/>
    <w:multiLevelType w:val="hybridMultilevel"/>
    <w:tmpl w:val="675ED7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962C4E"/>
    <w:multiLevelType w:val="hybridMultilevel"/>
    <w:tmpl w:val="D8E41C98"/>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3007C"/>
    <w:multiLevelType w:val="hybridMultilevel"/>
    <w:tmpl w:val="A6EE6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1334D"/>
    <w:multiLevelType w:val="hybridMultilevel"/>
    <w:tmpl w:val="7090A6F4"/>
    <w:lvl w:ilvl="0" w:tplc="46B4C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A4A04"/>
    <w:multiLevelType w:val="hybridMultilevel"/>
    <w:tmpl w:val="987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4000F"/>
    <w:multiLevelType w:val="hybridMultilevel"/>
    <w:tmpl w:val="E1AA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0260D0"/>
    <w:multiLevelType w:val="hybridMultilevel"/>
    <w:tmpl w:val="992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9332F"/>
    <w:multiLevelType w:val="hybridMultilevel"/>
    <w:tmpl w:val="9BB052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5B255B8"/>
    <w:multiLevelType w:val="hybridMultilevel"/>
    <w:tmpl w:val="98DEE2CC"/>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72D19"/>
    <w:multiLevelType w:val="hybridMultilevel"/>
    <w:tmpl w:val="F0F45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BE06F7"/>
    <w:multiLevelType w:val="hybridMultilevel"/>
    <w:tmpl w:val="58284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C78A5"/>
    <w:multiLevelType w:val="hybridMultilevel"/>
    <w:tmpl w:val="98DEE2CC"/>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063F3"/>
    <w:multiLevelType w:val="hybridMultilevel"/>
    <w:tmpl w:val="17F6B7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7"/>
  </w:num>
  <w:num w:numId="3">
    <w:abstractNumId w:val="16"/>
  </w:num>
  <w:num w:numId="4">
    <w:abstractNumId w:val="24"/>
  </w:num>
  <w:num w:numId="5">
    <w:abstractNumId w:val="4"/>
  </w:num>
  <w:num w:numId="6">
    <w:abstractNumId w:val="20"/>
  </w:num>
  <w:num w:numId="7">
    <w:abstractNumId w:val="21"/>
  </w:num>
  <w:num w:numId="8">
    <w:abstractNumId w:val="3"/>
  </w:num>
  <w:num w:numId="9">
    <w:abstractNumId w:val="25"/>
  </w:num>
  <w:num w:numId="10">
    <w:abstractNumId w:val="19"/>
  </w:num>
  <w:num w:numId="11">
    <w:abstractNumId w:val="0"/>
  </w:num>
  <w:num w:numId="12">
    <w:abstractNumId w:val="5"/>
  </w:num>
  <w:num w:numId="13">
    <w:abstractNumId w:val="8"/>
  </w:num>
  <w:num w:numId="14">
    <w:abstractNumId w:val="6"/>
  </w:num>
  <w:num w:numId="15">
    <w:abstractNumId w:val="18"/>
  </w:num>
  <w:num w:numId="16">
    <w:abstractNumId w:val="1"/>
  </w:num>
  <w:num w:numId="17">
    <w:abstractNumId w:val="9"/>
  </w:num>
  <w:num w:numId="18">
    <w:abstractNumId w:val="10"/>
  </w:num>
  <w:num w:numId="19">
    <w:abstractNumId w:val="11"/>
  </w:num>
  <w:num w:numId="20">
    <w:abstractNumId w:val="15"/>
  </w:num>
  <w:num w:numId="21">
    <w:abstractNumId w:val="22"/>
  </w:num>
  <w:num w:numId="22">
    <w:abstractNumId w:val="12"/>
  </w:num>
  <w:num w:numId="23">
    <w:abstractNumId w:val="2"/>
  </w:num>
  <w:num w:numId="24">
    <w:abstractNumId w:val="13"/>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DB7"/>
    <w:rsid w:val="00000FEC"/>
    <w:rsid w:val="00011B6F"/>
    <w:rsid w:val="000240B9"/>
    <w:rsid w:val="00046471"/>
    <w:rsid w:val="000474D9"/>
    <w:rsid w:val="00053DC7"/>
    <w:rsid w:val="0008358F"/>
    <w:rsid w:val="00096298"/>
    <w:rsid w:val="000A39D8"/>
    <w:rsid w:val="000B2DC9"/>
    <w:rsid w:val="000B5810"/>
    <w:rsid w:val="000E1EEE"/>
    <w:rsid w:val="000F7025"/>
    <w:rsid w:val="0012112A"/>
    <w:rsid w:val="00121398"/>
    <w:rsid w:val="001465D4"/>
    <w:rsid w:val="00154121"/>
    <w:rsid w:val="00172874"/>
    <w:rsid w:val="00176822"/>
    <w:rsid w:val="0017698D"/>
    <w:rsid w:val="00193BAE"/>
    <w:rsid w:val="001A2AF5"/>
    <w:rsid w:val="001B1D1E"/>
    <w:rsid w:val="001D3A24"/>
    <w:rsid w:val="001E5DD0"/>
    <w:rsid w:val="001F7C77"/>
    <w:rsid w:val="00221938"/>
    <w:rsid w:val="00221F53"/>
    <w:rsid w:val="00234651"/>
    <w:rsid w:val="0024264F"/>
    <w:rsid w:val="002736F8"/>
    <w:rsid w:val="00281AA8"/>
    <w:rsid w:val="002910C5"/>
    <w:rsid w:val="002A448D"/>
    <w:rsid w:val="002D19E7"/>
    <w:rsid w:val="002D385C"/>
    <w:rsid w:val="002F717B"/>
    <w:rsid w:val="003331AA"/>
    <w:rsid w:val="00343BC7"/>
    <w:rsid w:val="003578E7"/>
    <w:rsid w:val="00362F86"/>
    <w:rsid w:val="00363F26"/>
    <w:rsid w:val="0036444E"/>
    <w:rsid w:val="003800B3"/>
    <w:rsid w:val="00392C1F"/>
    <w:rsid w:val="003B7857"/>
    <w:rsid w:val="003D03E0"/>
    <w:rsid w:val="003D62E7"/>
    <w:rsid w:val="003F04D9"/>
    <w:rsid w:val="003F4BB7"/>
    <w:rsid w:val="00404F6F"/>
    <w:rsid w:val="0041124D"/>
    <w:rsid w:val="00424314"/>
    <w:rsid w:val="00471E13"/>
    <w:rsid w:val="00487145"/>
    <w:rsid w:val="0049245A"/>
    <w:rsid w:val="00493BCD"/>
    <w:rsid w:val="004A2499"/>
    <w:rsid w:val="004B54F7"/>
    <w:rsid w:val="004B7EE3"/>
    <w:rsid w:val="004D12C9"/>
    <w:rsid w:val="004D49F1"/>
    <w:rsid w:val="004E26FA"/>
    <w:rsid w:val="004E64B1"/>
    <w:rsid w:val="00517B1C"/>
    <w:rsid w:val="005217D8"/>
    <w:rsid w:val="00523D0F"/>
    <w:rsid w:val="00530542"/>
    <w:rsid w:val="005708CD"/>
    <w:rsid w:val="005A0620"/>
    <w:rsid w:val="005B3228"/>
    <w:rsid w:val="005D21B6"/>
    <w:rsid w:val="005D5701"/>
    <w:rsid w:val="00604A39"/>
    <w:rsid w:val="00604AF7"/>
    <w:rsid w:val="0060639D"/>
    <w:rsid w:val="00611A18"/>
    <w:rsid w:val="00612DB7"/>
    <w:rsid w:val="0062009E"/>
    <w:rsid w:val="0062363F"/>
    <w:rsid w:val="0063140B"/>
    <w:rsid w:val="00632D45"/>
    <w:rsid w:val="00643503"/>
    <w:rsid w:val="0064535D"/>
    <w:rsid w:val="00657100"/>
    <w:rsid w:val="00663901"/>
    <w:rsid w:val="0066525D"/>
    <w:rsid w:val="00666E03"/>
    <w:rsid w:val="0066730D"/>
    <w:rsid w:val="00695285"/>
    <w:rsid w:val="00695417"/>
    <w:rsid w:val="006956A7"/>
    <w:rsid w:val="006A73E8"/>
    <w:rsid w:val="006B4BCB"/>
    <w:rsid w:val="006B4C49"/>
    <w:rsid w:val="006C28B6"/>
    <w:rsid w:val="006D1187"/>
    <w:rsid w:val="006E3F58"/>
    <w:rsid w:val="006E632D"/>
    <w:rsid w:val="006F7C8E"/>
    <w:rsid w:val="00706CFA"/>
    <w:rsid w:val="00706EAB"/>
    <w:rsid w:val="007419D9"/>
    <w:rsid w:val="00746335"/>
    <w:rsid w:val="00765FF7"/>
    <w:rsid w:val="00794D6A"/>
    <w:rsid w:val="007C7235"/>
    <w:rsid w:val="007E682F"/>
    <w:rsid w:val="007F3B34"/>
    <w:rsid w:val="007F6277"/>
    <w:rsid w:val="00825722"/>
    <w:rsid w:val="008363AF"/>
    <w:rsid w:val="00837F82"/>
    <w:rsid w:val="00843840"/>
    <w:rsid w:val="00851522"/>
    <w:rsid w:val="00852D41"/>
    <w:rsid w:val="00860176"/>
    <w:rsid w:val="00870FA2"/>
    <w:rsid w:val="00883A89"/>
    <w:rsid w:val="00894E81"/>
    <w:rsid w:val="008A0008"/>
    <w:rsid w:val="008B6898"/>
    <w:rsid w:val="008C2DA9"/>
    <w:rsid w:val="008D36EA"/>
    <w:rsid w:val="008E1FF8"/>
    <w:rsid w:val="008E2104"/>
    <w:rsid w:val="008E502B"/>
    <w:rsid w:val="00912F3D"/>
    <w:rsid w:val="009307E4"/>
    <w:rsid w:val="00943813"/>
    <w:rsid w:val="0094703C"/>
    <w:rsid w:val="009A5621"/>
    <w:rsid w:val="009D2B40"/>
    <w:rsid w:val="009E7CD1"/>
    <w:rsid w:val="00A12D76"/>
    <w:rsid w:val="00A33F37"/>
    <w:rsid w:val="00A36579"/>
    <w:rsid w:val="00A55EE6"/>
    <w:rsid w:val="00A62253"/>
    <w:rsid w:val="00A66C04"/>
    <w:rsid w:val="00A73410"/>
    <w:rsid w:val="00AB6EC4"/>
    <w:rsid w:val="00AD7ED9"/>
    <w:rsid w:val="00AE1414"/>
    <w:rsid w:val="00AE2969"/>
    <w:rsid w:val="00B1647E"/>
    <w:rsid w:val="00B212D0"/>
    <w:rsid w:val="00B50275"/>
    <w:rsid w:val="00B5424E"/>
    <w:rsid w:val="00B64CD9"/>
    <w:rsid w:val="00B855F3"/>
    <w:rsid w:val="00B869B9"/>
    <w:rsid w:val="00B94E28"/>
    <w:rsid w:val="00B96FD3"/>
    <w:rsid w:val="00BA3A92"/>
    <w:rsid w:val="00BD171A"/>
    <w:rsid w:val="00BE7361"/>
    <w:rsid w:val="00C07D4B"/>
    <w:rsid w:val="00C47435"/>
    <w:rsid w:val="00C542C4"/>
    <w:rsid w:val="00C566A2"/>
    <w:rsid w:val="00C627AA"/>
    <w:rsid w:val="00C704D2"/>
    <w:rsid w:val="00C7369A"/>
    <w:rsid w:val="00C97C08"/>
    <w:rsid w:val="00CA6A61"/>
    <w:rsid w:val="00CC1ECE"/>
    <w:rsid w:val="00CE6F67"/>
    <w:rsid w:val="00CF19EA"/>
    <w:rsid w:val="00D21411"/>
    <w:rsid w:val="00D21B5B"/>
    <w:rsid w:val="00D21EC7"/>
    <w:rsid w:val="00D27263"/>
    <w:rsid w:val="00D50450"/>
    <w:rsid w:val="00D6189B"/>
    <w:rsid w:val="00D61BC4"/>
    <w:rsid w:val="00D764C8"/>
    <w:rsid w:val="00D80B58"/>
    <w:rsid w:val="00DC0273"/>
    <w:rsid w:val="00DC08A7"/>
    <w:rsid w:val="00DC11F8"/>
    <w:rsid w:val="00DC1BDF"/>
    <w:rsid w:val="00DD4BC1"/>
    <w:rsid w:val="00DD567C"/>
    <w:rsid w:val="00E06170"/>
    <w:rsid w:val="00E067C2"/>
    <w:rsid w:val="00E21606"/>
    <w:rsid w:val="00E918D6"/>
    <w:rsid w:val="00E9749E"/>
    <w:rsid w:val="00EA5903"/>
    <w:rsid w:val="00EA6C48"/>
    <w:rsid w:val="00EB742E"/>
    <w:rsid w:val="00EC556A"/>
    <w:rsid w:val="00F03698"/>
    <w:rsid w:val="00F04F34"/>
    <w:rsid w:val="00F16EB9"/>
    <w:rsid w:val="00F246AC"/>
    <w:rsid w:val="00F30BD1"/>
    <w:rsid w:val="00F36AD9"/>
    <w:rsid w:val="00F80497"/>
    <w:rsid w:val="00F83E59"/>
    <w:rsid w:val="00F921FA"/>
    <w:rsid w:val="00FA51B5"/>
    <w:rsid w:val="00FB36E1"/>
    <w:rsid w:val="00FC786D"/>
    <w:rsid w:val="00FD5695"/>
    <w:rsid w:val="00FE3580"/>
    <w:rsid w:val="00FE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E9BE"/>
  <w15:docId w15:val="{29F31824-4D6C-4C8E-8A7B-B4928167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419D9"/>
    <w:pPr>
      <w:ind w:left="720"/>
      <w:contextualSpacing/>
    </w:pPr>
  </w:style>
  <w:style w:type="character" w:customStyle="1" w:styleId="journaltitlesp1">
    <w:name w:val="journaltitlesp1"/>
    <w:basedOn w:val="Fontepargpadro"/>
    <w:rsid w:val="00523D0F"/>
    <w:rPr>
      <w:i/>
      <w:iCs/>
    </w:rPr>
  </w:style>
  <w:style w:type="character" w:customStyle="1" w:styleId="issuevolsp">
    <w:name w:val="issuevolsp"/>
    <w:basedOn w:val="Fontepargpadro"/>
    <w:rsid w:val="00523D0F"/>
  </w:style>
  <w:style w:type="character" w:customStyle="1" w:styleId="pagerange">
    <w:name w:val="pagerange"/>
    <w:basedOn w:val="Fontepargpadro"/>
    <w:rsid w:val="00523D0F"/>
  </w:style>
  <w:style w:type="paragraph" w:styleId="Textodebalo">
    <w:name w:val="Balloon Text"/>
    <w:basedOn w:val="Normal"/>
    <w:link w:val="TextodebaloChar"/>
    <w:uiPriority w:val="99"/>
    <w:semiHidden/>
    <w:unhideWhenUsed/>
    <w:rsid w:val="007C72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235"/>
    <w:rPr>
      <w:rFonts w:ascii="Tahoma" w:hAnsi="Tahoma" w:cs="Tahoma"/>
      <w:sz w:val="16"/>
      <w:szCs w:val="16"/>
    </w:rPr>
  </w:style>
  <w:style w:type="paragraph" w:styleId="SemEspaamento">
    <w:name w:val="No Spacing"/>
    <w:uiPriority w:val="1"/>
    <w:qFormat/>
    <w:rsid w:val="00B5424E"/>
    <w:pPr>
      <w:spacing w:after="0" w:line="240" w:lineRule="auto"/>
    </w:pPr>
  </w:style>
  <w:style w:type="paragraph" w:styleId="Cabealho">
    <w:name w:val="header"/>
    <w:basedOn w:val="Normal"/>
    <w:link w:val="CabealhoChar"/>
    <w:uiPriority w:val="99"/>
    <w:unhideWhenUsed/>
    <w:rsid w:val="00CC1EC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C1ECE"/>
  </w:style>
  <w:style w:type="paragraph" w:styleId="Rodap">
    <w:name w:val="footer"/>
    <w:basedOn w:val="Normal"/>
    <w:link w:val="RodapChar"/>
    <w:uiPriority w:val="99"/>
    <w:unhideWhenUsed/>
    <w:rsid w:val="00CC1ECE"/>
    <w:pPr>
      <w:tabs>
        <w:tab w:val="center" w:pos="4680"/>
        <w:tab w:val="right" w:pos="9360"/>
      </w:tabs>
      <w:spacing w:after="0" w:line="240" w:lineRule="auto"/>
    </w:pPr>
  </w:style>
  <w:style w:type="character" w:customStyle="1" w:styleId="RodapChar">
    <w:name w:val="Rodapé Char"/>
    <w:basedOn w:val="Fontepargpadro"/>
    <w:link w:val="Rodap"/>
    <w:uiPriority w:val="99"/>
    <w:rsid w:val="00CC1ECE"/>
  </w:style>
  <w:style w:type="character" w:styleId="Hyperlink">
    <w:name w:val="Hyperlink"/>
    <w:basedOn w:val="Fontepargpadro"/>
    <w:uiPriority w:val="99"/>
    <w:unhideWhenUsed/>
    <w:rsid w:val="00943813"/>
    <w:rPr>
      <w:color w:val="0000FF" w:themeColor="hyperlink"/>
      <w:u w:val="single"/>
    </w:rPr>
  </w:style>
  <w:style w:type="character" w:styleId="TextodoEspaoReservado">
    <w:name w:val="Placeholder Text"/>
    <w:basedOn w:val="Fontepargpadro"/>
    <w:uiPriority w:val="99"/>
    <w:semiHidden/>
    <w:rsid w:val="00B94E28"/>
    <w:rPr>
      <w:color w:val="808080"/>
    </w:rPr>
  </w:style>
  <w:style w:type="paragraph" w:styleId="Pr-formataoHTML">
    <w:name w:val="HTML Preformatted"/>
    <w:basedOn w:val="Normal"/>
    <w:link w:val="Pr-formataoHTMLChar"/>
    <w:uiPriority w:val="99"/>
    <w:semiHidden/>
    <w:unhideWhenUsed/>
    <w:rsid w:val="00343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343BC7"/>
    <w:rPr>
      <w:rFonts w:ascii="Courier New" w:eastAsia="Times New Roman" w:hAnsi="Courier New" w:cs="Courier New"/>
      <w:sz w:val="20"/>
      <w:szCs w:val="20"/>
      <w:lang w:val="pt-BR" w:eastAsia="pt-BR"/>
    </w:rPr>
  </w:style>
  <w:style w:type="character" w:styleId="MenoPendente">
    <w:name w:val="Unresolved Mention"/>
    <w:basedOn w:val="Fontepargpadro"/>
    <w:uiPriority w:val="99"/>
    <w:semiHidden/>
    <w:unhideWhenUsed/>
    <w:rsid w:val="00F03698"/>
    <w:rPr>
      <w:color w:val="605E5C"/>
      <w:shd w:val="clear" w:color="auto" w:fill="E1DFDD"/>
    </w:rPr>
  </w:style>
  <w:style w:type="character" w:customStyle="1" w:styleId="None">
    <w:name w:val="None"/>
    <w:rsid w:val="0066390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129303">
      <w:bodyDiv w:val="1"/>
      <w:marLeft w:val="0"/>
      <w:marRight w:val="0"/>
      <w:marTop w:val="0"/>
      <w:marBottom w:val="0"/>
      <w:divBdr>
        <w:top w:val="none" w:sz="0" w:space="0" w:color="auto"/>
        <w:left w:val="none" w:sz="0" w:space="0" w:color="auto"/>
        <w:bottom w:val="none" w:sz="0" w:space="0" w:color="auto"/>
        <w:right w:val="none" w:sz="0" w:space="0" w:color="auto"/>
      </w:divBdr>
    </w:div>
    <w:div w:id="17498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lvad.com/medical-professionals/resource-library/ems-field-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1644</TotalTime>
  <Pages>6</Pages>
  <Words>3107</Words>
  <Characters>16784</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Cristiane Domingues</cp:lastModifiedBy>
  <cp:revision>54</cp:revision>
  <cp:lastPrinted>2019-09-21T20:23:00Z</cp:lastPrinted>
  <dcterms:created xsi:type="dcterms:W3CDTF">2019-09-21T20:23:00Z</dcterms:created>
  <dcterms:modified xsi:type="dcterms:W3CDTF">2019-12-30T16:39:00Z</dcterms:modified>
</cp:coreProperties>
</file>