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CBFB" w14:textId="08EACA13" w:rsidR="00D27263" w:rsidRDefault="00C627AA" w:rsidP="00D27263">
      <w:pPr>
        <w:spacing w:after="0"/>
        <w:rPr>
          <w:sz w:val="48"/>
        </w:rPr>
      </w:pPr>
      <w:r>
        <w:rPr>
          <w:b/>
          <w:noProof/>
          <w:lang w:val="fr"/>
        </w:rPr>
        <w:drawing>
          <wp:inline distT="0" distB="0" distL="0" distR="0" wp14:anchorId="64B8CC30" wp14:editId="64B8CC31">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sidRPr="00323738">
        <w:rPr>
          <w:sz w:val="40"/>
          <w:lang w:val="fr"/>
        </w:rPr>
        <w:t xml:space="preserve">IPHMI </w:t>
      </w:r>
      <w:r w:rsidR="004B0787">
        <w:rPr>
          <w:sz w:val="40"/>
          <w:lang w:val="fr"/>
        </w:rPr>
        <w:t>Revue de la littérature</w:t>
      </w:r>
      <w:r w:rsidR="00D27263">
        <w:rPr>
          <w:b/>
          <w:noProof/>
          <w:lang w:val="fr"/>
        </w:rPr>
        <w:drawing>
          <wp:inline distT="0" distB="0" distL="0" distR="0" wp14:anchorId="64B8CC32" wp14:editId="64B8CC33">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14:paraId="64B8CBFC" w14:textId="3D6CA66E" w:rsidR="00D27263" w:rsidRPr="00323738" w:rsidRDefault="00D27263" w:rsidP="00D27263">
      <w:pPr>
        <w:jc w:val="center"/>
        <w:rPr>
          <w:sz w:val="28"/>
          <w:szCs w:val="28"/>
        </w:rPr>
      </w:pPr>
      <w:r>
        <w:rPr>
          <w:sz w:val="28"/>
          <w:szCs w:val="28"/>
          <w:lang w:val="fr"/>
        </w:rPr>
        <w:t xml:space="preserve">Vous tenir au courant de la littérature et des études actuelles </w:t>
      </w:r>
      <w:r w:rsidR="001F2B07">
        <w:rPr>
          <w:sz w:val="28"/>
          <w:szCs w:val="28"/>
          <w:lang w:val="fr"/>
        </w:rPr>
        <w:t>sur le</w:t>
      </w:r>
      <w:bookmarkStart w:id="0" w:name="_GoBack"/>
      <w:bookmarkEnd w:id="0"/>
      <w:r>
        <w:rPr>
          <w:sz w:val="28"/>
          <w:szCs w:val="28"/>
          <w:lang w:val="fr"/>
        </w:rPr>
        <w:t xml:space="preserve"> </w:t>
      </w:r>
      <w:r w:rsidR="006B4E4D">
        <w:rPr>
          <w:sz w:val="28"/>
          <w:szCs w:val="28"/>
          <w:lang w:val="fr"/>
        </w:rPr>
        <w:t>préhospitalier</w:t>
      </w:r>
    </w:p>
    <w:p w14:paraId="64B8CBFD" w14:textId="77777777" w:rsidR="00D27263" w:rsidRPr="00193BAE" w:rsidRDefault="00046471" w:rsidP="00D27263">
      <w:pPr>
        <w:ind w:left="2160" w:firstLine="720"/>
        <w:rPr>
          <w:sz w:val="40"/>
          <w:szCs w:val="40"/>
        </w:rPr>
      </w:pPr>
      <w:r w:rsidRPr="00193BAE">
        <w:rPr>
          <w:sz w:val="40"/>
          <w:szCs w:val="40"/>
          <w:lang w:val="fr"/>
        </w:rPr>
        <w:t>Vol. 2.3</w:t>
      </w:r>
    </w:p>
    <w:p w14:paraId="64B8CBFE" w14:textId="6209F307" w:rsidR="00F04F34" w:rsidRPr="00A62253" w:rsidRDefault="00D517A3" w:rsidP="00A62253">
      <w:pPr>
        <w:pStyle w:val="Paragraphedeliste"/>
        <w:numPr>
          <w:ilvl w:val="0"/>
          <w:numId w:val="1"/>
        </w:numPr>
        <w:spacing w:before="100" w:beforeAutospacing="1" w:after="100" w:afterAutospacing="1"/>
        <w:rPr>
          <w:rFonts w:eastAsia="Times New Roman" w:cstheme="minorHAnsi"/>
          <w:b/>
          <w:color w:val="000000" w:themeColor="text1"/>
        </w:rPr>
      </w:pPr>
      <w:r>
        <w:rPr>
          <w:b/>
        </w:rPr>
        <w:t>Un âge avancé</w:t>
      </w:r>
      <w:r w:rsidR="002A1716">
        <w:rPr>
          <w:b/>
        </w:rPr>
        <w:t xml:space="preserve"> </w:t>
      </w:r>
      <w:r w:rsidR="00A62253">
        <w:rPr>
          <w:b/>
          <w:lang w:val="fr"/>
        </w:rPr>
        <w:t xml:space="preserve"> a</w:t>
      </w:r>
      <w:r w:rsidR="002A1716">
        <w:rPr>
          <w:b/>
          <w:lang w:val="fr"/>
        </w:rPr>
        <w:t>ssocié à</w:t>
      </w:r>
      <w:r w:rsidR="00A62253">
        <w:rPr>
          <w:b/>
          <w:lang w:val="fr"/>
        </w:rPr>
        <w:t xml:space="preserve"> un mécanisme traumatique</w:t>
      </w:r>
      <w:r w:rsidR="00F921D5">
        <w:rPr>
          <w:b/>
          <w:lang w:val="fr"/>
        </w:rPr>
        <w:t>,</w:t>
      </w:r>
      <w:r w:rsidR="00A62253">
        <w:rPr>
          <w:b/>
          <w:lang w:val="fr"/>
        </w:rPr>
        <w:t xml:space="preserve"> devrait être un critère d'activation d</w:t>
      </w:r>
      <w:r w:rsidR="00F921D5">
        <w:rPr>
          <w:b/>
          <w:lang w:val="fr"/>
        </w:rPr>
        <w:t>e</w:t>
      </w:r>
      <w:r w:rsidR="00F10393">
        <w:rPr>
          <w:b/>
          <w:lang w:val="fr"/>
        </w:rPr>
        <w:t xml:space="preserve"> </w:t>
      </w:r>
      <w:r w:rsidR="00F921D5">
        <w:rPr>
          <w:b/>
          <w:lang w:val="fr"/>
        </w:rPr>
        <w:t>la trauma team</w:t>
      </w:r>
      <w:r w:rsidR="00A62253">
        <w:rPr>
          <w:b/>
          <w:lang w:val="fr"/>
        </w:rPr>
        <w:t xml:space="preserve">.  </w:t>
      </w:r>
      <w:r w:rsidR="00A62253" w:rsidRPr="00AB5270">
        <w:rPr>
          <w:lang w:val="de-DE"/>
        </w:rPr>
        <w:t xml:space="preserve">Bardes J, Benjamin E, Schellenberg M, Inaba K, Demetriades D.  </w:t>
      </w:r>
      <w:r w:rsidR="00A62253" w:rsidRPr="00A62253">
        <w:rPr>
          <w:lang w:val="fr"/>
        </w:rPr>
        <w:t>J Emerg Med, 2019;57:151-155.</w:t>
      </w:r>
    </w:p>
    <w:p w14:paraId="64B8CC00" w14:textId="579BD1C3" w:rsidR="00281AA8" w:rsidRPr="00CC5DBF" w:rsidRDefault="00A62253" w:rsidP="00CC5DBF">
      <w:pPr>
        <w:pStyle w:val="Paragraphedeliste"/>
        <w:numPr>
          <w:ilvl w:val="0"/>
          <w:numId w:val="1"/>
        </w:numPr>
        <w:spacing w:after="0"/>
        <w:rPr>
          <w:b/>
        </w:rPr>
      </w:pPr>
      <w:bookmarkStart w:id="1" w:name="_Hlk31709881"/>
      <w:r w:rsidRPr="00A62253">
        <w:rPr>
          <w:b/>
          <w:lang w:val="fr"/>
        </w:rPr>
        <w:t>Quel est l'impact des médecins dans l</w:t>
      </w:r>
      <w:r w:rsidR="00CC5DBF">
        <w:rPr>
          <w:b/>
          <w:lang w:val="fr"/>
        </w:rPr>
        <w:t>a prise en charge</w:t>
      </w:r>
      <w:r w:rsidRPr="00A62253">
        <w:rPr>
          <w:b/>
          <w:lang w:val="fr"/>
        </w:rPr>
        <w:t xml:space="preserve"> </w:t>
      </w:r>
      <w:r w:rsidR="00CC5DBF">
        <w:rPr>
          <w:b/>
          <w:lang w:val="fr"/>
        </w:rPr>
        <w:t xml:space="preserve">en </w:t>
      </w:r>
      <w:r w:rsidRPr="00A62253">
        <w:rPr>
          <w:b/>
          <w:lang w:val="fr"/>
        </w:rPr>
        <w:t xml:space="preserve">préhospitalier </w:t>
      </w:r>
      <w:r w:rsidR="00CC5DBF">
        <w:rPr>
          <w:b/>
          <w:lang w:val="fr"/>
        </w:rPr>
        <w:t>d</w:t>
      </w:r>
      <w:r w:rsidRPr="00A62253">
        <w:rPr>
          <w:b/>
          <w:lang w:val="fr"/>
        </w:rPr>
        <w:t xml:space="preserve">es patients </w:t>
      </w:r>
      <w:r w:rsidR="00CC5DBF">
        <w:rPr>
          <w:b/>
          <w:lang w:val="fr"/>
        </w:rPr>
        <w:t>nécessitant des soins ré</w:t>
      </w:r>
      <w:r w:rsidR="00AE4A42">
        <w:rPr>
          <w:b/>
          <w:lang w:val="fr"/>
        </w:rPr>
        <w:t>a</w:t>
      </w:r>
      <w:r w:rsidR="00CC5DBF">
        <w:rPr>
          <w:b/>
          <w:lang w:val="fr"/>
        </w:rPr>
        <w:t>nimatoires</w:t>
      </w:r>
      <w:r w:rsidRPr="00CC5DBF">
        <w:rPr>
          <w:b/>
          <w:lang w:val="fr"/>
        </w:rPr>
        <w:t>? Un</w:t>
      </w:r>
      <w:r w:rsidR="00C02467">
        <w:rPr>
          <w:b/>
          <w:lang w:val="fr"/>
        </w:rPr>
        <w:t>e revue de</w:t>
      </w:r>
      <w:r w:rsidR="00F10393">
        <w:rPr>
          <w:b/>
          <w:lang w:val="fr"/>
        </w:rPr>
        <w:t xml:space="preserve"> la littérature</w:t>
      </w:r>
      <w:r w:rsidRPr="00CC5DBF">
        <w:rPr>
          <w:lang w:val="fr"/>
        </w:rPr>
        <w:t xml:space="preserve">.   </w:t>
      </w:r>
      <w:bookmarkEnd w:id="1"/>
      <w:r w:rsidRPr="00CC5DBF">
        <w:rPr>
          <w:lang w:val="fr"/>
        </w:rPr>
        <w:t xml:space="preserve">Valentin G, Jensen LG. </w:t>
      </w:r>
      <w:r w:rsidR="00234651" w:rsidRPr="00CC5DBF">
        <w:rPr>
          <w:lang w:val="fr"/>
        </w:rPr>
        <w:t xml:space="preserve">International J. Tech Assessment Health Care </w:t>
      </w:r>
      <w:r w:rsidRPr="00CC5DBF">
        <w:rPr>
          <w:lang w:val="fr"/>
        </w:rPr>
        <w:t xml:space="preserve"> </w:t>
      </w:r>
      <w:r w:rsidR="00234651" w:rsidRPr="00CC5DBF">
        <w:rPr>
          <w:lang w:val="fr"/>
        </w:rPr>
        <w:t>2019;35:27-35.</w:t>
      </w:r>
    </w:p>
    <w:p w14:paraId="64B8CC01" w14:textId="1A77F58D" w:rsidR="00657100" w:rsidRPr="00234651" w:rsidRDefault="00234651" w:rsidP="00234651">
      <w:pPr>
        <w:pStyle w:val="Paragraphedeliste"/>
        <w:numPr>
          <w:ilvl w:val="0"/>
          <w:numId w:val="1"/>
        </w:numPr>
        <w:spacing w:after="0"/>
        <w:rPr>
          <w:rFonts w:eastAsia="Times New Roman" w:cstheme="minorHAnsi"/>
        </w:rPr>
      </w:pPr>
      <w:bookmarkStart w:id="2" w:name="_Hlk31709914"/>
      <w:r w:rsidRPr="00234651">
        <w:rPr>
          <w:b/>
          <w:lang w:val="fr"/>
        </w:rPr>
        <w:t>HFSA/SAEM/ISHLT</w:t>
      </w:r>
      <w:r w:rsidR="003F593C">
        <w:rPr>
          <w:b/>
          <w:lang w:val="fr"/>
        </w:rPr>
        <w:t xml:space="preserve"> ; </w:t>
      </w:r>
      <w:r w:rsidRPr="00234651">
        <w:rPr>
          <w:b/>
          <w:lang w:val="fr"/>
        </w:rPr>
        <w:t xml:space="preserve">Document </w:t>
      </w:r>
      <w:r w:rsidR="00ED4A53">
        <w:rPr>
          <w:b/>
          <w:lang w:val="fr"/>
        </w:rPr>
        <w:t xml:space="preserve">de consensus d’experts </w:t>
      </w:r>
      <w:r w:rsidR="003F593C">
        <w:rPr>
          <w:b/>
          <w:lang w:val="fr"/>
        </w:rPr>
        <w:t>sur la prise en charge en urgence, des patients</w:t>
      </w:r>
      <w:r w:rsidR="003036D2">
        <w:rPr>
          <w:b/>
          <w:lang w:val="fr"/>
        </w:rPr>
        <w:t xml:space="preserve"> sous assistance circulatoire mécanique</w:t>
      </w:r>
      <w:bookmarkEnd w:id="2"/>
      <w:r>
        <w:rPr>
          <w:b/>
          <w:lang w:val="fr"/>
        </w:rPr>
        <w:t xml:space="preserve">.  </w:t>
      </w:r>
      <w:r>
        <w:rPr>
          <w:lang w:val="fr"/>
        </w:rPr>
        <w:t xml:space="preserve"> </w:t>
      </w:r>
      <w:r w:rsidRPr="00234651">
        <w:rPr>
          <w:lang w:val="fr"/>
        </w:rPr>
        <w:t>Givertz M, DelFilippis E, Colvin M, et al .  J Heart Lung Transplant 2019;38:677-698</w:t>
      </w:r>
      <w:r>
        <w:rPr>
          <w:lang w:val="fr"/>
        </w:rPr>
        <w:t>.</w:t>
      </w:r>
    </w:p>
    <w:p w14:paraId="64B8CC02" w14:textId="0CEABB85" w:rsidR="00657100" w:rsidRPr="00657100" w:rsidRDefault="004B0787" w:rsidP="00193BAE">
      <w:pPr>
        <w:pStyle w:val="Paragraphedeliste"/>
        <w:numPr>
          <w:ilvl w:val="0"/>
          <w:numId w:val="1"/>
        </w:numPr>
        <w:rPr>
          <w:b/>
        </w:rPr>
      </w:pPr>
      <w:bookmarkStart w:id="3" w:name="_Hlk31709955"/>
      <w:r w:rsidRPr="004B0787">
        <w:rPr>
          <w:b/>
          <w:lang w:val="fr"/>
        </w:rPr>
        <w:t xml:space="preserve">Enquête préliminaire sur les cliniciens civils et les directives « just in time » pour l'utilisation de Garrot Tourniquet pour « arrêter le saignement ».  </w:t>
      </w:r>
      <w:bookmarkEnd w:id="3"/>
      <w:r w:rsidR="00193BAE" w:rsidRPr="00193BAE">
        <w:rPr>
          <w:lang w:val="fr"/>
        </w:rPr>
        <w:t>Lowndes B, Law K, Abdelrahman A, et coll.  Mil Med 2019;184 (Suppl. 1):28-36.</w:t>
      </w:r>
    </w:p>
    <w:p w14:paraId="64B8CC03" w14:textId="77777777" w:rsidR="00F04F34" w:rsidRPr="00F04F34" w:rsidRDefault="00F04F34" w:rsidP="00F04F34">
      <w:pPr>
        <w:pStyle w:val="Paragraphedeliste"/>
        <w:rPr>
          <w:b/>
        </w:rPr>
      </w:pPr>
    </w:p>
    <w:p w14:paraId="64B8CC04" w14:textId="3127E1B0" w:rsidR="00A62253" w:rsidRPr="00A62253" w:rsidRDefault="00F10393" w:rsidP="00A62253">
      <w:pPr>
        <w:pStyle w:val="Paragraphedeliste"/>
        <w:numPr>
          <w:ilvl w:val="0"/>
          <w:numId w:val="21"/>
        </w:numPr>
        <w:spacing w:before="100" w:beforeAutospacing="1" w:after="100" w:afterAutospacing="1"/>
        <w:rPr>
          <w:rFonts w:eastAsia="Times New Roman" w:cstheme="minorHAnsi"/>
          <w:b/>
          <w:color w:val="000000" w:themeColor="text1"/>
        </w:rPr>
      </w:pPr>
      <w:r w:rsidRPr="00F10393">
        <w:rPr>
          <w:b/>
          <w:lang w:val="fr"/>
        </w:rPr>
        <w:t>Un âge avancé  associé à un mécanisme traumatique, devrait être un critère d'activation de</w:t>
      </w:r>
      <w:r>
        <w:rPr>
          <w:b/>
          <w:lang w:val="fr"/>
        </w:rPr>
        <w:t xml:space="preserve"> </w:t>
      </w:r>
      <w:r w:rsidRPr="00F10393">
        <w:rPr>
          <w:b/>
          <w:lang w:val="fr"/>
        </w:rPr>
        <w:t>la trauma team</w:t>
      </w:r>
      <w:r w:rsidR="00A62253">
        <w:rPr>
          <w:b/>
          <w:lang w:val="fr"/>
        </w:rPr>
        <w:t xml:space="preserve">.  </w:t>
      </w:r>
      <w:r w:rsidR="00A62253" w:rsidRPr="00AB5270">
        <w:rPr>
          <w:lang w:val="de-DE"/>
        </w:rPr>
        <w:t xml:space="preserve">Bardes J, Benjamin E, Schellenberg M, Inaba K, Demetriades D.  </w:t>
      </w:r>
      <w:r w:rsidR="00A62253" w:rsidRPr="00A62253">
        <w:rPr>
          <w:lang w:val="fr"/>
        </w:rPr>
        <w:t>J Emerg Med, 2019;57:151-155.</w:t>
      </w:r>
    </w:p>
    <w:p w14:paraId="64B8CC05" w14:textId="44E1D4B3" w:rsidR="00A62253" w:rsidRPr="00A62253" w:rsidRDefault="00111790" w:rsidP="00A62253">
      <w:pPr>
        <w:pStyle w:val="Sansinterligne"/>
        <w:ind w:firstLine="360"/>
        <w:rPr>
          <w:rFonts w:cstheme="minorHAnsi"/>
        </w:rPr>
      </w:pPr>
      <w:r>
        <w:t>Du fait d</w:t>
      </w:r>
      <w:r w:rsidR="00A62253" w:rsidRPr="00A62253">
        <w:rPr>
          <w:lang w:val="fr"/>
        </w:rPr>
        <w:t>es changements anatomiques et physiologiques que nos corps subisse</w:t>
      </w:r>
      <w:r w:rsidR="00F51043">
        <w:rPr>
          <w:lang w:val="fr"/>
        </w:rPr>
        <w:t xml:space="preserve">nt au cours de la vie, </w:t>
      </w:r>
      <w:r w:rsidR="00A62253" w:rsidRPr="00A62253">
        <w:rPr>
          <w:lang w:val="fr"/>
        </w:rPr>
        <w:t xml:space="preserve"> les patients âgés </w:t>
      </w:r>
      <w:r w:rsidR="00F51043">
        <w:rPr>
          <w:lang w:val="fr"/>
        </w:rPr>
        <w:t xml:space="preserve">ont </w:t>
      </w:r>
      <w:r w:rsidR="00A62253" w:rsidRPr="00A62253">
        <w:rPr>
          <w:lang w:val="fr"/>
        </w:rPr>
        <w:t>un plus grand risque</w:t>
      </w:r>
      <w:r w:rsidR="00F51043">
        <w:rPr>
          <w:lang w:val="fr"/>
        </w:rPr>
        <w:t xml:space="preserve"> de</w:t>
      </w:r>
      <w:r w:rsidR="00A62253" w:rsidRPr="00A62253">
        <w:rPr>
          <w:lang w:val="fr"/>
        </w:rPr>
        <w:t xml:space="preserve"> mortalité et </w:t>
      </w:r>
      <w:r w:rsidR="00F51043">
        <w:rPr>
          <w:lang w:val="fr"/>
        </w:rPr>
        <w:t>de</w:t>
      </w:r>
      <w:r w:rsidR="00A62253" w:rsidRPr="00A62253">
        <w:rPr>
          <w:lang w:val="fr"/>
        </w:rPr>
        <w:t xml:space="preserve"> </w:t>
      </w:r>
      <w:r w:rsidR="00F51043">
        <w:rPr>
          <w:lang w:val="fr"/>
        </w:rPr>
        <w:t>lésions</w:t>
      </w:r>
      <w:r w:rsidR="00A62253" w:rsidRPr="00A62253">
        <w:rPr>
          <w:lang w:val="fr"/>
        </w:rPr>
        <w:t xml:space="preserve"> graves </w:t>
      </w:r>
      <w:r w:rsidR="00F51043">
        <w:rPr>
          <w:lang w:val="fr"/>
        </w:rPr>
        <w:t>lors d’</w:t>
      </w:r>
      <w:r w:rsidR="00A62253" w:rsidRPr="00A62253">
        <w:rPr>
          <w:lang w:val="fr"/>
        </w:rPr>
        <w:t>événements traumatiques.  Les recommandations de l'American College of Surgeons (ACS) Committee on Trauma (COT) pour l'activation des équipes de</w:t>
      </w:r>
      <w:r w:rsidR="00E32320">
        <w:rPr>
          <w:lang w:val="fr"/>
        </w:rPr>
        <w:t xml:space="preserve"> type Trauma Team</w:t>
      </w:r>
      <w:r w:rsidR="00A62253" w:rsidRPr="00A62253">
        <w:rPr>
          <w:lang w:val="fr"/>
        </w:rPr>
        <w:t xml:space="preserve"> (TTA</w:t>
      </w:r>
      <w:r w:rsidR="00E32320">
        <w:rPr>
          <w:lang w:val="fr"/>
        </w:rPr>
        <w:t>,</w:t>
      </w:r>
      <w:r w:rsidR="00A62253" w:rsidRPr="00A62253">
        <w:rPr>
          <w:lang w:val="fr"/>
        </w:rPr>
        <w:t>) n'incluent pas l'âge comme critère</w:t>
      </w:r>
      <w:r w:rsidR="00E32320">
        <w:rPr>
          <w:lang w:val="fr"/>
        </w:rPr>
        <w:t xml:space="preserve"> de d</w:t>
      </w:r>
      <w:r w:rsidR="00F54189">
        <w:rPr>
          <w:lang w:val="fr"/>
        </w:rPr>
        <w:t>éclenchement</w:t>
      </w:r>
      <w:r w:rsidR="00A62253" w:rsidRPr="00A62253">
        <w:rPr>
          <w:lang w:val="fr"/>
        </w:rPr>
        <w:t>.</w:t>
      </w:r>
    </w:p>
    <w:p w14:paraId="64B8CC06" w14:textId="46A68BA3" w:rsidR="00A62253" w:rsidRPr="00A62253" w:rsidRDefault="00A62253" w:rsidP="00A62253">
      <w:pPr>
        <w:pStyle w:val="Sansinterligne"/>
        <w:ind w:firstLine="360"/>
        <w:rPr>
          <w:rFonts w:cstheme="minorHAnsi"/>
        </w:rPr>
      </w:pPr>
      <w:r w:rsidRPr="00A62253">
        <w:rPr>
          <w:lang w:val="fr"/>
        </w:rPr>
        <w:t>Les auteurs</w:t>
      </w:r>
      <w:r w:rsidR="001C1236">
        <w:rPr>
          <w:lang w:val="fr"/>
        </w:rPr>
        <w:t xml:space="preserve"> décrivent</w:t>
      </w:r>
      <w:r w:rsidRPr="00A62253">
        <w:rPr>
          <w:lang w:val="fr"/>
        </w:rPr>
        <w:t xml:space="preserve">, </w:t>
      </w:r>
      <w:r w:rsidR="001C1236">
        <w:rPr>
          <w:lang w:val="fr"/>
        </w:rPr>
        <w:t>un</w:t>
      </w:r>
      <w:r w:rsidRPr="00A62253">
        <w:rPr>
          <w:lang w:val="fr"/>
        </w:rPr>
        <w:t xml:space="preserve"> Centre de traumatologie</w:t>
      </w:r>
      <w:r w:rsidR="001C1236">
        <w:rPr>
          <w:lang w:val="fr"/>
        </w:rPr>
        <w:t xml:space="preserve"> agréé de niveau 1</w:t>
      </w:r>
      <w:r w:rsidR="009602F0">
        <w:rPr>
          <w:lang w:val="fr"/>
        </w:rPr>
        <w:t xml:space="preserve"> (Trauma Center 1)</w:t>
      </w:r>
      <w:r w:rsidRPr="00A62253">
        <w:rPr>
          <w:lang w:val="fr"/>
        </w:rPr>
        <w:t xml:space="preserve">, </w:t>
      </w:r>
      <w:r w:rsidR="001C1236">
        <w:rPr>
          <w:lang w:val="fr"/>
        </w:rPr>
        <w:t xml:space="preserve">qui </w:t>
      </w:r>
      <w:r w:rsidRPr="00A62253">
        <w:rPr>
          <w:lang w:val="fr"/>
        </w:rPr>
        <w:t xml:space="preserve">a adopté un critère d'âge </w:t>
      </w:r>
      <w:r w:rsidR="00C1107A">
        <w:rPr>
          <w:lang w:val="fr"/>
        </w:rPr>
        <w:t>&gt;</w:t>
      </w:r>
      <w:r w:rsidRPr="00A62253">
        <w:rPr>
          <w:lang w:val="fr"/>
        </w:rPr>
        <w:t xml:space="preserve"> 70 ans pour l'activation de l</w:t>
      </w:r>
      <w:r w:rsidR="009602F0">
        <w:rPr>
          <w:lang w:val="fr"/>
        </w:rPr>
        <w:t>a Trauma Team</w:t>
      </w:r>
      <w:r w:rsidRPr="00A62253">
        <w:rPr>
          <w:lang w:val="fr"/>
        </w:rPr>
        <w:t>.  Étant donné le coût des activations d</w:t>
      </w:r>
      <w:r w:rsidR="009602F0">
        <w:rPr>
          <w:lang w:val="fr"/>
        </w:rPr>
        <w:t>e la trauma team</w:t>
      </w:r>
      <w:r w:rsidRPr="00A62253">
        <w:rPr>
          <w:lang w:val="fr"/>
        </w:rPr>
        <w:t>, tant sur le plan financier qu</w:t>
      </w:r>
      <w:r w:rsidR="009602F0">
        <w:rPr>
          <w:lang w:val="fr"/>
        </w:rPr>
        <w:t xml:space="preserve">’en terme de </w:t>
      </w:r>
      <w:r w:rsidRPr="00A62253">
        <w:rPr>
          <w:lang w:val="fr"/>
        </w:rPr>
        <w:t xml:space="preserve">ressources </w:t>
      </w:r>
      <w:r w:rsidR="004B3166">
        <w:rPr>
          <w:lang w:val="fr"/>
        </w:rPr>
        <w:t>engag</w:t>
      </w:r>
      <w:r w:rsidRPr="00A62253">
        <w:rPr>
          <w:lang w:val="fr"/>
        </w:rPr>
        <w:t>ées, les auteurs ont examiné la question de savoir si ce critère adopté localemen</w:t>
      </w:r>
      <w:r w:rsidR="00491D24">
        <w:rPr>
          <w:lang w:val="fr"/>
        </w:rPr>
        <w:t>t,</w:t>
      </w:r>
      <w:r w:rsidRPr="00A62253">
        <w:rPr>
          <w:lang w:val="fr"/>
        </w:rPr>
        <w:t xml:space="preserve"> identifie correctement les patients à risque</w:t>
      </w:r>
      <w:r w:rsidR="00491D24">
        <w:rPr>
          <w:lang w:val="fr"/>
        </w:rPr>
        <w:t xml:space="preserve">, </w:t>
      </w:r>
      <w:r w:rsidRPr="00A62253">
        <w:rPr>
          <w:lang w:val="fr"/>
        </w:rPr>
        <w:t xml:space="preserve">ou s'il </w:t>
      </w:r>
      <w:r w:rsidR="00CE2832">
        <w:rPr>
          <w:lang w:val="fr"/>
        </w:rPr>
        <w:t>« </w:t>
      </w:r>
      <w:r w:rsidRPr="00A62253">
        <w:rPr>
          <w:lang w:val="fr"/>
        </w:rPr>
        <w:t>sur-trie</w:t>
      </w:r>
      <w:r w:rsidR="00CE2832">
        <w:rPr>
          <w:lang w:val="fr"/>
        </w:rPr>
        <w:t> »</w:t>
      </w:r>
      <w:r w:rsidRPr="00A62253">
        <w:rPr>
          <w:lang w:val="fr"/>
        </w:rPr>
        <w:t xml:space="preserve"> un nombre excessif de patients?  Les auteurs ont mené </w:t>
      </w:r>
      <w:r w:rsidR="00B176CF">
        <w:rPr>
          <w:lang w:val="fr"/>
        </w:rPr>
        <w:t>une</w:t>
      </w:r>
      <w:r w:rsidR="003E7986">
        <w:rPr>
          <w:lang w:val="fr"/>
        </w:rPr>
        <w:t xml:space="preserve"> étude </w:t>
      </w:r>
      <w:r w:rsidR="00B176CF">
        <w:rPr>
          <w:lang w:val="fr"/>
        </w:rPr>
        <w:t>rétrosp</w:t>
      </w:r>
      <w:r w:rsidR="008A453B">
        <w:rPr>
          <w:lang w:val="fr"/>
        </w:rPr>
        <w:t xml:space="preserve">ective </w:t>
      </w:r>
      <w:r w:rsidR="003E7986">
        <w:rPr>
          <w:lang w:val="fr"/>
        </w:rPr>
        <w:t xml:space="preserve">sur </w:t>
      </w:r>
      <w:r w:rsidRPr="00A62253">
        <w:rPr>
          <w:lang w:val="fr"/>
        </w:rPr>
        <w:t xml:space="preserve">une période de cinq ans, </w:t>
      </w:r>
      <w:r w:rsidR="00EC7CBD">
        <w:rPr>
          <w:lang w:val="fr"/>
        </w:rPr>
        <w:t>avec accord de la commission</w:t>
      </w:r>
      <w:r w:rsidRPr="00A62253">
        <w:rPr>
          <w:lang w:val="fr"/>
        </w:rPr>
        <w:t xml:space="preserve">, </w:t>
      </w:r>
      <w:r w:rsidR="00C220ED">
        <w:rPr>
          <w:lang w:val="fr"/>
        </w:rPr>
        <w:t>en revoyant les dossiers</w:t>
      </w:r>
      <w:r w:rsidRPr="00A62253">
        <w:rPr>
          <w:lang w:val="fr"/>
        </w:rPr>
        <w:t xml:space="preserve"> de tous les patients du registre de</w:t>
      </w:r>
      <w:r w:rsidR="00C2060F">
        <w:rPr>
          <w:lang w:val="fr"/>
        </w:rPr>
        <w:t xml:space="preserve"> traumatologie</w:t>
      </w:r>
      <w:r w:rsidRPr="00A62253">
        <w:rPr>
          <w:lang w:val="fr"/>
        </w:rPr>
        <w:t xml:space="preserve"> </w:t>
      </w:r>
      <w:r w:rsidR="009E0607">
        <w:rPr>
          <w:lang w:val="fr"/>
        </w:rPr>
        <w:t>qui étaient âgés de plus de</w:t>
      </w:r>
      <w:r w:rsidRPr="00A62253">
        <w:rPr>
          <w:lang w:val="fr"/>
        </w:rPr>
        <w:t xml:space="preserve"> 70 ans, à l'exception des patients vus pour une chute </w:t>
      </w:r>
      <w:r w:rsidR="003675D8">
        <w:rPr>
          <w:lang w:val="fr"/>
        </w:rPr>
        <w:t>de leur hauteur</w:t>
      </w:r>
      <w:r w:rsidRPr="00A62253">
        <w:rPr>
          <w:lang w:val="fr"/>
        </w:rPr>
        <w:t>.</w:t>
      </w:r>
    </w:p>
    <w:p w14:paraId="64B8CC07" w14:textId="77777777" w:rsidR="00A62253" w:rsidRPr="00A62253" w:rsidRDefault="00A62253" w:rsidP="00A62253">
      <w:pPr>
        <w:pStyle w:val="Sansinterligne"/>
        <w:ind w:firstLine="360"/>
        <w:rPr>
          <w:rFonts w:cstheme="minorHAnsi"/>
        </w:rPr>
      </w:pPr>
      <w:r w:rsidRPr="00A62253">
        <w:rPr>
          <w:lang w:val="fr"/>
        </w:rPr>
        <w:t>L'étude a identifié 739 patients qui répondaient au critère de l'âge.  Les trois causes les plus fréquentes de blessures étaient les piétons heurtés par un véhicule (41,4 %), les chutes de hauteur (25,7 %) et les accidents de la route (14,4 %).  Le taux global de surtriage était de 30 %.</w:t>
      </w:r>
    </w:p>
    <w:p w14:paraId="64B8CC08" w14:textId="21CDA7F7" w:rsidR="00A62253" w:rsidRPr="00A62253" w:rsidRDefault="00A62253" w:rsidP="00A62253">
      <w:pPr>
        <w:pStyle w:val="Sansinterligne"/>
        <w:ind w:firstLine="360"/>
        <w:rPr>
          <w:rFonts w:cstheme="minorHAnsi"/>
        </w:rPr>
      </w:pPr>
      <w:r w:rsidRPr="00A62253">
        <w:rPr>
          <w:lang w:val="fr"/>
        </w:rPr>
        <w:lastRenderedPageBreak/>
        <w:t>Les patients ont été classés en deux groupes.  Le premier groupe (n-198) comprenait des patients qui satisfaisaient aux critères standard</w:t>
      </w:r>
      <w:r w:rsidR="00030EC9">
        <w:rPr>
          <w:lang w:val="fr"/>
        </w:rPr>
        <w:t>s</w:t>
      </w:r>
      <w:r w:rsidRPr="00A62253">
        <w:rPr>
          <w:lang w:val="fr"/>
        </w:rPr>
        <w:t xml:space="preserve"> de triage des traumatismes (TTA-S).  Les critères standard</w:t>
      </w:r>
      <w:r w:rsidR="00030EC9">
        <w:rPr>
          <w:lang w:val="fr"/>
        </w:rPr>
        <w:t>s</w:t>
      </w:r>
      <w:r w:rsidRPr="00A62253">
        <w:rPr>
          <w:lang w:val="fr"/>
        </w:rPr>
        <w:t xml:space="preserve"> incluent la tension artérielle systolique</w:t>
      </w:r>
      <w:r w:rsidR="000E31F8">
        <w:rPr>
          <w:lang w:val="fr"/>
        </w:rPr>
        <w:t xml:space="preserve"> &lt; </w:t>
      </w:r>
      <w:r w:rsidRPr="00A62253">
        <w:rPr>
          <w:lang w:val="fr"/>
        </w:rPr>
        <w:t>90mm/hg, les fréquences cardiaques</w:t>
      </w:r>
      <w:r w:rsidR="000E31F8">
        <w:rPr>
          <w:lang w:val="fr"/>
        </w:rPr>
        <w:t xml:space="preserve"> &gt; </w:t>
      </w:r>
      <w:r w:rsidRPr="00A62253">
        <w:rPr>
          <w:lang w:val="fr"/>
        </w:rPr>
        <w:t xml:space="preserve">120 battements/minute, </w:t>
      </w:r>
      <w:r w:rsidR="00EA533C">
        <w:rPr>
          <w:lang w:val="fr"/>
        </w:rPr>
        <w:t xml:space="preserve">un score </w:t>
      </w:r>
      <w:r w:rsidRPr="00A62253">
        <w:rPr>
          <w:lang w:val="fr"/>
        </w:rPr>
        <w:t xml:space="preserve">Glasgow Coma Scale </w:t>
      </w:r>
      <w:r w:rsidR="00A03F72">
        <w:rPr>
          <w:lang w:val="fr"/>
        </w:rPr>
        <w:t xml:space="preserve">&lt; </w:t>
      </w:r>
      <w:r w:rsidRPr="00A62253">
        <w:rPr>
          <w:lang w:val="fr"/>
        </w:rPr>
        <w:t>9, les blessures par balle au cou ou au torse ou tout patient transféré recevant des produits sanguins. La mortalité dans le groupe TTA-S était de 60,1%.  Le taux de triage excédentaire pour ce groupe n'était que de 4 %.</w:t>
      </w:r>
    </w:p>
    <w:p w14:paraId="64B8CC09" w14:textId="6798D9C0" w:rsidR="00A62253" w:rsidRPr="00A62253" w:rsidRDefault="00A62253" w:rsidP="00A62253">
      <w:pPr>
        <w:pStyle w:val="Sansinterligne"/>
        <w:ind w:firstLine="360"/>
        <w:rPr>
          <w:rFonts w:cstheme="minorHAnsi"/>
        </w:rPr>
      </w:pPr>
      <w:r w:rsidRPr="00A62253">
        <w:rPr>
          <w:lang w:val="fr"/>
        </w:rPr>
        <w:t>Le deuxième groupe de 541 patients étaien</w:t>
      </w:r>
      <w:r w:rsidR="00265933">
        <w:rPr>
          <w:lang w:val="fr"/>
        </w:rPr>
        <w:t xml:space="preserve">t des patients pour lesquels </w:t>
      </w:r>
      <w:r w:rsidR="008C3D7C">
        <w:rPr>
          <w:lang w:val="fr"/>
        </w:rPr>
        <w:t>le crit</w:t>
      </w:r>
      <w:r w:rsidR="00C14B68">
        <w:rPr>
          <w:lang w:val="fr"/>
        </w:rPr>
        <w:t>é</w:t>
      </w:r>
      <w:r w:rsidR="008C3D7C">
        <w:rPr>
          <w:lang w:val="fr"/>
        </w:rPr>
        <w:t>re de déclenchement de la trauma team était</w:t>
      </w:r>
      <w:r w:rsidR="00C63F3A">
        <w:rPr>
          <w:lang w:val="fr"/>
        </w:rPr>
        <w:t xml:space="preserve"> </w:t>
      </w:r>
      <w:r w:rsidRPr="00A62253">
        <w:rPr>
          <w:lang w:val="fr"/>
        </w:rPr>
        <w:t>l'âg</w:t>
      </w:r>
      <w:r w:rsidR="00C63F3A">
        <w:rPr>
          <w:lang w:val="fr"/>
        </w:rPr>
        <w:t xml:space="preserve">e &gt; </w:t>
      </w:r>
      <w:r w:rsidRPr="00A62253">
        <w:rPr>
          <w:lang w:val="fr"/>
        </w:rPr>
        <w:t>70</w:t>
      </w:r>
      <w:r w:rsidR="00C63F3A">
        <w:rPr>
          <w:lang w:val="fr"/>
        </w:rPr>
        <w:t xml:space="preserve"> ans</w:t>
      </w:r>
      <w:r w:rsidRPr="00A62253">
        <w:rPr>
          <w:lang w:val="fr"/>
        </w:rPr>
        <w:t xml:space="preserve"> (TTA-A). Ce groupe avait un taux de mortalité de 9,1 %.  Bien que ce groupe ait eu un taux de mortalité plus bas, il a tou</w:t>
      </w:r>
      <w:r w:rsidR="00AA6653">
        <w:rPr>
          <w:lang w:val="fr"/>
        </w:rPr>
        <w:t>t de même</w:t>
      </w:r>
      <w:r w:rsidRPr="00A62253">
        <w:rPr>
          <w:lang w:val="fr"/>
        </w:rPr>
        <w:t xml:space="preserve"> représenté une population avec des </w:t>
      </w:r>
      <w:r w:rsidR="00C63F3A">
        <w:rPr>
          <w:lang w:val="fr"/>
        </w:rPr>
        <w:t>lésion</w:t>
      </w:r>
      <w:r w:rsidRPr="00A62253">
        <w:rPr>
          <w:lang w:val="fr"/>
        </w:rPr>
        <w:t>s traumatiques significati</w:t>
      </w:r>
      <w:r w:rsidR="00AA6653">
        <w:rPr>
          <w:lang w:val="fr"/>
        </w:rPr>
        <w:t>ve</w:t>
      </w:r>
      <w:r w:rsidRPr="00A62253">
        <w:rPr>
          <w:lang w:val="fr"/>
        </w:rPr>
        <w:t xml:space="preserve">s. </w:t>
      </w:r>
      <w:r w:rsidR="00341763">
        <w:rPr>
          <w:lang w:val="fr"/>
        </w:rPr>
        <w:t>On constate n</w:t>
      </w:r>
      <w:r w:rsidR="0051370A">
        <w:rPr>
          <w:lang w:val="fr"/>
        </w:rPr>
        <w:t>otamment pour p</w:t>
      </w:r>
      <w:r w:rsidRPr="00A62253">
        <w:rPr>
          <w:lang w:val="fr"/>
        </w:rPr>
        <w:t>lus de la moitié</w:t>
      </w:r>
      <w:r w:rsidR="0051370A">
        <w:rPr>
          <w:lang w:val="fr"/>
        </w:rPr>
        <w:t xml:space="preserve"> des patients</w:t>
      </w:r>
      <w:r w:rsidRPr="00A62253">
        <w:rPr>
          <w:lang w:val="fr"/>
        </w:rPr>
        <w:t xml:space="preserve"> (56,6 %) </w:t>
      </w:r>
      <w:r w:rsidR="0051370A">
        <w:rPr>
          <w:lang w:val="fr"/>
        </w:rPr>
        <w:t xml:space="preserve">une </w:t>
      </w:r>
      <w:r w:rsidRPr="00A62253">
        <w:rPr>
          <w:lang w:val="fr"/>
        </w:rPr>
        <w:t xml:space="preserve">admission </w:t>
      </w:r>
      <w:r w:rsidR="0051370A">
        <w:rPr>
          <w:lang w:val="fr"/>
        </w:rPr>
        <w:t xml:space="preserve">en </w:t>
      </w:r>
      <w:r w:rsidRPr="00A62253">
        <w:rPr>
          <w:lang w:val="fr"/>
        </w:rPr>
        <w:t xml:space="preserve">unité de </w:t>
      </w:r>
      <w:r w:rsidR="0051370A">
        <w:rPr>
          <w:lang w:val="fr"/>
        </w:rPr>
        <w:t>réanimation</w:t>
      </w:r>
      <w:r w:rsidRPr="00A62253">
        <w:rPr>
          <w:lang w:val="fr"/>
        </w:rPr>
        <w:t xml:space="preserve">. Seulement 50 % </w:t>
      </w:r>
      <w:r w:rsidR="00341763">
        <w:rPr>
          <w:lang w:val="fr"/>
        </w:rPr>
        <w:t xml:space="preserve">des patients </w:t>
      </w:r>
      <w:r w:rsidRPr="00A62253">
        <w:rPr>
          <w:lang w:val="fr"/>
        </w:rPr>
        <w:t xml:space="preserve">de ce groupe ont été renvoyés directement </w:t>
      </w:r>
      <w:r w:rsidR="009760E4">
        <w:rPr>
          <w:lang w:val="fr"/>
        </w:rPr>
        <w:t xml:space="preserve">au domicile </w:t>
      </w:r>
      <w:r w:rsidRPr="00A62253">
        <w:rPr>
          <w:lang w:val="fr"/>
        </w:rPr>
        <w:t xml:space="preserve">; 22,2 % </w:t>
      </w:r>
      <w:r w:rsidR="009760E4">
        <w:rPr>
          <w:lang w:val="fr"/>
        </w:rPr>
        <w:t>ont d’abord été</w:t>
      </w:r>
      <w:r w:rsidR="00560DA9">
        <w:rPr>
          <w:lang w:val="fr"/>
        </w:rPr>
        <w:t xml:space="preserve"> admis</w:t>
      </w:r>
      <w:r w:rsidRPr="00A62253">
        <w:rPr>
          <w:lang w:val="fr"/>
        </w:rPr>
        <w:t xml:space="preserve"> dans un établissement de ré</w:t>
      </w:r>
      <w:r w:rsidR="004F0120">
        <w:rPr>
          <w:lang w:val="fr"/>
        </w:rPr>
        <w:t>éducation</w:t>
      </w:r>
      <w:r w:rsidRPr="00A62253">
        <w:rPr>
          <w:lang w:val="fr"/>
        </w:rPr>
        <w:t xml:space="preserve"> et 15,9 % ont été envoyés dans des établissements </w:t>
      </w:r>
      <w:r w:rsidR="009760E4">
        <w:rPr>
          <w:lang w:val="fr"/>
        </w:rPr>
        <w:t>ayant des</w:t>
      </w:r>
      <w:r w:rsidRPr="00A62253">
        <w:rPr>
          <w:lang w:val="fr"/>
        </w:rPr>
        <w:t xml:space="preserve"> soins infirmiers spécialisés. Quarante patients (7,4 %) </w:t>
      </w:r>
      <w:r w:rsidR="00754FB3">
        <w:rPr>
          <w:lang w:val="fr"/>
        </w:rPr>
        <w:t>sont</w:t>
      </w:r>
      <w:r w:rsidRPr="00A62253">
        <w:rPr>
          <w:lang w:val="fr"/>
        </w:rPr>
        <w:t xml:space="preserve"> allé</w:t>
      </w:r>
      <w:r w:rsidR="00754FB3">
        <w:rPr>
          <w:lang w:val="fr"/>
        </w:rPr>
        <w:t>s</w:t>
      </w:r>
      <w:r w:rsidRPr="00A62253">
        <w:rPr>
          <w:lang w:val="fr"/>
        </w:rPr>
        <w:t xml:space="preserve"> </w:t>
      </w:r>
      <w:r w:rsidR="00EE646B">
        <w:rPr>
          <w:lang w:val="fr"/>
        </w:rPr>
        <w:t xml:space="preserve">en urgence </w:t>
      </w:r>
      <w:r w:rsidR="00754FB3">
        <w:rPr>
          <w:lang w:val="fr"/>
        </w:rPr>
        <w:t>au bloc opératoire</w:t>
      </w:r>
      <w:r w:rsidRPr="00A62253">
        <w:rPr>
          <w:lang w:val="fr"/>
        </w:rPr>
        <w:t xml:space="preserve">, 9,1% sont morts et 13,3% ont </w:t>
      </w:r>
      <w:r w:rsidR="00C14B68">
        <w:rPr>
          <w:lang w:val="fr"/>
        </w:rPr>
        <w:t xml:space="preserve">nécessité une </w:t>
      </w:r>
      <w:r w:rsidRPr="00A62253">
        <w:rPr>
          <w:lang w:val="fr"/>
        </w:rPr>
        <w:t xml:space="preserve">intubation endotrachéale </w:t>
      </w:r>
      <w:r w:rsidR="00C14B68">
        <w:rPr>
          <w:lang w:val="fr"/>
        </w:rPr>
        <w:t xml:space="preserve">aux déchocage des </w:t>
      </w:r>
      <w:r w:rsidRPr="00A62253">
        <w:rPr>
          <w:lang w:val="fr"/>
        </w:rPr>
        <w:t>urgence</w:t>
      </w:r>
      <w:r w:rsidR="00C14B68">
        <w:rPr>
          <w:lang w:val="fr"/>
        </w:rPr>
        <w:t>s</w:t>
      </w:r>
      <w:r w:rsidRPr="00A62253">
        <w:rPr>
          <w:lang w:val="fr"/>
        </w:rPr>
        <w:t>. Le taux de</w:t>
      </w:r>
      <w:r w:rsidR="00865995">
        <w:rPr>
          <w:lang w:val="fr"/>
        </w:rPr>
        <w:t xml:space="preserve"> sur-t</w:t>
      </w:r>
      <w:r w:rsidRPr="00A62253">
        <w:rPr>
          <w:lang w:val="fr"/>
        </w:rPr>
        <w:t xml:space="preserve">riage pour ce groupe a été calculé à 39,6 %, alors que pour le groupe d'activation standard, </w:t>
      </w:r>
      <w:r w:rsidR="00865995">
        <w:rPr>
          <w:lang w:val="fr"/>
        </w:rPr>
        <w:t>il</w:t>
      </w:r>
      <w:r w:rsidRPr="00A62253">
        <w:rPr>
          <w:lang w:val="fr"/>
        </w:rPr>
        <w:t xml:space="preserve"> était de 4 %.</w:t>
      </w:r>
    </w:p>
    <w:p w14:paraId="64B8CC0A" w14:textId="65154335" w:rsidR="00F04F34" w:rsidRDefault="00A62253" w:rsidP="00A62253">
      <w:pPr>
        <w:pStyle w:val="Sansinterligne"/>
        <w:ind w:firstLine="360"/>
        <w:rPr>
          <w:rFonts w:cstheme="minorHAnsi"/>
        </w:rPr>
      </w:pPr>
      <w:r w:rsidRPr="00A62253">
        <w:rPr>
          <w:lang w:val="fr"/>
        </w:rPr>
        <w:t>Souvent, les patients âgés</w:t>
      </w:r>
      <w:r w:rsidR="005F2DCD">
        <w:rPr>
          <w:lang w:val="fr"/>
        </w:rPr>
        <w:t xml:space="preserve"> victimes</w:t>
      </w:r>
      <w:r w:rsidRPr="00A62253">
        <w:rPr>
          <w:lang w:val="fr"/>
        </w:rPr>
        <w:t xml:space="preserve"> de trauma</w:t>
      </w:r>
      <w:r w:rsidR="005F2DCD">
        <w:rPr>
          <w:lang w:val="fr"/>
        </w:rPr>
        <w:t>tismes</w:t>
      </w:r>
      <w:r w:rsidRPr="00A62253">
        <w:rPr>
          <w:lang w:val="fr"/>
        </w:rPr>
        <w:t xml:space="preserve"> ne répondent pas aux critères physiologiques standard pour l'activation d</w:t>
      </w:r>
      <w:r w:rsidR="005F2DCD">
        <w:rPr>
          <w:lang w:val="fr"/>
        </w:rPr>
        <w:t>e la trauma team</w:t>
      </w:r>
      <w:r w:rsidRPr="00A62253">
        <w:rPr>
          <w:lang w:val="fr"/>
        </w:rPr>
        <w:t>.  Les signes vitaux initiaux peuvent se situ</w:t>
      </w:r>
      <w:r w:rsidR="005F2DCD">
        <w:rPr>
          <w:lang w:val="fr"/>
        </w:rPr>
        <w:t>er</w:t>
      </w:r>
      <w:r w:rsidRPr="00A62253">
        <w:rPr>
          <w:lang w:val="fr"/>
        </w:rPr>
        <w:t xml:space="preserve"> dans des limites « normales » pour diverses raisons, malgré des blessures sous-jacentes graves. Les comorbidités telles que l'hypertension </w:t>
      </w:r>
      <w:r w:rsidR="00CE233A">
        <w:rPr>
          <w:lang w:val="fr"/>
        </w:rPr>
        <w:t>traité</w:t>
      </w:r>
      <w:r w:rsidRPr="00A62253">
        <w:rPr>
          <w:lang w:val="fr"/>
        </w:rPr>
        <w:t>e par bêta-bloquant</w:t>
      </w:r>
      <w:r w:rsidR="00CE233A">
        <w:rPr>
          <w:lang w:val="fr"/>
        </w:rPr>
        <w:t>s</w:t>
      </w:r>
      <w:r w:rsidRPr="00A62253">
        <w:rPr>
          <w:lang w:val="fr"/>
        </w:rPr>
        <w:t>, les vaisseaux athérosclérotiques limitant la vasoconstriction et le potentiel de déshydratation chronique</w:t>
      </w:r>
      <w:r w:rsidR="008C5712">
        <w:rPr>
          <w:lang w:val="fr"/>
        </w:rPr>
        <w:t>,</w:t>
      </w:r>
      <w:r w:rsidRPr="00A62253">
        <w:rPr>
          <w:lang w:val="fr"/>
        </w:rPr>
        <w:t xml:space="preserve"> peuvent contribuer à une réponse retardée à la perte </w:t>
      </w:r>
      <w:r w:rsidR="008C5712">
        <w:rPr>
          <w:lang w:val="fr"/>
        </w:rPr>
        <w:t>sanguine</w:t>
      </w:r>
      <w:r w:rsidRPr="00A62253">
        <w:rPr>
          <w:lang w:val="fr"/>
        </w:rPr>
        <w:t>. Les auteurs soulignent</w:t>
      </w:r>
      <w:r w:rsidR="008C5712">
        <w:rPr>
          <w:lang w:val="fr"/>
        </w:rPr>
        <w:t>,</w:t>
      </w:r>
      <w:r w:rsidRPr="00A62253">
        <w:rPr>
          <w:lang w:val="fr"/>
        </w:rPr>
        <w:t xml:space="preserve"> à juste titre</w:t>
      </w:r>
      <w:r w:rsidR="008C5712">
        <w:rPr>
          <w:lang w:val="fr"/>
        </w:rPr>
        <w:t>,</w:t>
      </w:r>
      <w:r w:rsidRPr="00A62253">
        <w:rPr>
          <w:lang w:val="fr"/>
        </w:rPr>
        <w:t xml:space="preserve"> que divers autres facteurs, notamment l'âge, peuvent </w:t>
      </w:r>
      <w:r w:rsidR="003D5D26">
        <w:rPr>
          <w:lang w:val="fr"/>
        </w:rPr>
        <w:t>fausser</w:t>
      </w:r>
      <w:r w:rsidRPr="00A62253">
        <w:rPr>
          <w:lang w:val="fr"/>
        </w:rPr>
        <w:t xml:space="preserve"> l'évaluation du patient traumatisé et donc la </w:t>
      </w:r>
      <w:r w:rsidR="003D5D26">
        <w:rPr>
          <w:lang w:val="fr"/>
        </w:rPr>
        <w:t xml:space="preserve">prise de </w:t>
      </w:r>
      <w:r w:rsidRPr="00A62253">
        <w:rPr>
          <w:lang w:val="fr"/>
        </w:rPr>
        <w:t xml:space="preserve">décision d'activer </w:t>
      </w:r>
      <w:r w:rsidR="003D5D26">
        <w:rPr>
          <w:lang w:val="fr"/>
        </w:rPr>
        <w:t>la trauma team</w:t>
      </w:r>
      <w:r w:rsidRPr="00A62253">
        <w:rPr>
          <w:lang w:val="fr"/>
        </w:rPr>
        <w:t xml:space="preserve">. Ce document appuie l'utilisation </w:t>
      </w:r>
      <w:r w:rsidR="0048575A">
        <w:rPr>
          <w:lang w:val="fr"/>
        </w:rPr>
        <w:t xml:space="preserve">de l’âge </w:t>
      </w:r>
      <w:r w:rsidR="00A22A09">
        <w:rPr>
          <w:lang w:val="fr"/>
        </w:rPr>
        <w:t xml:space="preserve">comme un </w:t>
      </w:r>
      <w:r w:rsidRPr="00A62253">
        <w:rPr>
          <w:lang w:val="fr"/>
        </w:rPr>
        <w:t>des critères d'activation de l</w:t>
      </w:r>
      <w:r w:rsidR="00A22A09">
        <w:rPr>
          <w:lang w:val="fr"/>
        </w:rPr>
        <w:t>a trauma team</w:t>
      </w:r>
      <w:r w:rsidRPr="00A62253">
        <w:rPr>
          <w:lang w:val="fr"/>
        </w:rPr>
        <w:t xml:space="preserve">.   Les publications précédentes (Ressources </w:t>
      </w:r>
      <w:r w:rsidR="00CB4C8F">
        <w:rPr>
          <w:lang w:val="fr"/>
        </w:rPr>
        <w:t xml:space="preserve">nécessaires </w:t>
      </w:r>
      <w:r w:rsidRPr="00A62253">
        <w:rPr>
          <w:lang w:val="fr"/>
        </w:rPr>
        <w:t xml:space="preserve">pour </w:t>
      </w:r>
      <w:r w:rsidR="00CB4C8F">
        <w:rPr>
          <w:lang w:val="fr"/>
        </w:rPr>
        <w:t>d</w:t>
      </w:r>
      <w:r w:rsidRPr="00A62253">
        <w:rPr>
          <w:lang w:val="fr"/>
        </w:rPr>
        <w:t xml:space="preserve">es soins optimaux du patient blessé ACS COT) </w:t>
      </w:r>
      <w:r w:rsidR="00CB4C8F">
        <w:rPr>
          <w:lang w:val="fr"/>
        </w:rPr>
        <w:t>définiss</w:t>
      </w:r>
      <w:r w:rsidRPr="00A62253">
        <w:rPr>
          <w:lang w:val="fr"/>
        </w:rPr>
        <w:t xml:space="preserve">ent </w:t>
      </w:r>
      <w:r w:rsidR="00B50FD7">
        <w:rPr>
          <w:lang w:val="fr"/>
        </w:rPr>
        <w:t xml:space="preserve">comme </w:t>
      </w:r>
      <w:r w:rsidRPr="00A62253">
        <w:rPr>
          <w:lang w:val="fr"/>
        </w:rPr>
        <w:t xml:space="preserve">acceptable </w:t>
      </w:r>
      <w:r w:rsidR="00B50FD7">
        <w:rPr>
          <w:lang w:val="fr"/>
        </w:rPr>
        <w:t>d</w:t>
      </w:r>
      <w:r w:rsidRPr="00A62253">
        <w:rPr>
          <w:lang w:val="fr"/>
        </w:rPr>
        <w:t xml:space="preserve">es taux de </w:t>
      </w:r>
      <w:r w:rsidR="00EA312D">
        <w:rPr>
          <w:lang w:val="fr"/>
        </w:rPr>
        <w:t>sur-</w:t>
      </w:r>
      <w:r w:rsidRPr="00A62253">
        <w:rPr>
          <w:lang w:val="fr"/>
        </w:rPr>
        <w:t xml:space="preserve">triage </w:t>
      </w:r>
      <w:r w:rsidR="00EA312D">
        <w:rPr>
          <w:lang w:val="fr"/>
        </w:rPr>
        <w:t>allant de</w:t>
      </w:r>
      <w:r w:rsidRPr="00A62253">
        <w:rPr>
          <w:lang w:val="fr"/>
        </w:rPr>
        <w:t xml:space="preserve"> 25%</w:t>
      </w:r>
      <w:r w:rsidR="00EA312D">
        <w:rPr>
          <w:lang w:val="fr"/>
        </w:rPr>
        <w:t xml:space="preserve"> à </w:t>
      </w:r>
      <w:r w:rsidRPr="00A62253">
        <w:rPr>
          <w:lang w:val="fr"/>
        </w:rPr>
        <w:t xml:space="preserve">35%.  Ce centre de traumatologie urbain estime que le taux de </w:t>
      </w:r>
      <w:r w:rsidR="00EA312D">
        <w:rPr>
          <w:lang w:val="fr"/>
        </w:rPr>
        <w:t>sur-</w:t>
      </w:r>
      <w:r w:rsidRPr="00A62253">
        <w:rPr>
          <w:lang w:val="fr"/>
        </w:rPr>
        <w:t xml:space="preserve">triage de 39,6 % </w:t>
      </w:r>
      <w:r w:rsidR="00EA312D">
        <w:rPr>
          <w:lang w:val="fr"/>
        </w:rPr>
        <w:t xml:space="preserve">avec les </w:t>
      </w:r>
      <w:r w:rsidRPr="00A62253">
        <w:rPr>
          <w:lang w:val="fr"/>
        </w:rPr>
        <w:t xml:space="preserve"> critères </w:t>
      </w:r>
      <w:r w:rsidR="00EA312D">
        <w:rPr>
          <w:lang w:val="fr"/>
        </w:rPr>
        <w:t xml:space="preserve">TTA incluant l’âge&gt;70 ans, </w:t>
      </w:r>
      <w:r w:rsidRPr="00A62253">
        <w:rPr>
          <w:lang w:val="fr"/>
        </w:rPr>
        <w:t>n'est pas excessif et</w:t>
      </w:r>
      <w:r w:rsidR="00EA312D">
        <w:rPr>
          <w:lang w:val="fr"/>
        </w:rPr>
        <w:t xml:space="preserve"> est</w:t>
      </w:r>
      <w:r w:rsidRPr="00A62253">
        <w:rPr>
          <w:lang w:val="fr"/>
        </w:rPr>
        <w:t xml:space="preserve"> acceptable pour </w:t>
      </w:r>
      <w:r w:rsidR="00EA312D">
        <w:rPr>
          <w:lang w:val="fr"/>
        </w:rPr>
        <w:t>permettre de</w:t>
      </w:r>
      <w:r w:rsidRPr="00A62253">
        <w:rPr>
          <w:lang w:val="fr"/>
        </w:rPr>
        <w:t xml:space="preserve"> réduire la mortalité dans cette population vulnérable.</w:t>
      </w:r>
    </w:p>
    <w:p w14:paraId="64B8CC0B" w14:textId="77777777" w:rsidR="00A62253" w:rsidRPr="003800B3" w:rsidRDefault="00A62253" w:rsidP="00A62253">
      <w:pPr>
        <w:pStyle w:val="Sansinterligne"/>
        <w:ind w:firstLine="360"/>
        <w:rPr>
          <w:rFonts w:cstheme="minorHAnsi"/>
        </w:rPr>
      </w:pPr>
    </w:p>
    <w:p w14:paraId="64B8CC0C" w14:textId="0DBB3196" w:rsidR="00234651" w:rsidRPr="00234651" w:rsidRDefault="00F10393" w:rsidP="00234651">
      <w:pPr>
        <w:pStyle w:val="Paragraphedeliste"/>
        <w:numPr>
          <w:ilvl w:val="0"/>
          <w:numId w:val="21"/>
        </w:numPr>
        <w:spacing w:after="0"/>
        <w:rPr>
          <w:rFonts w:eastAsia="Times New Roman" w:cstheme="minorHAnsi"/>
        </w:rPr>
      </w:pPr>
      <w:r w:rsidRPr="00F10393">
        <w:rPr>
          <w:b/>
          <w:bCs/>
          <w:lang w:val="fr"/>
        </w:rPr>
        <w:t>Quel est l'impact des médecins dans la prise en charge en préhospitalier des patients nécessitant des soins réanimatoires? Une revue de la littérature.</w:t>
      </w:r>
      <w:r w:rsidRPr="00F10393">
        <w:rPr>
          <w:lang w:val="fr"/>
        </w:rPr>
        <w:t xml:space="preserve">  </w:t>
      </w:r>
      <w:r w:rsidR="00234651" w:rsidRPr="00A62253">
        <w:rPr>
          <w:lang w:val="fr"/>
        </w:rPr>
        <w:t xml:space="preserve"> Valentin G, Jensen LG.  International J. Tech Assessment Health Care 2019;35:27-35.</w:t>
      </w:r>
    </w:p>
    <w:p w14:paraId="64B8CC0D" w14:textId="77777777" w:rsidR="00234651" w:rsidRPr="00234651" w:rsidRDefault="00234651" w:rsidP="00234651">
      <w:pPr>
        <w:pStyle w:val="Paragraphedeliste"/>
        <w:spacing w:after="0"/>
        <w:rPr>
          <w:rFonts w:eastAsia="Times New Roman" w:cstheme="minorHAnsi"/>
        </w:rPr>
      </w:pPr>
    </w:p>
    <w:p w14:paraId="64B8CC0E" w14:textId="3F8D5DC0" w:rsidR="00234651" w:rsidRDefault="00234651" w:rsidP="00234651">
      <w:pPr>
        <w:pStyle w:val="Paragraphedeliste"/>
        <w:spacing w:after="0" w:line="240" w:lineRule="auto"/>
        <w:ind w:left="0" w:firstLine="360"/>
      </w:pPr>
      <w:r>
        <w:rPr>
          <w:lang w:val="fr"/>
        </w:rPr>
        <w:t xml:space="preserve">Dans le monde entier, les systèmes </w:t>
      </w:r>
      <w:r w:rsidR="008B38AB">
        <w:rPr>
          <w:lang w:val="fr"/>
        </w:rPr>
        <w:t>pré-hospitali</w:t>
      </w:r>
      <w:r w:rsidR="00BB404D">
        <w:rPr>
          <w:lang w:val="fr"/>
        </w:rPr>
        <w:t>er</w:t>
      </w:r>
      <w:r w:rsidR="008B38AB">
        <w:rPr>
          <w:lang w:val="fr"/>
        </w:rPr>
        <w:t>s</w:t>
      </w:r>
      <w:r>
        <w:rPr>
          <w:lang w:val="fr"/>
        </w:rPr>
        <w:t xml:space="preserve"> sont </w:t>
      </w:r>
      <w:r w:rsidR="00BB404D">
        <w:rPr>
          <w:lang w:val="fr"/>
        </w:rPr>
        <w:t xml:space="preserve">organisés de </w:t>
      </w:r>
      <w:r w:rsidR="00606867">
        <w:rPr>
          <w:lang w:val="fr"/>
        </w:rPr>
        <w:t>ma</w:t>
      </w:r>
      <w:r w:rsidR="00BB404D">
        <w:rPr>
          <w:lang w:val="fr"/>
        </w:rPr>
        <w:t>nières très différentes</w:t>
      </w:r>
      <w:r>
        <w:rPr>
          <w:lang w:val="fr"/>
        </w:rPr>
        <w:t xml:space="preserve">.  Certains n'utilisent que des </w:t>
      </w:r>
      <w:r w:rsidR="00606867">
        <w:rPr>
          <w:lang w:val="fr"/>
        </w:rPr>
        <w:t>intervenants basiques</w:t>
      </w:r>
      <w:r>
        <w:rPr>
          <w:lang w:val="fr"/>
        </w:rPr>
        <w:t xml:space="preserve"> (</w:t>
      </w:r>
      <w:r w:rsidR="00606867">
        <w:rPr>
          <w:lang w:val="fr"/>
        </w:rPr>
        <w:t>BLS</w:t>
      </w:r>
      <w:r>
        <w:rPr>
          <w:lang w:val="fr"/>
        </w:rPr>
        <w:t>), d'aut</w:t>
      </w:r>
      <w:r w:rsidR="00606867">
        <w:rPr>
          <w:lang w:val="fr"/>
        </w:rPr>
        <w:t>res des intervenants plus formés pouvant prodiguer des soins plus avancés</w:t>
      </w:r>
      <w:r>
        <w:rPr>
          <w:lang w:val="fr"/>
        </w:rPr>
        <w:t xml:space="preserve"> (</w:t>
      </w:r>
      <w:r w:rsidR="00381061">
        <w:rPr>
          <w:lang w:val="fr"/>
        </w:rPr>
        <w:t>ALS</w:t>
      </w:r>
      <w:r>
        <w:rPr>
          <w:lang w:val="fr"/>
        </w:rPr>
        <w:t>)</w:t>
      </w:r>
      <w:r w:rsidR="00273075">
        <w:rPr>
          <w:lang w:val="fr"/>
        </w:rPr>
        <w:t>,</w:t>
      </w:r>
      <w:r>
        <w:rPr>
          <w:lang w:val="fr"/>
        </w:rPr>
        <w:t xml:space="preserve"> </w:t>
      </w:r>
      <w:r w:rsidR="0067785C">
        <w:rPr>
          <w:lang w:val="fr"/>
        </w:rPr>
        <w:t xml:space="preserve">tels que des </w:t>
      </w:r>
      <w:r>
        <w:rPr>
          <w:lang w:val="fr"/>
        </w:rPr>
        <w:t xml:space="preserve">ambulanciers paramédicaux, et </w:t>
      </w:r>
      <w:r w:rsidR="00521564">
        <w:rPr>
          <w:lang w:val="fr"/>
        </w:rPr>
        <w:t xml:space="preserve">dans </w:t>
      </w:r>
      <w:r>
        <w:rPr>
          <w:lang w:val="fr"/>
        </w:rPr>
        <w:t>certains</w:t>
      </w:r>
      <w:r w:rsidR="00521564">
        <w:rPr>
          <w:lang w:val="fr"/>
        </w:rPr>
        <w:t xml:space="preserve"> syst</w:t>
      </w:r>
      <w:r w:rsidR="001A689E">
        <w:rPr>
          <w:lang w:val="fr"/>
        </w:rPr>
        <w:t xml:space="preserve">èmes des personnels médicaux </w:t>
      </w:r>
      <w:r>
        <w:rPr>
          <w:lang w:val="fr"/>
        </w:rPr>
        <w:t xml:space="preserve">(anesthésistes ou médecins urgentistes) </w:t>
      </w:r>
      <w:r w:rsidR="006A4626">
        <w:rPr>
          <w:lang w:val="fr"/>
        </w:rPr>
        <w:t xml:space="preserve">peuvent être engagés </w:t>
      </w:r>
      <w:r>
        <w:rPr>
          <w:lang w:val="fr"/>
        </w:rPr>
        <w:t>ou une combinaison d</w:t>
      </w:r>
      <w:r w:rsidR="006A4626">
        <w:rPr>
          <w:lang w:val="fr"/>
        </w:rPr>
        <w:t>’intervenants</w:t>
      </w:r>
      <w:r>
        <w:rPr>
          <w:lang w:val="fr"/>
        </w:rPr>
        <w:t xml:space="preserve"> non médicaux et de médecins. Les auteurs de cet article ont mené un</w:t>
      </w:r>
      <w:r w:rsidR="00A04944">
        <w:rPr>
          <w:lang w:val="fr"/>
        </w:rPr>
        <w:t>e revue</w:t>
      </w:r>
      <w:r>
        <w:rPr>
          <w:lang w:val="fr"/>
        </w:rPr>
        <w:t xml:space="preserve"> de la littérature médicale pour déterminer si l</w:t>
      </w:r>
      <w:r w:rsidR="0075368B">
        <w:rPr>
          <w:lang w:val="fr"/>
        </w:rPr>
        <w:t>a présence d</w:t>
      </w:r>
      <w:r>
        <w:rPr>
          <w:lang w:val="fr"/>
        </w:rPr>
        <w:t>es médecins diminuent la mortalité</w:t>
      </w:r>
      <w:r w:rsidR="0075368B">
        <w:rPr>
          <w:lang w:val="fr"/>
        </w:rPr>
        <w:t>,</w:t>
      </w:r>
      <w:r>
        <w:rPr>
          <w:lang w:val="fr"/>
        </w:rPr>
        <w:t xml:space="preserve"> </w:t>
      </w:r>
      <w:r w:rsidR="0075368B">
        <w:rPr>
          <w:lang w:val="fr"/>
        </w:rPr>
        <w:t xml:space="preserve">quand ils sont </w:t>
      </w:r>
      <w:r w:rsidR="002B678A">
        <w:rPr>
          <w:lang w:val="fr"/>
        </w:rPr>
        <w:t>dépêchés</w:t>
      </w:r>
      <w:r>
        <w:rPr>
          <w:lang w:val="fr"/>
        </w:rPr>
        <w:t xml:space="preserve"> pour prendre </w:t>
      </w:r>
      <w:r w:rsidR="002B678A">
        <w:rPr>
          <w:lang w:val="fr"/>
        </w:rPr>
        <w:t>en charge</w:t>
      </w:r>
      <w:r>
        <w:rPr>
          <w:lang w:val="fr"/>
        </w:rPr>
        <w:t xml:space="preserve"> des patients critiques</w:t>
      </w:r>
      <w:r w:rsidR="002B678A">
        <w:rPr>
          <w:lang w:val="fr"/>
        </w:rPr>
        <w:t>, lors de</w:t>
      </w:r>
      <w:r>
        <w:rPr>
          <w:lang w:val="fr"/>
        </w:rPr>
        <w:t xml:space="preserve"> la phase préhospitalière des soins.</w:t>
      </w:r>
    </w:p>
    <w:p w14:paraId="64B8CC0F" w14:textId="7615A2B3" w:rsidR="00234651" w:rsidRDefault="00234651" w:rsidP="00234651">
      <w:pPr>
        <w:pStyle w:val="Paragraphedeliste"/>
        <w:spacing w:after="0" w:line="240" w:lineRule="auto"/>
        <w:ind w:left="0" w:firstLine="360"/>
      </w:pPr>
      <w:r>
        <w:rPr>
          <w:lang w:val="fr"/>
        </w:rPr>
        <w:t xml:space="preserve">Les auteurs ont effectué une recherche documentaire pour </w:t>
      </w:r>
      <w:r w:rsidR="00F32957">
        <w:rPr>
          <w:lang w:val="fr"/>
        </w:rPr>
        <w:t>étudier les articles</w:t>
      </w:r>
      <w:r>
        <w:rPr>
          <w:lang w:val="fr"/>
        </w:rPr>
        <w:t xml:space="preserve"> qui évaluaient l'impact des soins préhospitaliers de niveau médical par rapport aux soins non-méd</w:t>
      </w:r>
      <w:r w:rsidR="00F32957">
        <w:rPr>
          <w:lang w:val="fr"/>
        </w:rPr>
        <w:t>i</w:t>
      </w:r>
      <w:r>
        <w:rPr>
          <w:lang w:val="fr"/>
        </w:rPr>
        <w:t>c</w:t>
      </w:r>
      <w:r w:rsidR="00F32957">
        <w:rPr>
          <w:lang w:val="fr"/>
        </w:rPr>
        <w:t>aux</w:t>
      </w:r>
      <w:r>
        <w:rPr>
          <w:lang w:val="fr"/>
        </w:rPr>
        <w:t xml:space="preserve">. L'utilisation des bases de données EMBASE et MEDLINE a </w:t>
      </w:r>
      <w:r w:rsidR="00F32957">
        <w:rPr>
          <w:lang w:val="fr"/>
        </w:rPr>
        <w:t>retrouvé</w:t>
      </w:r>
      <w:r>
        <w:rPr>
          <w:lang w:val="fr"/>
        </w:rPr>
        <w:t xml:space="preserve"> plus de 1600 références. Après avoir examiné les publications identifiées pour l'inclusion et le biais d'étude, 10 articles ont répondu aux critères d'inclusion pour cette étude.</w:t>
      </w:r>
    </w:p>
    <w:p w14:paraId="64B8CC10" w14:textId="77777777" w:rsidR="00234651" w:rsidRDefault="00234651" w:rsidP="00234651">
      <w:pPr>
        <w:pStyle w:val="Paragraphedeliste"/>
        <w:spacing w:after="0" w:line="240" w:lineRule="auto"/>
        <w:ind w:left="0" w:firstLine="360"/>
      </w:pPr>
      <w:r>
        <w:rPr>
          <w:lang w:val="fr"/>
        </w:rPr>
        <w:lastRenderedPageBreak/>
        <w:t>Les auteurs ont examiné les résultats dans cinq (5) catégories de réponse critique identifiées par le Conseil européen de réanimation :</w:t>
      </w:r>
    </w:p>
    <w:p w14:paraId="64B8CC11" w14:textId="0C90D772" w:rsidR="00234651" w:rsidRDefault="00234651" w:rsidP="00234651">
      <w:pPr>
        <w:pStyle w:val="Paragraphedeliste"/>
        <w:numPr>
          <w:ilvl w:val="0"/>
          <w:numId w:val="22"/>
        </w:numPr>
        <w:spacing w:after="0" w:line="240" w:lineRule="auto"/>
      </w:pPr>
      <w:r>
        <w:rPr>
          <w:lang w:val="fr"/>
        </w:rPr>
        <w:t>Arr</w:t>
      </w:r>
      <w:r w:rsidR="002573A0">
        <w:rPr>
          <w:lang w:val="fr"/>
        </w:rPr>
        <w:t>êt</w:t>
      </w:r>
      <w:r>
        <w:rPr>
          <w:lang w:val="fr"/>
        </w:rPr>
        <w:t xml:space="preserve"> cardiaque,</w:t>
      </w:r>
    </w:p>
    <w:p w14:paraId="64B8CC12" w14:textId="77777777" w:rsidR="00234651" w:rsidRDefault="00234651" w:rsidP="00234651">
      <w:pPr>
        <w:pStyle w:val="Paragraphedeliste"/>
        <w:numPr>
          <w:ilvl w:val="0"/>
          <w:numId w:val="22"/>
        </w:numPr>
        <w:spacing w:after="0" w:line="240" w:lineRule="auto"/>
      </w:pPr>
      <w:r>
        <w:rPr>
          <w:lang w:val="fr"/>
        </w:rPr>
        <w:t>Douleur thoracique,</w:t>
      </w:r>
    </w:p>
    <w:p w14:paraId="64B8CC13" w14:textId="77777777" w:rsidR="00234651" w:rsidRDefault="00234651" w:rsidP="00234651">
      <w:pPr>
        <w:pStyle w:val="Paragraphedeliste"/>
        <w:numPr>
          <w:ilvl w:val="0"/>
          <w:numId w:val="22"/>
        </w:numPr>
        <w:spacing w:after="0" w:line="240" w:lineRule="auto"/>
      </w:pPr>
      <w:r>
        <w:rPr>
          <w:lang w:val="fr"/>
        </w:rPr>
        <w:t>Insuffisance respiratoire,</w:t>
      </w:r>
    </w:p>
    <w:p w14:paraId="64B8CC14" w14:textId="77777777" w:rsidR="00234651" w:rsidRDefault="00234651" w:rsidP="00234651">
      <w:pPr>
        <w:pStyle w:val="Paragraphedeliste"/>
        <w:numPr>
          <w:ilvl w:val="0"/>
          <w:numId w:val="22"/>
        </w:numPr>
        <w:spacing w:after="0" w:line="240" w:lineRule="auto"/>
      </w:pPr>
      <w:r>
        <w:rPr>
          <w:lang w:val="fr"/>
        </w:rPr>
        <w:t>AVC, et</w:t>
      </w:r>
    </w:p>
    <w:p w14:paraId="64B8CC15" w14:textId="79841BD6" w:rsidR="00234651" w:rsidRDefault="00234651" w:rsidP="00234651">
      <w:pPr>
        <w:pStyle w:val="Paragraphedeliste"/>
        <w:numPr>
          <w:ilvl w:val="0"/>
          <w:numId w:val="22"/>
        </w:numPr>
        <w:spacing w:after="0" w:line="240" w:lineRule="auto"/>
      </w:pPr>
      <w:r>
        <w:rPr>
          <w:lang w:val="fr"/>
        </w:rPr>
        <w:t xml:space="preserve">Traumatisme grave pour inclure </w:t>
      </w:r>
      <w:r w:rsidR="00967610">
        <w:rPr>
          <w:lang w:val="fr"/>
        </w:rPr>
        <w:t>les traumatismes crânio-cérébraux (TCC)</w:t>
      </w:r>
      <w:r>
        <w:rPr>
          <w:lang w:val="fr"/>
        </w:rPr>
        <w:t>.</w:t>
      </w:r>
    </w:p>
    <w:p w14:paraId="64B8CC16" w14:textId="5B96897D" w:rsidR="00234651" w:rsidRDefault="00234651" w:rsidP="00234651">
      <w:pPr>
        <w:pStyle w:val="Paragraphedeliste"/>
        <w:spacing w:after="0" w:line="240" w:lineRule="auto"/>
        <w:ind w:left="0"/>
      </w:pPr>
      <w:r>
        <w:rPr>
          <w:lang w:val="fr"/>
        </w:rPr>
        <w:t xml:space="preserve">Les </w:t>
      </w:r>
      <w:r w:rsidR="00816A04">
        <w:rPr>
          <w:lang w:val="fr"/>
        </w:rPr>
        <w:t>article</w:t>
      </w:r>
      <w:r>
        <w:rPr>
          <w:lang w:val="fr"/>
        </w:rPr>
        <w:t>s inclus ont ensuite été regroupés en trois catégories;</w:t>
      </w:r>
    </w:p>
    <w:p w14:paraId="64B8CC17" w14:textId="77777777" w:rsidR="00234651" w:rsidRDefault="00234651" w:rsidP="00234651">
      <w:pPr>
        <w:pStyle w:val="Paragraphedeliste"/>
        <w:numPr>
          <w:ilvl w:val="0"/>
          <w:numId w:val="23"/>
        </w:numPr>
        <w:spacing w:after="0" w:line="240" w:lineRule="auto"/>
      </w:pPr>
      <w:r>
        <w:rPr>
          <w:lang w:val="fr"/>
        </w:rPr>
        <w:t>Traitement par médecin par rapport au traitement non médical,</w:t>
      </w:r>
    </w:p>
    <w:p w14:paraId="64B8CC18" w14:textId="0161F848" w:rsidR="00234651" w:rsidRDefault="00840460" w:rsidP="00234651">
      <w:pPr>
        <w:pStyle w:val="Paragraphedeliste"/>
        <w:numPr>
          <w:ilvl w:val="0"/>
          <w:numId w:val="23"/>
        </w:numPr>
        <w:spacing w:after="0" w:line="240" w:lineRule="auto"/>
      </w:pPr>
      <w:r>
        <w:t>ALs</w:t>
      </w:r>
      <w:r w:rsidR="00234651">
        <w:rPr>
          <w:lang w:val="fr"/>
        </w:rPr>
        <w:t xml:space="preserve"> par rapport à </w:t>
      </w:r>
      <w:r>
        <w:rPr>
          <w:lang w:val="fr"/>
        </w:rPr>
        <w:t>BLS</w:t>
      </w:r>
      <w:r w:rsidR="00234651">
        <w:rPr>
          <w:lang w:val="fr"/>
        </w:rPr>
        <w:t xml:space="preserve"> (</w:t>
      </w:r>
      <w:r>
        <w:rPr>
          <w:lang w:val="fr"/>
        </w:rPr>
        <w:t>ALS</w:t>
      </w:r>
      <w:r w:rsidR="00234651">
        <w:rPr>
          <w:lang w:val="fr"/>
        </w:rPr>
        <w:t xml:space="preserve"> </w:t>
      </w:r>
      <w:r>
        <w:rPr>
          <w:lang w:val="fr"/>
        </w:rPr>
        <w:t>avec</w:t>
      </w:r>
      <w:r w:rsidR="00234651">
        <w:rPr>
          <w:lang w:val="fr"/>
        </w:rPr>
        <w:t xml:space="preserve"> </w:t>
      </w:r>
      <w:r>
        <w:rPr>
          <w:lang w:val="fr"/>
        </w:rPr>
        <w:t>un</w:t>
      </w:r>
      <w:r w:rsidR="00234651">
        <w:rPr>
          <w:lang w:val="fr"/>
        </w:rPr>
        <w:t xml:space="preserve"> médecin par rapport à </w:t>
      </w:r>
      <w:r w:rsidR="00A1317B">
        <w:rPr>
          <w:lang w:val="fr"/>
        </w:rPr>
        <w:t>B</w:t>
      </w:r>
      <w:r>
        <w:rPr>
          <w:lang w:val="fr"/>
        </w:rPr>
        <w:t>LS</w:t>
      </w:r>
      <w:r w:rsidR="00234651">
        <w:rPr>
          <w:lang w:val="fr"/>
        </w:rPr>
        <w:t xml:space="preserve"> non médicale ou </w:t>
      </w:r>
      <w:r w:rsidR="00A1317B">
        <w:rPr>
          <w:lang w:val="fr"/>
        </w:rPr>
        <w:t xml:space="preserve">ALS avec </w:t>
      </w:r>
      <w:r w:rsidR="00234651">
        <w:rPr>
          <w:lang w:val="fr"/>
        </w:rPr>
        <w:t xml:space="preserve">médecin par rapport à </w:t>
      </w:r>
      <w:r w:rsidR="00310156">
        <w:rPr>
          <w:lang w:val="fr"/>
        </w:rPr>
        <w:t>ALS</w:t>
      </w:r>
      <w:r w:rsidR="00234651">
        <w:rPr>
          <w:lang w:val="fr"/>
        </w:rPr>
        <w:t xml:space="preserve"> non médicale), et</w:t>
      </w:r>
    </w:p>
    <w:p w14:paraId="64B8CC19" w14:textId="476341C3" w:rsidR="00234651" w:rsidRDefault="00234651" w:rsidP="00234651">
      <w:pPr>
        <w:pStyle w:val="Paragraphedeliste"/>
        <w:numPr>
          <w:ilvl w:val="0"/>
          <w:numId w:val="23"/>
        </w:numPr>
        <w:spacing w:after="0" w:line="240" w:lineRule="auto"/>
      </w:pPr>
      <w:r>
        <w:rPr>
          <w:lang w:val="fr"/>
        </w:rPr>
        <w:t xml:space="preserve">Intubation endotrachéale préhospitalière </w:t>
      </w:r>
      <w:r w:rsidR="00310156">
        <w:rPr>
          <w:lang w:val="fr"/>
        </w:rPr>
        <w:t>avec</w:t>
      </w:r>
      <w:r>
        <w:rPr>
          <w:lang w:val="fr"/>
        </w:rPr>
        <w:t xml:space="preserve"> médecin (ET</w:t>
      </w:r>
      <w:r w:rsidR="00D01E7D">
        <w:rPr>
          <w:lang w:val="fr"/>
        </w:rPr>
        <w:t>I</w:t>
      </w:r>
      <w:r>
        <w:rPr>
          <w:lang w:val="fr"/>
        </w:rPr>
        <w:t>) par rapport à l'ETI préhospitali</w:t>
      </w:r>
      <w:r w:rsidR="000570B9">
        <w:rPr>
          <w:lang w:val="fr"/>
        </w:rPr>
        <w:t>ère</w:t>
      </w:r>
      <w:r>
        <w:rPr>
          <w:lang w:val="fr"/>
        </w:rPr>
        <w:t xml:space="preserve"> </w:t>
      </w:r>
      <w:r w:rsidR="000570B9">
        <w:rPr>
          <w:lang w:val="fr"/>
        </w:rPr>
        <w:t>sans médecin</w:t>
      </w:r>
      <w:r>
        <w:rPr>
          <w:lang w:val="fr"/>
        </w:rPr>
        <w:t>.</w:t>
      </w:r>
    </w:p>
    <w:p w14:paraId="64B8CC1A" w14:textId="641B92BB" w:rsidR="00234651" w:rsidRDefault="00234651" w:rsidP="00234651">
      <w:pPr>
        <w:pStyle w:val="Paragraphedeliste"/>
        <w:spacing w:after="0" w:line="240" w:lineRule="auto"/>
        <w:ind w:left="0"/>
      </w:pPr>
      <w:r>
        <w:rPr>
          <w:lang w:val="fr"/>
        </w:rPr>
        <w:t>Les articles ne faisaient pas de distinction entre les modes de transport (a</w:t>
      </w:r>
      <w:r w:rsidR="00235250">
        <w:rPr>
          <w:lang w:val="fr"/>
        </w:rPr>
        <w:t>érien</w:t>
      </w:r>
      <w:r>
        <w:rPr>
          <w:lang w:val="fr"/>
        </w:rPr>
        <w:t xml:space="preserve"> par rapport </w:t>
      </w:r>
      <w:r w:rsidR="00235250">
        <w:rPr>
          <w:lang w:val="fr"/>
        </w:rPr>
        <w:t>terrestre</w:t>
      </w:r>
      <w:r>
        <w:rPr>
          <w:lang w:val="fr"/>
        </w:rPr>
        <w:t xml:space="preserve">) ou les critères d'intervention de l'équipage (réponse des médecins primaires par rapport aux médecins </w:t>
      </w:r>
      <w:r w:rsidR="00D63862">
        <w:rPr>
          <w:lang w:val="fr"/>
        </w:rPr>
        <w:t xml:space="preserve">déclenchés </w:t>
      </w:r>
      <w:r>
        <w:rPr>
          <w:lang w:val="fr"/>
        </w:rPr>
        <w:t>secondaire</w:t>
      </w:r>
      <w:r w:rsidR="00D63862">
        <w:rPr>
          <w:lang w:val="fr"/>
        </w:rPr>
        <w:t>ment</w:t>
      </w:r>
      <w:r>
        <w:rPr>
          <w:lang w:val="fr"/>
        </w:rPr>
        <w:t>).</w:t>
      </w:r>
    </w:p>
    <w:p w14:paraId="64B8CC1B" w14:textId="05C96B2C" w:rsidR="00234651" w:rsidRDefault="00234651" w:rsidP="00234651">
      <w:pPr>
        <w:pStyle w:val="Paragraphedeliste"/>
        <w:spacing w:after="0" w:line="240" w:lineRule="auto"/>
        <w:ind w:left="0" w:firstLine="360"/>
      </w:pPr>
      <w:r>
        <w:rPr>
          <w:lang w:val="fr"/>
        </w:rPr>
        <w:t xml:space="preserve">Les auteurs concluent que les preuves actuelles suggèrent un </w:t>
      </w:r>
      <w:r w:rsidR="00122295">
        <w:rPr>
          <w:lang w:val="fr"/>
        </w:rPr>
        <w:t>bénéfice de la présence d’un médecin pour l</w:t>
      </w:r>
      <w:r>
        <w:rPr>
          <w:lang w:val="fr"/>
        </w:rPr>
        <w:t>es soins préhospitaliers de médecin dans</w:t>
      </w:r>
      <w:r w:rsidR="00122295">
        <w:rPr>
          <w:lang w:val="fr"/>
        </w:rPr>
        <w:t xml:space="preserve"> le cas</w:t>
      </w:r>
      <w:r>
        <w:rPr>
          <w:lang w:val="fr"/>
        </w:rPr>
        <w:t xml:space="preserve"> d</w:t>
      </w:r>
      <w:r w:rsidR="00122295">
        <w:rPr>
          <w:lang w:val="fr"/>
        </w:rPr>
        <w:t>e l’</w:t>
      </w:r>
      <w:r>
        <w:rPr>
          <w:lang w:val="fr"/>
        </w:rPr>
        <w:t>arrêt cardiaque et, dans une moindre mesure, dans le trauma grave. Il n'</w:t>
      </w:r>
      <w:r w:rsidR="00A832E7">
        <w:rPr>
          <w:lang w:val="fr"/>
        </w:rPr>
        <w:t xml:space="preserve">a pas été retrouvées </w:t>
      </w:r>
      <w:r>
        <w:rPr>
          <w:lang w:val="fr"/>
        </w:rPr>
        <w:t>suffisamment de preuves d</w:t>
      </w:r>
      <w:r w:rsidR="00A832E7">
        <w:rPr>
          <w:lang w:val="fr"/>
        </w:rPr>
        <w:t>’</w:t>
      </w:r>
      <w:r>
        <w:rPr>
          <w:lang w:val="fr"/>
        </w:rPr>
        <w:t>amélioration de</w:t>
      </w:r>
      <w:r w:rsidR="00A832E7">
        <w:rPr>
          <w:lang w:val="fr"/>
        </w:rPr>
        <w:t xml:space="preserve"> la prise en charge</w:t>
      </w:r>
      <w:r>
        <w:rPr>
          <w:lang w:val="fr"/>
        </w:rPr>
        <w:t xml:space="preserve"> av</w:t>
      </w:r>
      <w:r w:rsidR="00D2097F">
        <w:rPr>
          <w:lang w:val="fr"/>
        </w:rPr>
        <w:t>ec</w:t>
      </w:r>
      <w:r>
        <w:rPr>
          <w:lang w:val="fr"/>
        </w:rPr>
        <w:t xml:space="preserve"> médecin au cours de la phase préhospitalière</w:t>
      </w:r>
      <w:r w:rsidR="00D2097F">
        <w:rPr>
          <w:lang w:val="fr"/>
        </w:rPr>
        <w:t>,</w:t>
      </w:r>
      <w:r>
        <w:rPr>
          <w:lang w:val="fr"/>
        </w:rPr>
        <w:t xml:space="preserve"> dans les autres catégories</w:t>
      </w:r>
      <w:r w:rsidR="00D2097F">
        <w:rPr>
          <w:lang w:val="fr"/>
        </w:rPr>
        <w:t>, à savoir</w:t>
      </w:r>
      <w:r w:rsidR="00146824">
        <w:rPr>
          <w:lang w:val="fr"/>
        </w:rPr>
        <w:t>,</w:t>
      </w:r>
      <w:r>
        <w:rPr>
          <w:lang w:val="fr"/>
        </w:rPr>
        <w:t xml:space="preserve"> douleurs thoraciques, insuffisance respiratoire et accident vasculaire cérébral. Les </w:t>
      </w:r>
      <w:r w:rsidR="00146824">
        <w:rPr>
          <w:lang w:val="fr"/>
        </w:rPr>
        <w:t>articles</w:t>
      </w:r>
      <w:r>
        <w:rPr>
          <w:lang w:val="fr"/>
        </w:rPr>
        <w:t xml:space="preserve"> examinés ont indiqué que le taux de réussite des médecins à l'intubation endotrachéale était significativement plus élevé que celui des </w:t>
      </w:r>
      <w:r w:rsidR="00146824">
        <w:rPr>
          <w:lang w:val="fr"/>
        </w:rPr>
        <w:t xml:space="preserve">intervenants </w:t>
      </w:r>
      <w:r>
        <w:rPr>
          <w:lang w:val="fr"/>
        </w:rPr>
        <w:t>non-médecins.</w:t>
      </w:r>
    </w:p>
    <w:p w14:paraId="64B8CC1C" w14:textId="36286DD5" w:rsidR="00234651" w:rsidRDefault="00234651" w:rsidP="00234651">
      <w:pPr>
        <w:pStyle w:val="Paragraphedeliste"/>
        <w:spacing w:after="0" w:line="240" w:lineRule="auto"/>
        <w:ind w:left="0" w:firstLine="360"/>
      </w:pPr>
      <w:r>
        <w:rPr>
          <w:lang w:val="fr"/>
        </w:rPr>
        <w:t>Cet</w:t>
      </w:r>
      <w:r w:rsidR="00146824">
        <w:rPr>
          <w:lang w:val="fr"/>
        </w:rPr>
        <w:t>te étude</w:t>
      </w:r>
      <w:r>
        <w:rPr>
          <w:lang w:val="fr"/>
        </w:rPr>
        <w:t xml:space="preserve"> montre qu'une meilleure évaluation des systèmes de</w:t>
      </w:r>
      <w:r w:rsidR="00146824">
        <w:rPr>
          <w:lang w:val="fr"/>
        </w:rPr>
        <w:t xml:space="preserve"> soi</w:t>
      </w:r>
      <w:r w:rsidR="00A43308">
        <w:rPr>
          <w:lang w:val="fr"/>
        </w:rPr>
        <w:t>ns</w:t>
      </w:r>
      <w:r w:rsidR="00146824">
        <w:rPr>
          <w:lang w:val="fr"/>
        </w:rPr>
        <w:t xml:space="preserve"> pré</w:t>
      </w:r>
      <w:r w:rsidR="00A43308">
        <w:rPr>
          <w:lang w:val="fr"/>
        </w:rPr>
        <w:t>-</w:t>
      </w:r>
      <w:r w:rsidR="00146824">
        <w:rPr>
          <w:lang w:val="fr"/>
        </w:rPr>
        <w:t>hospitali</w:t>
      </w:r>
      <w:r w:rsidR="00A43308">
        <w:rPr>
          <w:lang w:val="fr"/>
        </w:rPr>
        <w:t>er</w:t>
      </w:r>
      <w:r w:rsidR="00146824">
        <w:rPr>
          <w:lang w:val="fr"/>
        </w:rPr>
        <w:t>s</w:t>
      </w:r>
      <w:r>
        <w:rPr>
          <w:lang w:val="fr"/>
        </w:rPr>
        <w:t xml:space="preserve"> dans le monde doit être effectuée, en examinant la configuration de l'équipage et les profils d'intervention afin de mieux déterminer l'effet </w:t>
      </w:r>
      <w:r w:rsidR="00ED255C">
        <w:rPr>
          <w:lang w:val="fr"/>
        </w:rPr>
        <w:t>que les différents type</w:t>
      </w:r>
      <w:r w:rsidR="009E5FB8">
        <w:rPr>
          <w:lang w:val="fr"/>
        </w:rPr>
        <w:t>s</w:t>
      </w:r>
      <w:r w:rsidR="00ED255C">
        <w:rPr>
          <w:lang w:val="fr"/>
        </w:rPr>
        <w:t xml:space="preserve"> d</w:t>
      </w:r>
      <w:r w:rsidR="009E5FB8">
        <w:rPr>
          <w:lang w:val="fr"/>
        </w:rPr>
        <w:t xml:space="preserve">’organisation opérationnelle ont </w:t>
      </w:r>
      <w:r>
        <w:rPr>
          <w:lang w:val="fr"/>
        </w:rPr>
        <w:t>sur la mortalité et la morbidité. L'une des difficultés relevée</w:t>
      </w:r>
      <w:r w:rsidR="009E5FB8">
        <w:rPr>
          <w:lang w:val="fr"/>
        </w:rPr>
        <w:t>s</w:t>
      </w:r>
      <w:r>
        <w:rPr>
          <w:lang w:val="fr"/>
        </w:rPr>
        <w:t xml:space="preserve"> dans cet </w:t>
      </w:r>
      <w:r w:rsidR="009E5FB8">
        <w:rPr>
          <w:lang w:val="fr"/>
        </w:rPr>
        <w:t>article,</w:t>
      </w:r>
      <w:r>
        <w:rPr>
          <w:lang w:val="fr"/>
        </w:rPr>
        <w:t xml:space="preserve"> est la</w:t>
      </w:r>
      <w:r w:rsidR="009E5FB8">
        <w:rPr>
          <w:lang w:val="fr"/>
        </w:rPr>
        <w:t xml:space="preserve"> différence de</w:t>
      </w:r>
      <w:r>
        <w:rPr>
          <w:lang w:val="fr"/>
        </w:rPr>
        <w:t xml:space="preserve"> formation des divers groupes d</w:t>
      </w:r>
      <w:r w:rsidR="009E5FB8">
        <w:rPr>
          <w:lang w:val="fr"/>
        </w:rPr>
        <w:t xml:space="preserve">’intervenants </w:t>
      </w:r>
      <w:r>
        <w:rPr>
          <w:lang w:val="fr"/>
        </w:rPr>
        <w:t xml:space="preserve">préhospitaliers. La plupart des </w:t>
      </w:r>
      <w:r w:rsidR="009E5FB8">
        <w:rPr>
          <w:lang w:val="fr"/>
        </w:rPr>
        <w:t>articles</w:t>
      </w:r>
      <w:r>
        <w:rPr>
          <w:lang w:val="fr"/>
        </w:rPr>
        <w:t xml:space="preserve"> examinées </w:t>
      </w:r>
      <w:r w:rsidR="008E5F9E">
        <w:rPr>
          <w:lang w:val="fr"/>
        </w:rPr>
        <w:t>étudie le système</w:t>
      </w:r>
      <w:r>
        <w:rPr>
          <w:lang w:val="fr"/>
        </w:rPr>
        <w:t xml:space="preserve"> aux États-Unis, en Europe et en Australie. Bien que la formation initiale des médecins soit quelque peu comparable, il n'a pas été </w:t>
      </w:r>
      <w:r w:rsidR="000E472B">
        <w:rPr>
          <w:lang w:val="fr"/>
        </w:rPr>
        <w:t xml:space="preserve">abordée la </w:t>
      </w:r>
      <w:r>
        <w:rPr>
          <w:lang w:val="fr"/>
        </w:rPr>
        <w:t xml:space="preserve">question de </w:t>
      </w:r>
      <w:r w:rsidR="000E472B">
        <w:rPr>
          <w:lang w:val="fr"/>
        </w:rPr>
        <w:t xml:space="preserve">la </w:t>
      </w:r>
      <w:r>
        <w:rPr>
          <w:lang w:val="fr"/>
        </w:rPr>
        <w:t xml:space="preserve">formation ou de </w:t>
      </w:r>
      <w:r w:rsidR="000E472B">
        <w:rPr>
          <w:lang w:val="fr"/>
        </w:rPr>
        <w:t xml:space="preserve">la </w:t>
      </w:r>
      <w:r>
        <w:rPr>
          <w:lang w:val="fr"/>
        </w:rPr>
        <w:t xml:space="preserve">spécialisation postdoctorale.  Par exemple, bon nombre des médecins qui dispensent des soins préhospitaliers en Europe sont des anesthésistes, ce qui peut expliquer une partie de la différence dans les taux de réussite à l'intubation.   Pour les </w:t>
      </w:r>
      <w:r w:rsidR="00BF7505">
        <w:rPr>
          <w:lang w:val="fr"/>
        </w:rPr>
        <w:t>intervenants</w:t>
      </w:r>
      <w:r>
        <w:rPr>
          <w:lang w:val="fr"/>
        </w:rPr>
        <w:t xml:space="preserve"> non-médecins, il est moins </w:t>
      </w:r>
      <w:r w:rsidR="003C6C1F">
        <w:rPr>
          <w:lang w:val="fr"/>
        </w:rPr>
        <w:t xml:space="preserve">facile de savoir </w:t>
      </w:r>
      <w:r>
        <w:rPr>
          <w:lang w:val="fr"/>
        </w:rPr>
        <w:t>comment la formation varie entre le</w:t>
      </w:r>
      <w:r w:rsidR="003C6C1F">
        <w:rPr>
          <w:lang w:val="fr"/>
        </w:rPr>
        <w:t>s différents articles</w:t>
      </w:r>
      <w:r>
        <w:rPr>
          <w:lang w:val="fr"/>
        </w:rPr>
        <w:t xml:space="preserve"> et les pays inclus.  </w:t>
      </w:r>
      <w:r w:rsidR="003C6C1F">
        <w:rPr>
          <w:lang w:val="fr"/>
        </w:rPr>
        <w:t>D</w:t>
      </w:r>
      <w:r>
        <w:rPr>
          <w:lang w:val="fr"/>
        </w:rPr>
        <w:t>es études futures devraient tenter d'effectuer une analyse des écarts afin d'évaluer les différences dans les soins entre la</w:t>
      </w:r>
      <w:r w:rsidR="00264FDA">
        <w:rPr>
          <w:lang w:val="fr"/>
        </w:rPr>
        <w:t xml:space="preserve"> prise en charge avancée</w:t>
      </w:r>
      <w:r>
        <w:rPr>
          <w:lang w:val="fr"/>
        </w:rPr>
        <w:t xml:space="preserve"> d'un médecin et d'un non-médecin et de déterminer pourquoi il y a une amélioration des résultats avec les interventions médicales sur place. Ces connaissances</w:t>
      </w:r>
      <w:r w:rsidR="00894BBD">
        <w:rPr>
          <w:lang w:val="fr"/>
        </w:rPr>
        <w:t xml:space="preserve"> pourraient jouer</w:t>
      </w:r>
      <w:r>
        <w:rPr>
          <w:lang w:val="fr"/>
        </w:rPr>
        <w:t xml:space="preserve"> un rôle </w:t>
      </w:r>
      <w:r w:rsidR="00894BBD">
        <w:rPr>
          <w:lang w:val="fr"/>
        </w:rPr>
        <w:t>crucial</w:t>
      </w:r>
      <w:r>
        <w:rPr>
          <w:lang w:val="fr"/>
        </w:rPr>
        <w:t xml:space="preserve"> dans la détermination des programmes d'études futurs pour les </w:t>
      </w:r>
      <w:r w:rsidR="00894BBD">
        <w:rPr>
          <w:lang w:val="fr"/>
        </w:rPr>
        <w:t>intervenants</w:t>
      </w:r>
      <w:r w:rsidR="006B2C77">
        <w:rPr>
          <w:lang w:val="fr"/>
        </w:rPr>
        <w:t xml:space="preserve"> préhospitaliers</w:t>
      </w:r>
      <w:r>
        <w:rPr>
          <w:lang w:val="fr"/>
        </w:rPr>
        <w:t xml:space="preserve"> non médicaux</w:t>
      </w:r>
      <w:r w:rsidR="006B2C77">
        <w:rPr>
          <w:lang w:val="fr"/>
        </w:rPr>
        <w:t>,</w:t>
      </w:r>
      <w:r>
        <w:rPr>
          <w:lang w:val="fr"/>
        </w:rPr>
        <w:t xml:space="preserve"> dans l'espoir de combler l'écart d</w:t>
      </w:r>
      <w:r w:rsidR="006B2C77">
        <w:rPr>
          <w:lang w:val="fr"/>
        </w:rPr>
        <w:t>es</w:t>
      </w:r>
      <w:r>
        <w:rPr>
          <w:lang w:val="fr"/>
        </w:rPr>
        <w:t xml:space="preserve"> résultats entre les deux groupes.  Enfin, aucun des </w:t>
      </w:r>
      <w:r w:rsidR="006B2C77">
        <w:rPr>
          <w:lang w:val="fr"/>
        </w:rPr>
        <w:t>articles</w:t>
      </w:r>
      <w:r>
        <w:rPr>
          <w:lang w:val="fr"/>
        </w:rPr>
        <w:t xml:space="preserve"> examinés n'a tenté d'effectuer une analyse coûts-</w:t>
      </w:r>
      <w:r w:rsidR="00140B7F">
        <w:rPr>
          <w:lang w:val="fr"/>
        </w:rPr>
        <w:t>bénéfic</w:t>
      </w:r>
      <w:r>
        <w:rPr>
          <w:lang w:val="fr"/>
        </w:rPr>
        <w:t>es concernant l'</w:t>
      </w:r>
      <w:r w:rsidR="00AE17F7">
        <w:rPr>
          <w:lang w:val="fr"/>
        </w:rPr>
        <w:t>engagement</w:t>
      </w:r>
      <w:r>
        <w:rPr>
          <w:lang w:val="fr"/>
        </w:rPr>
        <w:t xml:space="preserve"> des médecins sur le terrain.</w:t>
      </w:r>
    </w:p>
    <w:p w14:paraId="64B8CC1D" w14:textId="77777777" w:rsidR="00281AA8" w:rsidRPr="00281AA8" w:rsidRDefault="00281AA8" w:rsidP="00281AA8">
      <w:pPr>
        <w:pStyle w:val="Paragraphedeliste"/>
        <w:spacing w:after="0" w:line="240" w:lineRule="auto"/>
        <w:ind w:left="360"/>
      </w:pPr>
    </w:p>
    <w:p w14:paraId="64B8CC1E" w14:textId="653F4E15" w:rsidR="00657100" w:rsidRPr="00234651" w:rsidRDefault="00F10393" w:rsidP="00234651">
      <w:pPr>
        <w:pStyle w:val="Paragraphedeliste"/>
        <w:numPr>
          <w:ilvl w:val="0"/>
          <w:numId w:val="21"/>
        </w:numPr>
        <w:spacing w:after="0"/>
        <w:rPr>
          <w:rFonts w:eastAsia="Times New Roman" w:cstheme="minorHAnsi"/>
          <w:b/>
        </w:rPr>
      </w:pPr>
      <w:r w:rsidRPr="00F10393">
        <w:rPr>
          <w:b/>
          <w:lang w:val="fr"/>
        </w:rPr>
        <w:t>HFSA/SAEM/ISHLT ; Document de consensus d’experts sur la prise en charge en urgence, des patients sous assistance circulatoire mécanique</w:t>
      </w:r>
      <w:r>
        <w:rPr>
          <w:b/>
          <w:lang w:val="fr"/>
        </w:rPr>
        <w:t xml:space="preserve">. </w:t>
      </w:r>
      <w:r w:rsidR="00234651" w:rsidRPr="00193BAE">
        <w:rPr>
          <w:lang w:val="fr"/>
        </w:rPr>
        <w:t>Givertz M, DelFilippis E, Colvin M, et al .  J Heart Lung Transplant 2019;38:677-698.</w:t>
      </w:r>
    </w:p>
    <w:p w14:paraId="64B8CC1F" w14:textId="77777777" w:rsidR="00657100" w:rsidRDefault="00657100" w:rsidP="00657100">
      <w:pPr>
        <w:spacing w:after="0" w:line="240" w:lineRule="auto"/>
        <w:ind w:firstLine="360"/>
        <w:rPr>
          <w:rFonts w:eastAsia="Times New Roman" w:cstheme="minorHAnsi"/>
          <w:b/>
        </w:rPr>
      </w:pPr>
    </w:p>
    <w:p w14:paraId="64B8CC20" w14:textId="08786AB3" w:rsidR="00234651" w:rsidRPr="00234651" w:rsidRDefault="00234651" w:rsidP="00234651">
      <w:pPr>
        <w:spacing w:after="0" w:line="240" w:lineRule="auto"/>
        <w:ind w:firstLine="360"/>
        <w:rPr>
          <w:rFonts w:cstheme="minorHAnsi"/>
        </w:rPr>
      </w:pPr>
      <w:r>
        <w:rPr>
          <w:lang w:val="fr"/>
        </w:rPr>
        <w:t>Un nombre de</w:t>
      </w:r>
      <w:r w:rsidR="006608FC">
        <w:rPr>
          <w:lang w:val="fr"/>
        </w:rPr>
        <w:t xml:space="preserve"> plus en plus important de</w:t>
      </w:r>
      <w:r>
        <w:rPr>
          <w:lang w:val="fr"/>
        </w:rPr>
        <w:t xml:space="preserve"> patients atteints d</w:t>
      </w:r>
      <w:r w:rsidR="006608FC">
        <w:rPr>
          <w:lang w:val="fr"/>
        </w:rPr>
        <w:t xml:space="preserve">’insuffisance </w:t>
      </w:r>
      <w:r>
        <w:rPr>
          <w:lang w:val="fr"/>
        </w:rPr>
        <w:t>cardiaque en phase finale</w:t>
      </w:r>
      <w:r w:rsidR="006608FC">
        <w:rPr>
          <w:lang w:val="fr"/>
        </w:rPr>
        <w:t xml:space="preserve"> </w:t>
      </w:r>
      <w:r w:rsidRPr="00234651">
        <w:rPr>
          <w:lang w:val="fr"/>
        </w:rPr>
        <w:t>(</w:t>
      </w:r>
      <w:r w:rsidR="006608FC">
        <w:rPr>
          <w:lang w:val="fr"/>
        </w:rPr>
        <w:t>ICF</w:t>
      </w:r>
      <w:r w:rsidRPr="00234651">
        <w:rPr>
          <w:lang w:val="fr"/>
        </w:rPr>
        <w:t xml:space="preserve">) vivent dans nos communautés </w:t>
      </w:r>
      <w:r w:rsidR="0048528E">
        <w:rPr>
          <w:lang w:val="fr"/>
        </w:rPr>
        <w:t xml:space="preserve">et </w:t>
      </w:r>
      <w:r w:rsidRPr="00234651">
        <w:rPr>
          <w:lang w:val="fr"/>
        </w:rPr>
        <w:t>dépend</w:t>
      </w:r>
      <w:r w:rsidR="0048528E">
        <w:rPr>
          <w:lang w:val="fr"/>
        </w:rPr>
        <w:t>ent</w:t>
      </w:r>
      <w:r w:rsidRPr="00234651">
        <w:rPr>
          <w:lang w:val="fr"/>
        </w:rPr>
        <w:t xml:space="preserve"> de dispositifs d'assistance ventriculaire (</w:t>
      </w:r>
      <w:r w:rsidR="009270E1">
        <w:rPr>
          <w:lang w:val="fr"/>
        </w:rPr>
        <w:t>DAV</w:t>
      </w:r>
      <w:r w:rsidRPr="00234651">
        <w:rPr>
          <w:lang w:val="fr"/>
        </w:rPr>
        <w:t xml:space="preserve">). Les </w:t>
      </w:r>
      <w:r w:rsidR="00BA32C4">
        <w:rPr>
          <w:lang w:val="fr"/>
        </w:rPr>
        <w:lastRenderedPageBreak/>
        <w:t>DAV</w:t>
      </w:r>
      <w:r w:rsidRPr="00234651">
        <w:rPr>
          <w:lang w:val="fr"/>
        </w:rPr>
        <w:t xml:space="preserve"> sont couramment utilisés comme </w:t>
      </w:r>
      <w:r w:rsidR="00BA32C4">
        <w:rPr>
          <w:lang w:val="fr"/>
        </w:rPr>
        <w:t>moyen d’attente de</w:t>
      </w:r>
      <w:r w:rsidRPr="00234651">
        <w:rPr>
          <w:lang w:val="fr"/>
        </w:rPr>
        <w:t xml:space="preserve"> la </w:t>
      </w:r>
      <w:r w:rsidR="00BA32C4">
        <w:rPr>
          <w:lang w:val="fr"/>
        </w:rPr>
        <w:t>greffe cardiaque</w:t>
      </w:r>
      <w:r w:rsidRPr="00234651">
        <w:rPr>
          <w:lang w:val="fr"/>
        </w:rPr>
        <w:t>, pour permettre le rétablissement cardiaque après un infarctus du myocarde, ou</w:t>
      </w:r>
      <w:r w:rsidR="00931406">
        <w:rPr>
          <w:lang w:val="fr"/>
        </w:rPr>
        <w:t xml:space="preserve"> comme</w:t>
      </w:r>
      <w:r w:rsidRPr="00234651">
        <w:rPr>
          <w:lang w:val="fr"/>
        </w:rPr>
        <w:t xml:space="preserve"> thérapie définitive</w:t>
      </w:r>
      <w:r w:rsidR="00931406">
        <w:rPr>
          <w:lang w:val="fr"/>
        </w:rPr>
        <w:t xml:space="preserve"> pour</w:t>
      </w:r>
      <w:r w:rsidRPr="00234651">
        <w:rPr>
          <w:lang w:val="fr"/>
        </w:rPr>
        <w:t xml:space="preserve"> les patients </w:t>
      </w:r>
      <w:r w:rsidR="00931406">
        <w:rPr>
          <w:lang w:val="fr"/>
        </w:rPr>
        <w:t>non éligibles</w:t>
      </w:r>
      <w:r w:rsidRPr="00234651">
        <w:rPr>
          <w:lang w:val="fr"/>
        </w:rPr>
        <w:t xml:space="preserve"> à la transplantation. Les </w:t>
      </w:r>
      <w:r w:rsidR="00194273">
        <w:rPr>
          <w:lang w:val="fr"/>
        </w:rPr>
        <w:t xml:space="preserve">intervenants préhospitaliers </w:t>
      </w:r>
      <w:r w:rsidRPr="00234651">
        <w:rPr>
          <w:lang w:val="fr"/>
        </w:rPr>
        <w:t>à tous les niveaux</w:t>
      </w:r>
      <w:r w:rsidR="00DC2EE7">
        <w:rPr>
          <w:lang w:val="fr"/>
        </w:rPr>
        <w:t>,</w:t>
      </w:r>
      <w:r w:rsidRPr="00234651">
        <w:rPr>
          <w:lang w:val="fr"/>
        </w:rPr>
        <w:t xml:space="preserve"> devraient avoir une compréhension de base de la physiologie, de la mécanique et de la gestion des urgences des </w:t>
      </w:r>
      <w:r w:rsidR="00DC2EE7">
        <w:rPr>
          <w:lang w:val="fr"/>
        </w:rPr>
        <w:t>patients sous DAV</w:t>
      </w:r>
      <w:r w:rsidRPr="00234651">
        <w:rPr>
          <w:lang w:val="fr"/>
        </w:rPr>
        <w:t>.</w:t>
      </w:r>
    </w:p>
    <w:p w14:paraId="64B8CC21" w14:textId="157A81D8" w:rsidR="00234651" w:rsidRPr="00234651" w:rsidRDefault="00234651" w:rsidP="00234651">
      <w:pPr>
        <w:spacing w:after="0" w:line="240" w:lineRule="auto"/>
        <w:ind w:firstLine="360"/>
        <w:rPr>
          <w:rFonts w:cstheme="minorHAnsi"/>
        </w:rPr>
      </w:pPr>
      <w:r w:rsidRPr="00234651">
        <w:rPr>
          <w:lang w:val="fr"/>
        </w:rPr>
        <w:t xml:space="preserve">Givertz et coll. </w:t>
      </w:r>
      <w:r>
        <w:rPr>
          <w:lang w:val="fr"/>
        </w:rPr>
        <w:t xml:space="preserve">ont publié ce document consensuel pour éduquer </w:t>
      </w:r>
      <w:r w:rsidRPr="00234651">
        <w:rPr>
          <w:lang w:val="fr"/>
        </w:rPr>
        <w:t xml:space="preserve">les cliniciens, tant </w:t>
      </w:r>
      <w:r w:rsidR="00A91D2D">
        <w:rPr>
          <w:lang w:val="fr"/>
        </w:rPr>
        <w:t>en intra qu’en extrahospitalier</w:t>
      </w:r>
      <w:r w:rsidRPr="00234651">
        <w:rPr>
          <w:lang w:val="fr"/>
        </w:rPr>
        <w:t xml:space="preserve">, sur la prise en charge des urgences des patients ayant un soutien circulatoire mécanique (SCM).  Le </w:t>
      </w:r>
      <w:r w:rsidR="00A91D2D">
        <w:rPr>
          <w:lang w:val="fr"/>
        </w:rPr>
        <w:t>DAV</w:t>
      </w:r>
      <w:r w:rsidRPr="00234651">
        <w:rPr>
          <w:lang w:val="fr"/>
        </w:rPr>
        <w:t xml:space="preserve"> typique se compose de quatre composants ; une pompe à débit continu implantée chirurgicalement à l'apex cardiaque du patient et </w:t>
      </w:r>
      <w:r w:rsidR="0008264E">
        <w:rPr>
          <w:lang w:val="fr"/>
        </w:rPr>
        <w:t>dans</w:t>
      </w:r>
      <w:r w:rsidRPr="00234651">
        <w:rPr>
          <w:lang w:val="fr"/>
        </w:rPr>
        <w:t xml:space="preserve"> l'aorte ascendante, une ligne d'entraînement percutanée reliant la pompe à un contrôleur, au contrôleur et à un bloc-batterie / unité à base d'alimentation. Les patients, les familles et les </w:t>
      </w:r>
      <w:r w:rsidR="0037405C">
        <w:rPr>
          <w:lang w:val="fr"/>
        </w:rPr>
        <w:t>intervenant</w:t>
      </w:r>
      <w:r w:rsidRPr="00234651">
        <w:rPr>
          <w:lang w:val="fr"/>
        </w:rPr>
        <w:t>s apprennent à résoudre les problèmes de tournage et de correction des trois composantes externes d'une DAV.</w:t>
      </w:r>
    </w:p>
    <w:p w14:paraId="64B8CC22" w14:textId="6E391B5A" w:rsidR="00234651" w:rsidRPr="00234651" w:rsidRDefault="00A926A6" w:rsidP="00234651">
      <w:pPr>
        <w:spacing w:after="0" w:line="240" w:lineRule="auto"/>
        <w:ind w:firstLine="360"/>
        <w:rPr>
          <w:rFonts w:cstheme="minorHAnsi"/>
        </w:rPr>
      </w:pPr>
      <w:r>
        <w:t>C</w:t>
      </w:r>
      <w:r w:rsidR="00234651" w:rsidRPr="00234651">
        <w:rPr>
          <w:lang w:val="fr"/>
        </w:rPr>
        <w:t xml:space="preserve">es patients devraient être évalués comme n'importe quel autre patient. Une </w:t>
      </w:r>
      <w:r>
        <w:rPr>
          <w:lang w:val="fr"/>
        </w:rPr>
        <w:t>anam</w:t>
      </w:r>
      <w:r w:rsidR="00E670E3">
        <w:rPr>
          <w:lang w:val="fr"/>
        </w:rPr>
        <w:t>nèse</w:t>
      </w:r>
      <w:r w:rsidR="00234651" w:rsidRPr="00234651">
        <w:rPr>
          <w:lang w:val="fr"/>
        </w:rPr>
        <w:t xml:space="preserve"> et un examen physique ciblé</w:t>
      </w:r>
      <w:r w:rsidR="00E670E3">
        <w:rPr>
          <w:lang w:val="fr"/>
        </w:rPr>
        <w:t>s,</w:t>
      </w:r>
      <w:r w:rsidR="00234651" w:rsidRPr="00234651">
        <w:rPr>
          <w:lang w:val="fr"/>
        </w:rPr>
        <w:t xml:space="preserve"> devraient être </w:t>
      </w:r>
      <w:r w:rsidR="00E4348A">
        <w:rPr>
          <w:lang w:val="fr"/>
        </w:rPr>
        <w:t>réalis</w:t>
      </w:r>
      <w:r w:rsidR="00234651" w:rsidRPr="00234651">
        <w:rPr>
          <w:lang w:val="fr"/>
        </w:rPr>
        <w:t xml:space="preserve">és en prêtant attention aux résultats propres aux </w:t>
      </w:r>
      <w:r w:rsidR="00E4348A">
        <w:rPr>
          <w:lang w:val="fr"/>
        </w:rPr>
        <w:t>DAV</w:t>
      </w:r>
      <w:r w:rsidR="00234651" w:rsidRPr="00234651">
        <w:rPr>
          <w:lang w:val="fr"/>
        </w:rPr>
        <w:t>. La nature d</w:t>
      </w:r>
      <w:r w:rsidR="00E4348A">
        <w:rPr>
          <w:lang w:val="fr"/>
        </w:rPr>
        <w:t>u</w:t>
      </w:r>
      <w:r w:rsidR="00234651" w:rsidRPr="00234651">
        <w:rPr>
          <w:lang w:val="fr"/>
        </w:rPr>
        <w:t xml:space="preserve"> flux continu de la plupart des </w:t>
      </w:r>
      <w:r w:rsidR="00E4348A">
        <w:rPr>
          <w:lang w:val="fr"/>
        </w:rPr>
        <w:t>DAV</w:t>
      </w:r>
      <w:r w:rsidR="00234651" w:rsidRPr="00234651">
        <w:rPr>
          <w:lang w:val="fr"/>
        </w:rPr>
        <w:t xml:space="preserve"> </w:t>
      </w:r>
      <w:r w:rsidR="00435E50">
        <w:rPr>
          <w:lang w:val="fr"/>
        </w:rPr>
        <w:t>est</w:t>
      </w:r>
      <w:r w:rsidR="00234651" w:rsidRPr="00234651">
        <w:rPr>
          <w:lang w:val="fr"/>
        </w:rPr>
        <w:t xml:space="preserve"> un défi </w:t>
      </w:r>
      <w:r w:rsidR="00435E50">
        <w:rPr>
          <w:lang w:val="fr"/>
        </w:rPr>
        <w:t>pour la mesure</w:t>
      </w:r>
      <w:r w:rsidR="00234651" w:rsidRPr="00234651">
        <w:rPr>
          <w:lang w:val="fr"/>
        </w:rPr>
        <w:t xml:space="preserve"> des signes vitaux en raison de la nature d</w:t>
      </w:r>
      <w:r w:rsidR="00435E50">
        <w:rPr>
          <w:lang w:val="fr"/>
        </w:rPr>
        <w:t>u</w:t>
      </w:r>
      <w:r w:rsidR="00234651" w:rsidRPr="00234651">
        <w:rPr>
          <w:lang w:val="fr"/>
        </w:rPr>
        <w:t xml:space="preserve"> flux continu de la circulation fournie par la pompe. L'échographie vasculaire de</w:t>
      </w:r>
      <w:r w:rsidR="008B32C1">
        <w:rPr>
          <w:lang w:val="fr"/>
        </w:rPr>
        <w:t xml:space="preserve"> type </w:t>
      </w:r>
      <w:r w:rsidR="00234651" w:rsidRPr="00234651">
        <w:rPr>
          <w:lang w:val="fr"/>
        </w:rPr>
        <w:t xml:space="preserve">Doppler est souvent employée pour déterminer la tension artérielle avec le premier bruit d'ouverture corrélé à la pression artérielle moyenne du patient, qui devrait être approximativement </w:t>
      </w:r>
      <w:r w:rsidR="00686AEE">
        <w:rPr>
          <w:lang w:val="fr"/>
        </w:rPr>
        <w:t xml:space="preserve">de </w:t>
      </w:r>
      <w:r w:rsidR="00234651" w:rsidRPr="00234651">
        <w:rPr>
          <w:lang w:val="fr"/>
        </w:rPr>
        <w:t>80 mm Hg ou légèrement moins.  Il est difficile de palper une impulsion; par conséquent, un moniteur cardiaque doit être appliqué.  L'oxymétrie des impulsions est souvent inaccessible ou inexacte.  Les signes cliniques tels que la couleur de peau et le niveau de conscience sont importants pour évaluer l</w:t>
      </w:r>
      <w:r w:rsidR="00D008CB">
        <w:rPr>
          <w:lang w:val="fr"/>
        </w:rPr>
        <w:t>’état</w:t>
      </w:r>
      <w:r w:rsidR="00234651" w:rsidRPr="00234651">
        <w:rPr>
          <w:lang w:val="fr"/>
        </w:rPr>
        <w:t xml:space="preserve"> physiologi</w:t>
      </w:r>
      <w:r w:rsidR="00D008CB">
        <w:rPr>
          <w:lang w:val="fr"/>
        </w:rPr>
        <w:t>qu</w:t>
      </w:r>
      <w:r w:rsidR="00234651" w:rsidRPr="00234651">
        <w:rPr>
          <w:lang w:val="fr"/>
        </w:rPr>
        <w:t>e du patient.</w:t>
      </w:r>
    </w:p>
    <w:p w14:paraId="64B8CC23" w14:textId="673A6120" w:rsidR="00234651" w:rsidRPr="00234651" w:rsidRDefault="00234651" w:rsidP="00234651">
      <w:pPr>
        <w:spacing w:after="0" w:line="240" w:lineRule="auto"/>
        <w:ind w:firstLine="360"/>
        <w:rPr>
          <w:rFonts w:cstheme="minorHAnsi"/>
        </w:rPr>
      </w:pPr>
      <w:r w:rsidRPr="00234651">
        <w:rPr>
          <w:lang w:val="fr"/>
        </w:rPr>
        <w:t xml:space="preserve">Toutes les </w:t>
      </w:r>
      <w:r w:rsidR="00D008CB">
        <w:rPr>
          <w:lang w:val="fr"/>
        </w:rPr>
        <w:t>DAV</w:t>
      </w:r>
      <w:r w:rsidRPr="00234651">
        <w:rPr>
          <w:lang w:val="fr"/>
        </w:rPr>
        <w:t xml:space="preserve"> </w:t>
      </w:r>
      <w:r w:rsidR="00D008CB">
        <w:rPr>
          <w:lang w:val="fr"/>
        </w:rPr>
        <w:t xml:space="preserve">déclenchent leur </w:t>
      </w:r>
      <w:r w:rsidRPr="00234651">
        <w:rPr>
          <w:lang w:val="fr"/>
        </w:rPr>
        <w:t>alarm</w:t>
      </w:r>
      <w:r w:rsidR="00D008CB">
        <w:rPr>
          <w:lang w:val="fr"/>
        </w:rPr>
        <w:t>e</w:t>
      </w:r>
      <w:r w:rsidRPr="00234651">
        <w:rPr>
          <w:lang w:val="fr"/>
        </w:rPr>
        <w:t xml:space="preserve"> lorsque des défaillances et des d</w:t>
      </w:r>
      <w:r w:rsidR="00D008CB">
        <w:rPr>
          <w:lang w:val="fr"/>
        </w:rPr>
        <w:t>ysfonctionnements</w:t>
      </w:r>
      <w:r w:rsidRPr="00234651">
        <w:rPr>
          <w:lang w:val="fr"/>
        </w:rPr>
        <w:t xml:space="preserve"> d'équipement sont identifiées.  Les patients et leurs familles sont formés pour corriger ces problèmes.  Les patients voyagent généralement avec des piles de rechange et des contrôleurs d'appareil, qui peuvent être facilement commutés pour corriger et prévenir des pannes d'équipement.</w:t>
      </w:r>
    </w:p>
    <w:p w14:paraId="64B8CC24" w14:textId="5AB35CBA" w:rsidR="00234651" w:rsidRPr="00234651" w:rsidRDefault="00234651" w:rsidP="00234651">
      <w:pPr>
        <w:spacing w:after="0" w:line="240" w:lineRule="auto"/>
        <w:ind w:firstLine="360"/>
        <w:rPr>
          <w:rFonts w:cstheme="minorHAnsi"/>
        </w:rPr>
      </w:pPr>
      <w:r w:rsidRPr="00234651">
        <w:rPr>
          <w:lang w:val="fr"/>
        </w:rPr>
        <w:t xml:space="preserve">L'arrêt cardiaque et les dysrythmies instables sont souvent difficiles à déterminer cliniquement.  L'absence de pouls et l'incapacité d'obtenir une tension artérielle sont des </w:t>
      </w:r>
      <w:r w:rsidR="00B461FF">
        <w:rPr>
          <w:lang w:val="fr"/>
        </w:rPr>
        <w:t>faits</w:t>
      </w:r>
      <w:r w:rsidRPr="00234651">
        <w:rPr>
          <w:lang w:val="fr"/>
        </w:rPr>
        <w:t xml:space="preserve"> normaux chez les patients atteints de DAV.  L'insensibilité, l'apnée et l'absence d</w:t>
      </w:r>
      <w:r w:rsidR="005A3C88">
        <w:rPr>
          <w:lang w:val="fr"/>
        </w:rPr>
        <w:t>e bruits du coeur</w:t>
      </w:r>
      <w:r w:rsidRPr="00234651">
        <w:rPr>
          <w:lang w:val="fr"/>
        </w:rPr>
        <w:t xml:space="preserve"> </w:t>
      </w:r>
      <w:r w:rsidR="005A3C88">
        <w:rPr>
          <w:lang w:val="fr"/>
        </w:rPr>
        <w:t>à</w:t>
      </w:r>
      <w:r w:rsidRPr="00234651">
        <w:rPr>
          <w:lang w:val="fr"/>
        </w:rPr>
        <w:t xml:space="preserve"> l'auscultation cardiaque</w:t>
      </w:r>
      <w:r w:rsidR="007F5004">
        <w:rPr>
          <w:lang w:val="fr"/>
        </w:rPr>
        <w:t>,</w:t>
      </w:r>
      <w:r w:rsidRPr="00234651">
        <w:rPr>
          <w:lang w:val="fr"/>
        </w:rPr>
        <w:t xml:space="preserve"> sont de meilleurs indicateurs d'arrêt cardiaque.  Les auteurs, aussi bien que l'</w:t>
      </w:r>
      <w:r w:rsidR="00027BE0">
        <w:rPr>
          <w:lang w:val="fr"/>
        </w:rPr>
        <w:t>AHA</w:t>
      </w:r>
      <w:r w:rsidRPr="00234651">
        <w:rPr>
          <w:lang w:val="fr"/>
        </w:rPr>
        <w:t>, recommandent la RC</w:t>
      </w:r>
      <w:r w:rsidR="00123F99">
        <w:rPr>
          <w:lang w:val="fr"/>
        </w:rPr>
        <w:t>P</w:t>
      </w:r>
      <w:r w:rsidRPr="00234651">
        <w:rPr>
          <w:lang w:val="fr"/>
        </w:rPr>
        <w:t xml:space="preserve"> manuelle pour des patients</w:t>
      </w:r>
      <w:r w:rsidR="00123F99">
        <w:rPr>
          <w:lang w:val="fr"/>
        </w:rPr>
        <w:t xml:space="preserve"> sous DAV</w:t>
      </w:r>
      <w:r w:rsidRPr="00234651">
        <w:rPr>
          <w:lang w:val="fr"/>
        </w:rPr>
        <w:t xml:space="preserve"> trouvé</w:t>
      </w:r>
      <w:r w:rsidR="00123F99">
        <w:rPr>
          <w:lang w:val="fr"/>
        </w:rPr>
        <w:t>s en ACR</w:t>
      </w:r>
      <w:r w:rsidRPr="00234651">
        <w:rPr>
          <w:lang w:val="fr"/>
        </w:rPr>
        <w:t xml:space="preserve">. Les auteurs ne recommandent pas l'utilisation de dispositifs mécaniques de compression thoracique </w:t>
      </w:r>
      <w:r w:rsidR="007746E3">
        <w:rPr>
          <w:lang w:val="fr"/>
        </w:rPr>
        <w:t>pour l</w:t>
      </w:r>
      <w:r w:rsidRPr="00234651">
        <w:rPr>
          <w:lang w:val="fr"/>
        </w:rPr>
        <w:t xml:space="preserve">es patients </w:t>
      </w:r>
      <w:r w:rsidR="007746E3">
        <w:rPr>
          <w:lang w:val="fr"/>
        </w:rPr>
        <w:t>souffrant</w:t>
      </w:r>
      <w:r w:rsidRPr="00234651">
        <w:rPr>
          <w:lang w:val="fr"/>
        </w:rPr>
        <w:t xml:space="preserve"> de DEA.  Les dysrythmies symptomatiques, y compris la fibrillation ventriculaire, devraient être traitées à l'aide d'algorithmes ACLS standard.</w:t>
      </w:r>
    </w:p>
    <w:p w14:paraId="64B8CC25" w14:textId="70AD53D5" w:rsidR="00234651" w:rsidRPr="00234651" w:rsidRDefault="00234651" w:rsidP="00234651">
      <w:pPr>
        <w:spacing w:after="0" w:line="240" w:lineRule="auto"/>
        <w:ind w:firstLine="360"/>
        <w:rPr>
          <w:rFonts w:cstheme="minorHAnsi"/>
        </w:rPr>
      </w:pPr>
      <w:r w:rsidRPr="00234651">
        <w:rPr>
          <w:lang w:val="fr"/>
        </w:rPr>
        <w:t xml:space="preserve">Les principes et les protocoles avancés de </w:t>
      </w:r>
      <w:r w:rsidR="00812E14">
        <w:rPr>
          <w:lang w:val="fr"/>
        </w:rPr>
        <w:t>réanimation en cas de</w:t>
      </w:r>
      <w:r w:rsidRPr="00234651">
        <w:rPr>
          <w:lang w:val="fr"/>
        </w:rPr>
        <w:t xml:space="preserve"> trauma</w:t>
      </w:r>
      <w:r w:rsidR="00812E14">
        <w:rPr>
          <w:lang w:val="fr"/>
        </w:rPr>
        <w:t>,</w:t>
      </w:r>
      <w:r w:rsidRPr="00234651">
        <w:rPr>
          <w:lang w:val="fr"/>
        </w:rPr>
        <w:t xml:space="preserve"> s'appliquent à tous les patients </w:t>
      </w:r>
      <w:r w:rsidR="00812E14">
        <w:rPr>
          <w:lang w:val="fr"/>
        </w:rPr>
        <w:t>sous DAV</w:t>
      </w:r>
      <w:r w:rsidRPr="00234651">
        <w:rPr>
          <w:lang w:val="fr"/>
        </w:rPr>
        <w:t xml:space="preserve"> qui </w:t>
      </w:r>
      <w:r w:rsidR="00B90AAE">
        <w:rPr>
          <w:lang w:val="fr"/>
        </w:rPr>
        <w:t>présentent</w:t>
      </w:r>
      <w:r w:rsidRPr="00234651">
        <w:rPr>
          <w:lang w:val="fr"/>
        </w:rPr>
        <w:t xml:space="preserve"> une </w:t>
      </w:r>
      <w:r w:rsidR="00B90AAE">
        <w:rPr>
          <w:lang w:val="fr"/>
        </w:rPr>
        <w:t>lésion</w:t>
      </w:r>
      <w:r w:rsidRPr="00234651">
        <w:rPr>
          <w:lang w:val="fr"/>
        </w:rPr>
        <w:t xml:space="preserve"> traumatique</w:t>
      </w:r>
      <w:r w:rsidR="00B90AAE">
        <w:rPr>
          <w:lang w:val="fr"/>
        </w:rPr>
        <w:t xml:space="preserve"> contondante</w:t>
      </w:r>
      <w:r w:rsidRPr="00234651">
        <w:rPr>
          <w:lang w:val="fr"/>
        </w:rPr>
        <w:t xml:space="preserve"> ou pénétrante.  Tous </w:t>
      </w:r>
      <w:r w:rsidR="00F34768">
        <w:rPr>
          <w:lang w:val="fr"/>
        </w:rPr>
        <w:t>ces</w:t>
      </w:r>
      <w:r w:rsidRPr="00234651">
        <w:rPr>
          <w:lang w:val="fr"/>
        </w:rPr>
        <w:t xml:space="preserve"> patients reçoivent </w:t>
      </w:r>
      <w:r w:rsidR="004F15A0">
        <w:rPr>
          <w:lang w:val="fr"/>
        </w:rPr>
        <w:t>une</w:t>
      </w:r>
      <w:r w:rsidRPr="00234651">
        <w:rPr>
          <w:lang w:val="fr"/>
        </w:rPr>
        <w:t xml:space="preserve"> thérapie anti-thromboti</w:t>
      </w:r>
      <w:r w:rsidR="00F34768">
        <w:rPr>
          <w:lang w:val="fr"/>
        </w:rPr>
        <w:t>que</w:t>
      </w:r>
      <w:r w:rsidRPr="00234651">
        <w:rPr>
          <w:lang w:val="fr"/>
        </w:rPr>
        <w:t xml:space="preserve"> et ceci devrait être considéré pendant le triage </w:t>
      </w:r>
      <w:r w:rsidR="004F15A0">
        <w:rPr>
          <w:lang w:val="fr"/>
        </w:rPr>
        <w:t>pour</w:t>
      </w:r>
      <w:r w:rsidRPr="00234651">
        <w:rPr>
          <w:lang w:val="fr"/>
        </w:rPr>
        <w:t xml:space="preserve"> trauma</w:t>
      </w:r>
      <w:r w:rsidR="004F15A0">
        <w:rPr>
          <w:lang w:val="fr"/>
        </w:rPr>
        <w:t>tisme</w:t>
      </w:r>
      <w:r w:rsidRPr="00234651">
        <w:rPr>
          <w:lang w:val="fr"/>
        </w:rPr>
        <w:t>.  Le plus grand risque lors d'un événement trauma</w:t>
      </w:r>
      <w:r w:rsidR="00D77A6B">
        <w:rPr>
          <w:lang w:val="fr"/>
        </w:rPr>
        <w:t>tique</w:t>
      </w:r>
      <w:r w:rsidR="0048381A">
        <w:rPr>
          <w:lang w:val="fr"/>
        </w:rPr>
        <w:t xml:space="preserve"> </w:t>
      </w:r>
      <w:r w:rsidR="00B01BAA">
        <w:rPr>
          <w:lang w:val="fr"/>
        </w:rPr>
        <w:t>pour le syst</w:t>
      </w:r>
      <w:r w:rsidR="00212D40">
        <w:rPr>
          <w:lang w:val="fr"/>
        </w:rPr>
        <w:t>è</w:t>
      </w:r>
      <w:r w:rsidR="00B01BAA">
        <w:rPr>
          <w:lang w:val="fr"/>
        </w:rPr>
        <w:t>me d’ass</w:t>
      </w:r>
      <w:r w:rsidR="00212D40">
        <w:rPr>
          <w:lang w:val="fr"/>
        </w:rPr>
        <w:t>is</w:t>
      </w:r>
      <w:r w:rsidR="00B01BAA">
        <w:rPr>
          <w:lang w:val="fr"/>
        </w:rPr>
        <w:t>tance circulatoire</w:t>
      </w:r>
      <w:r w:rsidR="00212D40">
        <w:rPr>
          <w:lang w:val="fr"/>
        </w:rPr>
        <w:t>,</w:t>
      </w:r>
      <w:r w:rsidRPr="00234651">
        <w:rPr>
          <w:lang w:val="fr"/>
        </w:rPr>
        <w:t xml:space="preserve"> est le d</w:t>
      </w:r>
      <w:r w:rsidR="0048381A">
        <w:rPr>
          <w:lang w:val="fr"/>
        </w:rPr>
        <w:t>éplacement</w:t>
      </w:r>
      <w:r w:rsidRPr="00234651">
        <w:rPr>
          <w:lang w:val="fr"/>
        </w:rPr>
        <w:t xml:space="preserve"> ou les dommages à la pompe et/ou à la conduite.  Une radiographie de la conduite d'entraînement doit être obtenue à l'arrivée à l'hôpital pour confirmer la position et l'intégrité de la pompe.</w:t>
      </w:r>
    </w:p>
    <w:p w14:paraId="64B8CC26" w14:textId="0858D189" w:rsidR="00234651" w:rsidRPr="00234651" w:rsidRDefault="00234651" w:rsidP="00234651">
      <w:pPr>
        <w:spacing w:after="0" w:line="240" w:lineRule="auto"/>
        <w:ind w:firstLine="360"/>
        <w:rPr>
          <w:rFonts w:cstheme="minorHAnsi"/>
        </w:rPr>
      </w:pPr>
      <w:r w:rsidRPr="00234651">
        <w:rPr>
          <w:lang w:val="fr"/>
        </w:rPr>
        <w:t xml:space="preserve">L'infection et le sepsis sont des complications communes </w:t>
      </w:r>
      <w:r w:rsidR="00D47922">
        <w:rPr>
          <w:lang w:val="fr"/>
        </w:rPr>
        <w:t>après la pose des systèmes d’assisatnce circulatoire</w:t>
      </w:r>
      <w:r w:rsidR="007F7A8B">
        <w:rPr>
          <w:lang w:val="fr"/>
        </w:rPr>
        <w:t>.</w:t>
      </w:r>
      <w:r w:rsidRPr="00234651">
        <w:rPr>
          <w:lang w:val="fr"/>
        </w:rPr>
        <w:t xml:space="preserve"> et peuvent avoir des </w:t>
      </w:r>
      <w:r w:rsidR="00A42E9F">
        <w:rPr>
          <w:lang w:val="fr"/>
        </w:rPr>
        <w:t>conséquences</w:t>
      </w:r>
      <w:r w:rsidRPr="00234651">
        <w:rPr>
          <w:lang w:val="fr"/>
        </w:rPr>
        <w:t xml:space="preserve"> </w:t>
      </w:r>
      <w:r w:rsidR="00A42E9F">
        <w:rPr>
          <w:lang w:val="fr"/>
        </w:rPr>
        <w:t>grav</w:t>
      </w:r>
      <w:r w:rsidRPr="00234651">
        <w:rPr>
          <w:lang w:val="fr"/>
        </w:rPr>
        <w:t xml:space="preserve">es pour des patients </w:t>
      </w:r>
      <w:r w:rsidR="00A42E9F">
        <w:rPr>
          <w:lang w:val="fr"/>
        </w:rPr>
        <w:t>sous DAV</w:t>
      </w:r>
      <w:r w:rsidRPr="00234651">
        <w:rPr>
          <w:lang w:val="fr"/>
        </w:rPr>
        <w:t>.  Les infections courantes comprennent les infections par la conduite d'entraînement allant de l'érythème de la peau, la cellulite et les infections profondes englobant le fascia et le muscle.  Les infections de poche impliquent la « poche » où la pompe est implantée chirurgicalement.  Ceux-ci ont souvent comme conséquence la collect</w:t>
      </w:r>
      <w:r w:rsidR="008114C3">
        <w:rPr>
          <w:lang w:val="fr"/>
        </w:rPr>
        <w:t>ion</w:t>
      </w:r>
      <w:r w:rsidRPr="00234651">
        <w:rPr>
          <w:lang w:val="fr"/>
        </w:rPr>
        <w:t xml:space="preserve"> de fluide dans la poche.  Les infections de circulation sanguine se produisent dans jusqu'à 30% de patients </w:t>
      </w:r>
      <w:r w:rsidR="006D3951">
        <w:rPr>
          <w:lang w:val="fr"/>
        </w:rPr>
        <w:t xml:space="preserve">sous </w:t>
      </w:r>
      <w:r w:rsidR="007F7A8B">
        <w:rPr>
          <w:lang w:val="fr"/>
        </w:rPr>
        <w:t>DVA</w:t>
      </w:r>
      <w:r w:rsidRPr="00234651">
        <w:rPr>
          <w:lang w:val="fr"/>
        </w:rPr>
        <w:t xml:space="preserve">, habituellement dans les trois premiers mois </w:t>
      </w:r>
      <w:r w:rsidR="006D3951">
        <w:rPr>
          <w:lang w:val="fr"/>
        </w:rPr>
        <w:t>suivant</w:t>
      </w:r>
      <w:r w:rsidRPr="00234651">
        <w:rPr>
          <w:lang w:val="fr"/>
        </w:rPr>
        <w:t xml:space="preserve"> l'implantation de</w:t>
      </w:r>
      <w:r w:rsidR="007F7A8B">
        <w:rPr>
          <w:lang w:val="fr"/>
        </w:rPr>
        <w:t xml:space="preserve"> la pompe</w:t>
      </w:r>
      <w:r w:rsidRPr="00234651">
        <w:rPr>
          <w:lang w:val="fr"/>
        </w:rPr>
        <w:t xml:space="preserve"> et </w:t>
      </w:r>
      <w:r w:rsidRPr="00234651">
        <w:rPr>
          <w:lang w:val="fr"/>
        </w:rPr>
        <w:lastRenderedPageBreak/>
        <w:t xml:space="preserve">peuvent être liées à la pompe, à la ligne d'entraînement, à la poche ou à d'autres sources.  </w:t>
      </w:r>
      <w:r w:rsidR="000578D2">
        <w:rPr>
          <w:lang w:val="fr"/>
        </w:rPr>
        <w:t>C</w:t>
      </w:r>
      <w:r w:rsidRPr="00234651">
        <w:rPr>
          <w:lang w:val="fr"/>
        </w:rPr>
        <w:t>es patients</w:t>
      </w:r>
      <w:r w:rsidR="000578D2">
        <w:rPr>
          <w:lang w:val="fr"/>
        </w:rPr>
        <w:t xml:space="preserve"> </w:t>
      </w:r>
      <w:r w:rsidRPr="00234651">
        <w:rPr>
          <w:lang w:val="fr"/>
        </w:rPr>
        <w:t xml:space="preserve">sont également à risque d'infections d'origine communautaire comme les infections urinaires et les pneumonies.  La prise en charge des infections associées </w:t>
      </w:r>
      <w:r w:rsidR="00E70C4F">
        <w:rPr>
          <w:lang w:val="fr"/>
        </w:rPr>
        <w:t>au DAV</w:t>
      </w:r>
      <w:r w:rsidR="002E53B4">
        <w:rPr>
          <w:lang w:val="fr"/>
        </w:rPr>
        <w:t xml:space="preserve"> </w:t>
      </w:r>
      <w:r w:rsidRPr="00234651">
        <w:rPr>
          <w:lang w:val="fr"/>
        </w:rPr>
        <w:t>est basée sur le type et l'étendue de l'infection.</w:t>
      </w:r>
    </w:p>
    <w:p w14:paraId="64B8CC27" w14:textId="02D4F1B4" w:rsidR="00657100" w:rsidRDefault="00234651" w:rsidP="00234651">
      <w:pPr>
        <w:spacing w:after="0" w:line="240" w:lineRule="auto"/>
        <w:ind w:firstLine="360"/>
        <w:rPr>
          <w:rFonts w:cstheme="minorHAnsi"/>
        </w:rPr>
      </w:pPr>
      <w:r w:rsidRPr="00234651">
        <w:rPr>
          <w:lang w:val="fr"/>
        </w:rPr>
        <w:t>Cet article fournit des informations sur les</w:t>
      </w:r>
      <w:r w:rsidR="002E53B4">
        <w:rPr>
          <w:lang w:val="fr"/>
        </w:rPr>
        <w:t xml:space="preserve"> DAV</w:t>
      </w:r>
      <w:r w:rsidRPr="00234651">
        <w:rPr>
          <w:lang w:val="fr"/>
        </w:rPr>
        <w:t xml:space="preserve"> implantés, les meilleures méthodes d'évaluation de la fonction de l'appareil ainsi que</w:t>
      </w:r>
      <w:r w:rsidR="00E60698">
        <w:rPr>
          <w:lang w:val="fr"/>
        </w:rPr>
        <w:t xml:space="preserve"> de</w:t>
      </w:r>
      <w:r w:rsidRPr="00234651">
        <w:rPr>
          <w:lang w:val="fr"/>
        </w:rPr>
        <w:t xml:space="preserve"> l'état du patient, et la gestion des urgences liées à l'équipement.  À mesure que de plus en plus de patients retournent dans nos collectivités avec </w:t>
      </w:r>
      <w:r w:rsidR="00E60698">
        <w:rPr>
          <w:lang w:val="fr"/>
        </w:rPr>
        <w:t>un</w:t>
      </w:r>
      <w:r w:rsidRPr="00234651">
        <w:rPr>
          <w:lang w:val="fr"/>
        </w:rPr>
        <w:t xml:space="preserve"> DAV, les </w:t>
      </w:r>
      <w:r w:rsidR="00E60698">
        <w:rPr>
          <w:lang w:val="fr"/>
        </w:rPr>
        <w:t>intervenant</w:t>
      </w:r>
      <w:r w:rsidRPr="00234651">
        <w:rPr>
          <w:lang w:val="fr"/>
        </w:rPr>
        <w:t xml:space="preserve">s sont bien informés dans la gestion des urgences liées aux appareils qui peuvent survenir dans cette population de patients.  Les guides de terrain spécifiques à </w:t>
      </w:r>
      <w:r w:rsidRPr="00561EA4">
        <w:rPr>
          <w:rStyle w:val="Lienhypertexte"/>
          <w:lang w:val="fr"/>
        </w:rPr>
        <w:t>l'appareil</w:t>
      </w:r>
      <w:r w:rsidR="00596467">
        <w:rPr>
          <w:rStyle w:val="Lienhypertexte"/>
          <w:lang w:val="fr"/>
        </w:rPr>
        <w:t xml:space="preserve"> </w:t>
      </w:r>
      <w:r>
        <w:rPr>
          <w:lang w:val="fr"/>
        </w:rPr>
        <w:t xml:space="preserve">peuvent être utilisés comme une ressource pour les urgences liées à la DAV et peuvent être trouvés </w:t>
      </w:r>
      <w:r w:rsidR="00D7533A">
        <w:rPr>
          <w:lang w:val="fr"/>
        </w:rPr>
        <w:t>sur</w:t>
      </w:r>
      <w:r>
        <w:rPr>
          <w:lang w:val="fr"/>
        </w:rPr>
        <w:t xml:space="preserve"> www.mylvad.com/medical-professionals/resource-library/ems-field-guides</w:t>
      </w:r>
      <w:r w:rsidRPr="00234651">
        <w:rPr>
          <w:lang w:val="fr"/>
        </w:rPr>
        <w:t>.</w:t>
      </w:r>
    </w:p>
    <w:p w14:paraId="64B8CC28" w14:textId="77777777" w:rsidR="00234651" w:rsidRDefault="00234651" w:rsidP="00234651">
      <w:pPr>
        <w:spacing w:after="0" w:line="240" w:lineRule="auto"/>
        <w:ind w:firstLine="360"/>
      </w:pPr>
    </w:p>
    <w:p w14:paraId="64B8CC29" w14:textId="451098DB" w:rsidR="00657100" w:rsidRPr="00193BAE" w:rsidRDefault="00F10393" w:rsidP="00193BAE">
      <w:pPr>
        <w:pStyle w:val="Paragraphedeliste"/>
        <w:numPr>
          <w:ilvl w:val="0"/>
          <w:numId w:val="21"/>
        </w:numPr>
      </w:pPr>
      <w:r w:rsidRPr="00F10393">
        <w:rPr>
          <w:b/>
          <w:lang w:val="fr"/>
        </w:rPr>
        <w:t>Enquête préliminaire</w:t>
      </w:r>
      <w:r w:rsidR="000634C6">
        <w:rPr>
          <w:b/>
          <w:lang w:val="fr"/>
        </w:rPr>
        <w:t xml:space="preserve"> sur les</w:t>
      </w:r>
      <w:r w:rsidRPr="00F10393">
        <w:rPr>
          <w:b/>
          <w:lang w:val="fr"/>
        </w:rPr>
        <w:t xml:space="preserve"> cliniciens civils et les directives </w:t>
      </w:r>
      <w:r w:rsidR="008A3843">
        <w:rPr>
          <w:b/>
          <w:lang w:val="fr"/>
        </w:rPr>
        <w:t xml:space="preserve">« just in time » </w:t>
      </w:r>
      <w:r w:rsidRPr="00F10393">
        <w:rPr>
          <w:b/>
          <w:lang w:val="fr"/>
        </w:rPr>
        <w:t xml:space="preserve">pour l'utilisation de </w:t>
      </w:r>
      <w:r w:rsidR="008A3843">
        <w:rPr>
          <w:b/>
          <w:lang w:val="fr"/>
        </w:rPr>
        <w:t xml:space="preserve">Garrot </w:t>
      </w:r>
      <w:r w:rsidRPr="00F10393">
        <w:rPr>
          <w:b/>
          <w:lang w:val="fr"/>
        </w:rPr>
        <w:t>Tourniquet pour « arrêter le saignement »</w:t>
      </w:r>
      <w:r w:rsidR="00657100" w:rsidRPr="00193BAE">
        <w:rPr>
          <w:b/>
          <w:lang w:val="fr"/>
        </w:rPr>
        <w:t xml:space="preserve">.  </w:t>
      </w:r>
      <w:r w:rsidR="00193BAE" w:rsidRPr="00193BAE">
        <w:rPr>
          <w:lang w:val="fr"/>
        </w:rPr>
        <w:t>Lowndes B, Law K, Abdelrahman A, et coll.  Mil Med 2019;184 (Suppl. 1):28-36.</w:t>
      </w:r>
    </w:p>
    <w:p w14:paraId="64B8CC2A" w14:textId="6C796F6D" w:rsidR="00193BAE" w:rsidRDefault="00193BAE" w:rsidP="00193BAE">
      <w:pPr>
        <w:pStyle w:val="Sansinterligne"/>
        <w:ind w:firstLine="360"/>
      </w:pPr>
      <w:r>
        <w:rPr>
          <w:lang w:val="fr"/>
        </w:rPr>
        <w:t xml:space="preserve">Le contrôle de l'hémorragie externe est un élément clé </w:t>
      </w:r>
      <w:r w:rsidR="00975389">
        <w:rPr>
          <w:lang w:val="fr"/>
        </w:rPr>
        <w:t xml:space="preserve">pour éviter les </w:t>
      </w:r>
      <w:r>
        <w:rPr>
          <w:lang w:val="fr"/>
        </w:rPr>
        <w:t>mort</w:t>
      </w:r>
      <w:r w:rsidR="00975389">
        <w:rPr>
          <w:lang w:val="fr"/>
        </w:rPr>
        <w:t>s</w:t>
      </w:r>
      <w:r>
        <w:rPr>
          <w:lang w:val="fr"/>
        </w:rPr>
        <w:t xml:space="preserve"> évitable</w:t>
      </w:r>
      <w:r w:rsidR="00975389">
        <w:rPr>
          <w:lang w:val="fr"/>
        </w:rPr>
        <w:t>s</w:t>
      </w:r>
      <w:r>
        <w:rPr>
          <w:lang w:val="fr"/>
        </w:rPr>
        <w:t xml:space="preserve"> </w:t>
      </w:r>
      <w:r w:rsidR="00C0373D">
        <w:rPr>
          <w:lang w:val="fr"/>
        </w:rPr>
        <w:t>suite à</w:t>
      </w:r>
      <w:r>
        <w:rPr>
          <w:lang w:val="fr"/>
        </w:rPr>
        <w:t xml:space="preserve"> un</w:t>
      </w:r>
      <w:r w:rsidR="00975389">
        <w:rPr>
          <w:lang w:val="fr"/>
        </w:rPr>
        <w:t xml:space="preserve"> traumatisme</w:t>
      </w:r>
      <w:r>
        <w:rPr>
          <w:lang w:val="fr"/>
        </w:rPr>
        <w:t>. L'</w:t>
      </w:r>
      <w:r w:rsidR="00C0373D">
        <w:rPr>
          <w:lang w:val="fr"/>
        </w:rPr>
        <w:t>utilisation</w:t>
      </w:r>
      <w:r>
        <w:rPr>
          <w:lang w:val="fr"/>
        </w:rPr>
        <w:t xml:space="preserve"> d</w:t>
      </w:r>
      <w:r w:rsidR="00C0373D">
        <w:rPr>
          <w:lang w:val="fr"/>
        </w:rPr>
        <w:t>u garrot</w:t>
      </w:r>
      <w:r>
        <w:rPr>
          <w:lang w:val="fr"/>
        </w:rPr>
        <w:t xml:space="preserve"> tourniquet </w:t>
      </w:r>
      <w:r w:rsidR="00D04E59">
        <w:rPr>
          <w:lang w:val="fr"/>
        </w:rPr>
        <w:t>est reconnue</w:t>
      </w:r>
      <w:r>
        <w:rPr>
          <w:lang w:val="fr"/>
        </w:rPr>
        <w:t xml:space="preserve"> </w:t>
      </w:r>
      <w:r w:rsidR="00D04E59">
        <w:rPr>
          <w:lang w:val="fr"/>
        </w:rPr>
        <w:t>comme</w:t>
      </w:r>
      <w:r>
        <w:rPr>
          <w:lang w:val="fr"/>
        </w:rPr>
        <w:t xml:space="preserve"> méthode</w:t>
      </w:r>
      <w:r w:rsidR="00143138">
        <w:rPr>
          <w:lang w:val="fr"/>
        </w:rPr>
        <w:t xml:space="preserve"> </w:t>
      </w:r>
      <w:r w:rsidR="00621723">
        <w:rPr>
          <w:lang w:val="fr"/>
        </w:rPr>
        <w:t>première pour le</w:t>
      </w:r>
      <w:r>
        <w:rPr>
          <w:lang w:val="fr"/>
        </w:rPr>
        <w:t xml:space="preserve"> contrôle de</w:t>
      </w:r>
      <w:r w:rsidR="00621723">
        <w:rPr>
          <w:lang w:val="fr"/>
        </w:rPr>
        <w:t>s</w:t>
      </w:r>
      <w:r>
        <w:rPr>
          <w:lang w:val="fr"/>
        </w:rPr>
        <w:t xml:space="preserve"> </w:t>
      </w:r>
      <w:r w:rsidR="00323EA0">
        <w:rPr>
          <w:lang w:val="fr"/>
        </w:rPr>
        <w:t>hémorragies massives</w:t>
      </w:r>
      <w:r>
        <w:rPr>
          <w:lang w:val="fr"/>
        </w:rPr>
        <w:t xml:space="preserve"> des extrémités blessées.</w:t>
      </w:r>
    </w:p>
    <w:p w14:paraId="64B8CC2B" w14:textId="5F8DECC4" w:rsidR="00193BAE" w:rsidRDefault="00193BAE" w:rsidP="00193BAE">
      <w:pPr>
        <w:pStyle w:val="Sansinterligne"/>
        <w:ind w:firstLine="360"/>
      </w:pPr>
      <w:r>
        <w:rPr>
          <w:lang w:val="fr"/>
        </w:rPr>
        <w:t xml:space="preserve">Cette publication examine l'utilisation des instructions </w:t>
      </w:r>
      <w:r w:rsidR="007E5F50">
        <w:rPr>
          <w:lang w:val="fr"/>
        </w:rPr>
        <w:t>« </w:t>
      </w:r>
      <w:r>
        <w:rPr>
          <w:lang w:val="fr"/>
        </w:rPr>
        <w:t>Ju</w:t>
      </w:r>
      <w:r w:rsidR="007E5F50">
        <w:rPr>
          <w:lang w:val="fr"/>
        </w:rPr>
        <w:t xml:space="preserve">st in time » </w:t>
      </w:r>
      <w:r>
        <w:rPr>
          <w:lang w:val="fr"/>
        </w:rPr>
        <w:t xml:space="preserve">pour l'application des </w:t>
      </w:r>
      <w:r w:rsidR="007E5F50">
        <w:rPr>
          <w:lang w:val="fr"/>
        </w:rPr>
        <w:t>garro</w:t>
      </w:r>
      <w:r>
        <w:rPr>
          <w:lang w:val="fr"/>
        </w:rPr>
        <w:t xml:space="preserve">ts à l'aide de divers </w:t>
      </w:r>
      <w:r w:rsidR="007E5F50">
        <w:rPr>
          <w:lang w:val="fr"/>
        </w:rPr>
        <w:t>outils</w:t>
      </w:r>
      <w:r>
        <w:rPr>
          <w:lang w:val="fr"/>
        </w:rPr>
        <w:t xml:space="preserve"> pédagogiques. Les </w:t>
      </w:r>
      <w:r w:rsidR="007E5F50">
        <w:rPr>
          <w:lang w:val="fr"/>
        </w:rPr>
        <w:t>aut</w:t>
      </w:r>
      <w:r>
        <w:rPr>
          <w:lang w:val="fr"/>
        </w:rPr>
        <w:t xml:space="preserve">eurs ont utilisé des résidents chirurgicaux de </w:t>
      </w:r>
      <w:r w:rsidR="008401FD">
        <w:rPr>
          <w:lang w:val="fr"/>
        </w:rPr>
        <w:t>première année</w:t>
      </w:r>
      <w:r>
        <w:rPr>
          <w:lang w:val="fr"/>
        </w:rPr>
        <w:t>, des étudiants en médecine et des boursiers de recherche</w:t>
      </w:r>
      <w:r w:rsidR="001A574C">
        <w:rPr>
          <w:lang w:val="fr"/>
        </w:rPr>
        <w:t>,</w:t>
      </w:r>
      <w:r>
        <w:rPr>
          <w:lang w:val="fr"/>
        </w:rPr>
        <w:t xml:space="preserve"> lors d'un événement éducatif.  Les groupes d'essai ont reçu un questionnaire préalable à l'inscription qui a déterminé l'étendue de la formation préalable et de l'utilisation des </w:t>
      </w:r>
      <w:r w:rsidR="00507145">
        <w:rPr>
          <w:lang w:val="fr"/>
        </w:rPr>
        <w:t>garro</w:t>
      </w:r>
      <w:r>
        <w:rPr>
          <w:lang w:val="fr"/>
        </w:rPr>
        <w:t xml:space="preserve">ts.  Au total, 30 </w:t>
      </w:r>
      <w:r w:rsidR="00873E78">
        <w:rPr>
          <w:lang w:val="fr"/>
        </w:rPr>
        <w:t>personne</w:t>
      </w:r>
      <w:r>
        <w:rPr>
          <w:lang w:val="fr"/>
        </w:rPr>
        <w:t>s ont été inscrits dans la première phase de l'étude et 20 dans la seconde.  Dans la première phase, les participants ont été randomisés en 3 groupes, chacun d'eux a utilisé une feuille d'instructions différente.  Le groupe 1</w:t>
      </w:r>
      <w:r w:rsidR="00A828CF">
        <w:rPr>
          <w:lang w:val="fr"/>
        </w:rPr>
        <w:t>,</w:t>
      </w:r>
      <w:r>
        <w:rPr>
          <w:lang w:val="fr"/>
        </w:rPr>
        <w:t xml:space="preserve"> a utilisé la feuille d'instruction du </w:t>
      </w:r>
      <w:r w:rsidR="00A828CF">
        <w:rPr>
          <w:lang w:val="fr"/>
        </w:rPr>
        <w:t xml:space="preserve">garrot </w:t>
      </w:r>
      <w:r>
        <w:rPr>
          <w:lang w:val="fr"/>
        </w:rPr>
        <w:t xml:space="preserve">tourniquet CAT (génération 7) qui est </w:t>
      </w:r>
      <w:r w:rsidR="0089053B">
        <w:rPr>
          <w:lang w:val="fr"/>
        </w:rPr>
        <w:t>contenue dans l’emballage du garrot</w:t>
      </w:r>
      <w:r>
        <w:rPr>
          <w:lang w:val="fr"/>
        </w:rPr>
        <w:t xml:space="preserve">.  Le deuxième groupe a reçu la feuille d'enseignement préparée par l'American College of Surgeons (ACS).  Le groupe trois a utilisé les directives du Département de la sécurité intérieure (DHS).  Les </w:t>
      </w:r>
      <w:r w:rsidR="00245030">
        <w:rPr>
          <w:lang w:val="fr"/>
        </w:rPr>
        <w:t>participan</w:t>
      </w:r>
      <w:r>
        <w:rPr>
          <w:lang w:val="fr"/>
        </w:rPr>
        <w:t xml:space="preserve">ts ont </w:t>
      </w:r>
      <w:r w:rsidR="00EB77A4">
        <w:rPr>
          <w:lang w:val="fr"/>
        </w:rPr>
        <w:t>eu les informations concernant le scénario</w:t>
      </w:r>
      <w:r>
        <w:rPr>
          <w:lang w:val="fr"/>
        </w:rPr>
        <w:t>,</w:t>
      </w:r>
      <w:r w:rsidR="004C4C5A">
        <w:rPr>
          <w:lang w:val="fr"/>
        </w:rPr>
        <w:t xml:space="preserve"> se sont vus</w:t>
      </w:r>
      <w:r>
        <w:rPr>
          <w:lang w:val="fr"/>
        </w:rPr>
        <w:t xml:space="preserve"> donn</w:t>
      </w:r>
      <w:r w:rsidR="004C4C5A">
        <w:rPr>
          <w:lang w:val="fr"/>
        </w:rPr>
        <w:t>er</w:t>
      </w:r>
      <w:r>
        <w:rPr>
          <w:lang w:val="fr"/>
        </w:rPr>
        <w:t xml:space="preserve"> des instructions verbales et </w:t>
      </w:r>
      <w:r w:rsidR="004C4C5A">
        <w:rPr>
          <w:lang w:val="fr"/>
        </w:rPr>
        <w:t xml:space="preserve">ont eu </w:t>
      </w:r>
      <w:r>
        <w:rPr>
          <w:lang w:val="fr"/>
        </w:rPr>
        <w:t xml:space="preserve">une occasion de poser des questions liées à la </w:t>
      </w:r>
      <w:r w:rsidR="00B04747">
        <w:rPr>
          <w:lang w:val="fr"/>
        </w:rPr>
        <w:t>situation</w:t>
      </w:r>
      <w:r>
        <w:rPr>
          <w:lang w:val="fr"/>
        </w:rPr>
        <w:t xml:space="preserve"> avant de commencer.  La simulation </w:t>
      </w:r>
      <w:r w:rsidR="00637A4E">
        <w:rPr>
          <w:lang w:val="fr"/>
        </w:rPr>
        <w:t>a été réalisée à l’aide d</w:t>
      </w:r>
      <w:r>
        <w:rPr>
          <w:lang w:val="fr"/>
        </w:rPr>
        <w:t>'un</w:t>
      </w:r>
      <w:r w:rsidR="00A60AC1">
        <w:rPr>
          <w:lang w:val="fr"/>
        </w:rPr>
        <w:t>e jambe de mannequin</w:t>
      </w:r>
      <w:r>
        <w:rPr>
          <w:lang w:val="fr"/>
        </w:rPr>
        <w:t xml:space="preserve"> avec une blessure simul</w:t>
      </w:r>
      <w:r w:rsidR="00A60AC1">
        <w:rPr>
          <w:lang w:val="fr"/>
        </w:rPr>
        <w:t xml:space="preserve">ant une </w:t>
      </w:r>
      <w:r>
        <w:rPr>
          <w:lang w:val="fr"/>
        </w:rPr>
        <w:t>hémorragie.  Situé à côté du mannequin</w:t>
      </w:r>
      <w:r w:rsidR="00A60AC1">
        <w:rPr>
          <w:lang w:val="fr"/>
        </w:rPr>
        <w:t>,</w:t>
      </w:r>
      <w:r>
        <w:rPr>
          <w:lang w:val="fr"/>
        </w:rPr>
        <w:t xml:space="preserve"> </w:t>
      </w:r>
      <w:r w:rsidR="00A60AC1">
        <w:rPr>
          <w:lang w:val="fr"/>
        </w:rPr>
        <w:t>se trouvait</w:t>
      </w:r>
      <w:r>
        <w:rPr>
          <w:lang w:val="fr"/>
        </w:rPr>
        <w:t xml:space="preserve"> un</w:t>
      </w:r>
      <w:r w:rsidR="00A60AC1">
        <w:rPr>
          <w:lang w:val="fr"/>
        </w:rPr>
        <w:t xml:space="preserve"> garrot </w:t>
      </w:r>
      <w:r>
        <w:rPr>
          <w:lang w:val="fr"/>
        </w:rPr>
        <w:t>tourniquet CAT-7, un ensemble d'instructions appropriées pour le groupe particulier, et un marqueur pour indiquer l'heure de l'application.   Avant la deuxième phase de l'étude, l'ACS a modifié ses feuilles d'enseignement.  La deuxième cohorte a été divisée en deux groupes, le premier utilisant l'ensemble d'instruction original et le second le nouveau</w:t>
      </w:r>
      <w:r w:rsidR="00B243B9">
        <w:rPr>
          <w:lang w:val="fr"/>
        </w:rPr>
        <w:t>,</w:t>
      </w:r>
      <w:r>
        <w:rPr>
          <w:lang w:val="fr"/>
        </w:rPr>
        <w:t xml:space="preserve"> révisé.  </w:t>
      </w:r>
    </w:p>
    <w:p w14:paraId="64B8CC2C" w14:textId="2F4F9D51" w:rsidR="00193BAE" w:rsidRDefault="00193BAE" w:rsidP="00193BAE">
      <w:pPr>
        <w:pStyle w:val="Sansinterligne"/>
        <w:ind w:firstLine="360"/>
      </w:pPr>
      <w:r>
        <w:rPr>
          <w:lang w:val="fr"/>
        </w:rPr>
        <w:t>L'analyse de la première cohorte a montré que dans les</w:t>
      </w:r>
      <w:r w:rsidR="00907E7D">
        <w:rPr>
          <w:lang w:val="fr"/>
        </w:rPr>
        <w:t xml:space="preserve"> autant les </w:t>
      </w:r>
      <w:r>
        <w:rPr>
          <w:lang w:val="fr"/>
        </w:rPr>
        <w:t>participants qui avaient</w:t>
      </w:r>
      <w:r w:rsidR="00907E7D">
        <w:rPr>
          <w:lang w:val="fr"/>
        </w:rPr>
        <w:t xml:space="preserve"> eu</w:t>
      </w:r>
      <w:r>
        <w:rPr>
          <w:lang w:val="fr"/>
        </w:rPr>
        <w:t xml:space="preserve"> une formation préalable</w:t>
      </w:r>
      <w:r w:rsidR="00907E7D">
        <w:rPr>
          <w:lang w:val="fr"/>
        </w:rPr>
        <w:t xml:space="preserve"> </w:t>
      </w:r>
      <w:r w:rsidR="000A1026">
        <w:rPr>
          <w:lang w:val="fr"/>
        </w:rPr>
        <w:t>à</w:t>
      </w:r>
      <w:r w:rsidR="00907E7D">
        <w:rPr>
          <w:lang w:val="fr"/>
        </w:rPr>
        <w:t xml:space="preserve"> la pose du </w:t>
      </w:r>
      <w:r>
        <w:rPr>
          <w:lang w:val="fr"/>
        </w:rPr>
        <w:t xml:space="preserve">tourniquet ainsi que ceux qui n'étaient pas formés, la feuille d'instruction ACS </w:t>
      </w:r>
      <w:r w:rsidR="00FF7544">
        <w:rPr>
          <w:lang w:val="fr"/>
        </w:rPr>
        <w:t>avait les meilleurs résultats</w:t>
      </w:r>
      <w:r w:rsidR="002074BE">
        <w:rPr>
          <w:lang w:val="fr"/>
        </w:rPr>
        <w:t xml:space="preserve"> avec </w:t>
      </w:r>
      <w:r>
        <w:rPr>
          <w:lang w:val="fr"/>
        </w:rPr>
        <w:t>une moyenne</w:t>
      </w:r>
      <w:r w:rsidR="002074BE">
        <w:rPr>
          <w:lang w:val="fr"/>
        </w:rPr>
        <w:t xml:space="preserve"> de pose</w:t>
      </w:r>
      <w:r>
        <w:rPr>
          <w:lang w:val="fr"/>
        </w:rPr>
        <w:t xml:space="preserve"> </w:t>
      </w:r>
      <w:r w:rsidR="00062CBC">
        <w:rPr>
          <w:lang w:val="fr"/>
        </w:rPr>
        <w:t xml:space="preserve">efficace </w:t>
      </w:r>
      <w:r>
        <w:rPr>
          <w:lang w:val="fr"/>
        </w:rPr>
        <w:t xml:space="preserve">de 70 secondes.  Ceci a été suivi par la feuille de DHS </w:t>
      </w:r>
      <w:r w:rsidR="007C6AF7">
        <w:rPr>
          <w:lang w:val="fr"/>
        </w:rPr>
        <w:t>avec</w:t>
      </w:r>
      <w:r>
        <w:rPr>
          <w:lang w:val="fr"/>
        </w:rPr>
        <w:t xml:space="preserve"> 105 secondes et enfin les instructions incluses de CAT-7 à 137 secondes.  La feuille ACS a également connu un </w:t>
      </w:r>
      <w:r w:rsidR="0080199D">
        <w:rPr>
          <w:lang w:val="fr"/>
        </w:rPr>
        <w:t>taux d’</w:t>
      </w:r>
      <w:r>
        <w:rPr>
          <w:lang w:val="fr"/>
        </w:rPr>
        <w:t>échec</w:t>
      </w:r>
      <w:r w:rsidR="0080199D">
        <w:rPr>
          <w:lang w:val="fr"/>
        </w:rPr>
        <w:t xml:space="preserve"> </w:t>
      </w:r>
      <w:r>
        <w:rPr>
          <w:lang w:val="fr"/>
        </w:rPr>
        <w:t>nettement inférieur</w:t>
      </w:r>
      <w:r w:rsidR="0080199D">
        <w:rPr>
          <w:lang w:val="fr"/>
        </w:rPr>
        <w:t>,</w:t>
      </w:r>
      <w:r>
        <w:rPr>
          <w:lang w:val="fr"/>
        </w:rPr>
        <w:t xml:space="preserve"> sur les 10 étapes de l'application du tourniquet évaluées dans l'étude.  Les sujets de la deuxième phase de l'étude ont </w:t>
      </w:r>
      <w:r w:rsidR="009F5735">
        <w:rPr>
          <w:lang w:val="fr"/>
        </w:rPr>
        <w:t>nécessité</w:t>
      </w:r>
      <w:r>
        <w:rPr>
          <w:lang w:val="fr"/>
        </w:rPr>
        <w:t xml:space="preserve"> un temps d'application moyen plus faible en utilisant les instructions ACS version 2 (73 secs.) </w:t>
      </w:r>
      <w:r w:rsidR="00C9544E">
        <w:rPr>
          <w:lang w:val="fr"/>
        </w:rPr>
        <w:t>par rapport à l’</w:t>
      </w:r>
      <w:r>
        <w:rPr>
          <w:lang w:val="fr"/>
        </w:rPr>
        <w:t>ACS version 1 (89 secs).  Cependant, les deux temps ont été plus longs que ceux enregistrés à l'aide des instructions ACS version 1 dans la première phase de l'étude.</w:t>
      </w:r>
    </w:p>
    <w:p w14:paraId="64B8CC2D" w14:textId="6D906164" w:rsidR="00193BAE" w:rsidRDefault="00193BAE" w:rsidP="00193BAE">
      <w:pPr>
        <w:pStyle w:val="Sansinterligne"/>
        <w:ind w:firstLine="360"/>
      </w:pPr>
      <w:r>
        <w:rPr>
          <w:lang w:val="fr"/>
        </w:rPr>
        <w:t>L'expérience militaire et l</w:t>
      </w:r>
      <w:r w:rsidR="00BC012A">
        <w:rPr>
          <w:lang w:val="fr"/>
        </w:rPr>
        <w:t>a déclinaison</w:t>
      </w:r>
      <w:r>
        <w:rPr>
          <w:lang w:val="fr"/>
        </w:rPr>
        <w:t xml:space="preserve"> civile subséquente</w:t>
      </w:r>
      <w:r w:rsidR="00E12909">
        <w:rPr>
          <w:lang w:val="fr"/>
        </w:rPr>
        <w:t>,</w:t>
      </w:r>
      <w:r>
        <w:rPr>
          <w:lang w:val="fr"/>
        </w:rPr>
        <w:t xml:space="preserve"> ont clairement démontré que l'application rapide et correcte des </w:t>
      </w:r>
      <w:r w:rsidR="005A0718">
        <w:rPr>
          <w:lang w:val="fr"/>
        </w:rPr>
        <w:t xml:space="preserve">garrots </w:t>
      </w:r>
      <w:r>
        <w:rPr>
          <w:lang w:val="fr"/>
        </w:rPr>
        <w:t xml:space="preserve">tourniquets donne au patient </w:t>
      </w:r>
      <w:r w:rsidR="005A0718">
        <w:rPr>
          <w:lang w:val="fr"/>
        </w:rPr>
        <w:t>souffrant d</w:t>
      </w:r>
      <w:r>
        <w:rPr>
          <w:lang w:val="fr"/>
        </w:rPr>
        <w:t xml:space="preserve">'hémorragie </w:t>
      </w:r>
      <w:r w:rsidR="001F7855">
        <w:rPr>
          <w:lang w:val="fr"/>
        </w:rPr>
        <w:lastRenderedPageBreak/>
        <w:t>massive,</w:t>
      </w:r>
      <w:r>
        <w:rPr>
          <w:lang w:val="fr"/>
        </w:rPr>
        <w:t xml:space="preserve"> d'une extrémité la meilleure chance possible de survie.  Cette étude a démontré que les instructions ACS (version</w:t>
      </w:r>
      <w:r w:rsidR="001F7855">
        <w:rPr>
          <w:lang w:val="fr"/>
        </w:rPr>
        <w:t xml:space="preserve"> 1</w:t>
      </w:r>
      <w:r>
        <w:rPr>
          <w:lang w:val="fr"/>
        </w:rPr>
        <w:t xml:space="preserve"> et 2) </w:t>
      </w:r>
      <w:r w:rsidR="00281C61">
        <w:rPr>
          <w:lang w:val="fr"/>
        </w:rPr>
        <w:t>permettai</w:t>
      </w:r>
      <w:r w:rsidR="007E579F">
        <w:rPr>
          <w:lang w:val="fr"/>
        </w:rPr>
        <w:t>en</w:t>
      </w:r>
      <w:r>
        <w:rPr>
          <w:lang w:val="fr"/>
        </w:rPr>
        <w:t xml:space="preserve">t un temps d'application plus rapide et </w:t>
      </w:r>
      <w:r w:rsidR="007E579F">
        <w:rPr>
          <w:lang w:val="fr"/>
        </w:rPr>
        <w:t>avec</w:t>
      </w:r>
      <w:r>
        <w:rPr>
          <w:lang w:val="fr"/>
        </w:rPr>
        <w:t xml:space="preserve"> moins</w:t>
      </w:r>
      <w:r w:rsidR="007E579F">
        <w:rPr>
          <w:lang w:val="fr"/>
        </w:rPr>
        <w:t xml:space="preserve"> d’erreurs techniques</w:t>
      </w:r>
      <w:r w:rsidR="00AD016A">
        <w:rPr>
          <w:lang w:val="fr"/>
        </w:rPr>
        <w:t>,</w:t>
      </w:r>
      <w:r>
        <w:rPr>
          <w:lang w:val="fr"/>
        </w:rPr>
        <w:t xml:space="preserve"> que les instructions du DHS ou les instructions incluses </w:t>
      </w:r>
      <w:r w:rsidR="00AD016A">
        <w:rPr>
          <w:lang w:val="fr"/>
        </w:rPr>
        <w:t>par le</w:t>
      </w:r>
      <w:r>
        <w:rPr>
          <w:lang w:val="fr"/>
        </w:rPr>
        <w:t xml:space="preserve"> fabricant.  Les feuilles ACS étaient principalement une représentation picturale avec </w:t>
      </w:r>
      <w:r w:rsidR="00E65F1A">
        <w:rPr>
          <w:lang w:val="fr"/>
        </w:rPr>
        <w:t>seulement des</w:t>
      </w:r>
      <w:r>
        <w:rPr>
          <w:lang w:val="fr"/>
        </w:rPr>
        <w:t xml:space="preserve"> mots clés </w:t>
      </w:r>
      <w:r w:rsidR="00E65F1A">
        <w:rPr>
          <w:lang w:val="fr"/>
        </w:rPr>
        <w:t>et</w:t>
      </w:r>
      <w:r>
        <w:rPr>
          <w:lang w:val="fr"/>
        </w:rPr>
        <w:t xml:space="preserve"> de</w:t>
      </w:r>
      <w:r w:rsidR="00E65F1A">
        <w:rPr>
          <w:lang w:val="fr"/>
        </w:rPr>
        <w:t>s</w:t>
      </w:r>
      <w:r>
        <w:rPr>
          <w:lang w:val="fr"/>
        </w:rPr>
        <w:t xml:space="preserve"> repères.  La feuille DHS et les instructions du fabricant sont une combinaison pictural</w:t>
      </w:r>
      <w:r w:rsidR="00600D52">
        <w:rPr>
          <w:lang w:val="fr"/>
        </w:rPr>
        <w:t>e</w:t>
      </w:r>
      <w:r>
        <w:rPr>
          <w:lang w:val="fr"/>
        </w:rPr>
        <w:t xml:space="preserve"> et </w:t>
      </w:r>
      <w:r w:rsidR="00600D52">
        <w:rPr>
          <w:lang w:val="fr"/>
        </w:rPr>
        <w:t>textuelle</w:t>
      </w:r>
      <w:r>
        <w:rPr>
          <w:lang w:val="fr"/>
        </w:rPr>
        <w:t>.</w:t>
      </w:r>
    </w:p>
    <w:p w14:paraId="64B8CC2E" w14:textId="4D73277B" w:rsidR="00193BAE" w:rsidRDefault="00193BAE" w:rsidP="00193BAE">
      <w:pPr>
        <w:pStyle w:val="Sansinterligne"/>
        <w:ind w:firstLine="360"/>
      </w:pPr>
      <w:r>
        <w:rPr>
          <w:lang w:val="fr"/>
        </w:rPr>
        <w:t>L'étude comporte certaines limites majeures en ce qui concerne son applicabilité à la population civile en général.  D'abord, les sujets, qu'ils aient ou non eu une expérience préalable avec l'application de tourniquet, n'en étaient pas moins formés médicalement (étudiants en médecine, résidents chirurgicaux ou boursiers).  Leur connaissance avancée de l'anatomie et de la physiologie des saignements</w:t>
      </w:r>
      <w:r w:rsidR="00793B13">
        <w:rPr>
          <w:lang w:val="fr"/>
        </w:rPr>
        <w:t>,</w:t>
      </w:r>
      <w:r>
        <w:rPr>
          <w:lang w:val="fr"/>
        </w:rPr>
        <w:t xml:space="preserve"> combinée à leur capacité de lire, de comprendre et d'accomplir des tâches médicales</w:t>
      </w:r>
      <w:r w:rsidR="00A07D72">
        <w:rPr>
          <w:lang w:val="fr"/>
        </w:rPr>
        <w:t>,</w:t>
      </w:r>
      <w:r>
        <w:rPr>
          <w:lang w:val="fr"/>
        </w:rPr>
        <w:t xml:space="preserve"> les différencie de la plupart de la population non formée médicalement.  La simulation utilisée au cours de l'étude n'incluait pas le point final réel prévu de l'arrêt du saignement simulé parce que le mannequin utilisé ne pouvait pas simuler l'occlusion de l'extrémité et donc la cessation des saignements.  </w:t>
      </w:r>
    </w:p>
    <w:p w14:paraId="64B8CC2F" w14:textId="34DB9C6B" w:rsidR="00943813" w:rsidRPr="00BD171A" w:rsidRDefault="00193BAE" w:rsidP="00193BAE">
      <w:pPr>
        <w:pStyle w:val="Sansinterligne"/>
        <w:ind w:firstLine="360"/>
      </w:pPr>
      <w:r>
        <w:rPr>
          <w:lang w:val="fr"/>
        </w:rPr>
        <w:t xml:space="preserve">Le développement des meilleures instructions possibles d'application de tourniquet </w:t>
      </w:r>
      <w:r w:rsidR="0048528A">
        <w:rPr>
          <w:lang w:val="fr"/>
        </w:rPr>
        <w:t>« </w:t>
      </w:r>
      <w:r w:rsidR="008F4BBD">
        <w:rPr>
          <w:lang w:val="fr"/>
        </w:rPr>
        <w:t>just in time »</w:t>
      </w:r>
      <w:r>
        <w:rPr>
          <w:lang w:val="fr"/>
        </w:rPr>
        <w:t xml:space="preserve">, particulièrement pour les individus non médicalement formés, est impératif </w:t>
      </w:r>
      <w:r w:rsidR="00177CA3">
        <w:rPr>
          <w:lang w:val="fr"/>
        </w:rPr>
        <w:t>pour la pr</w:t>
      </w:r>
      <w:r w:rsidR="00D3627B">
        <w:rPr>
          <w:lang w:val="fr"/>
        </w:rPr>
        <w:t>ise en charge des hémorragies massives des extrémités</w:t>
      </w:r>
      <w:r>
        <w:rPr>
          <w:lang w:val="fr"/>
        </w:rPr>
        <w:t>. Cette étude a montré que</w:t>
      </w:r>
      <w:r w:rsidR="00A531D0">
        <w:rPr>
          <w:lang w:val="fr"/>
        </w:rPr>
        <w:t>,</w:t>
      </w:r>
      <w:r>
        <w:rPr>
          <w:lang w:val="fr"/>
        </w:rPr>
        <w:t xml:space="preserve"> même les individus médicalement </w:t>
      </w:r>
      <w:r w:rsidR="00E7787B">
        <w:rPr>
          <w:lang w:val="fr"/>
        </w:rPr>
        <w:t>édu</w:t>
      </w:r>
      <w:r w:rsidR="00F504AB">
        <w:rPr>
          <w:lang w:val="fr"/>
        </w:rPr>
        <w:t>qu</w:t>
      </w:r>
      <w:r>
        <w:rPr>
          <w:lang w:val="fr"/>
        </w:rPr>
        <w:t>és mais inexpérimentés</w:t>
      </w:r>
      <w:r w:rsidR="00F504AB">
        <w:rPr>
          <w:lang w:val="fr"/>
        </w:rPr>
        <w:t>,</w:t>
      </w:r>
      <w:r>
        <w:rPr>
          <w:lang w:val="fr"/>
        </w:rPr>
        <w:t xml:space="preserve"> </w:t>
      </w:r>
      <w:r w:rsidR="00F222B7">
        <w:rPr>
          <w:lang w:val="fr"/>
        </w:rPr>
        <w:t>éprouvent des</w:t>
      </w:r>
      <w:r>
        <w:rPr>
          <w:lang w:val="fr"/>
        </w:rPr>
        <w:t xml:space="preserve"> difficulté</w:t>
      </w:r>
      <w:r w:rsidR="006827FB">
        <w:rPr>
          <w:lang w:val="fr"/>
        </w:rPr>
        <w:t>s</w:t>
      </w:r>
      <w:r>
        <w:rPr>
          <w:lang w:val="fr"/>
        </w:rPr>
        <w:t xml:space="preserve"> </w:t>
      </w:r>
      <w:r w:rsidR="00F222B7">
        <w:rPr>
          <w:lang w:val="fr"/>
        </w:rPr>
        <w:t>à poser efficacement un garrot</w:t>
      </w:r>
      <w:r>
        <w:rPr>
          <w:lang w:val="fr"/>
        </w:rPr>
        <w:t xml:space="preserve"> tourniquet</w:t>
      </w:r>
      <w:r w:rsidR="00F222B7">
        <w:rPr>
          <w:lang w:val="fr"/>
        </w:rPr>
        <w:t xml:space="preserve">, </w:t>
      </w:r>
      <w:r>
        <w:rPr>
          <w:lang w:val="fr"/>
        </w:rPr>
        <w:t>utilisant les direc</w:t>
      </w:r>
      <w:r w:rsidR="00F222B7">
        <w:rPr>
          <w:lang w:val="fr"/>
        </w:rPr>
        <w:t>tive</w:t>
      </w:r>
      <w:r>
        <w:rPr>
          <w:lang w:val="fr"/>
        </w:rPr>
        <w:t xml:space="preserve">s existantes </w:t>
      </w:r>
      <w:r w:rsidR="00F222B7">
        <w:rPr>
          <w:lang w:val="fr"/>
        </w:rPr>
        <w:t xml:space="preserve">du </w:t>
      </w:r>
      <w:r>
        <w:rPr>
          <w:lang w:val="fr"/>
        </w:rPr>
        <w:t xml:space="preserve">guide </w:t>
      </w:r>
      <w:r w:rsidR="00F222B7">
        <w:rPr>
          <w:lang w:val="fr"/>
        </w:rPr>
        <w:t>« just in time »</w:t>
      </w:r>
      <w:r>
        <w:rPr>
          <w:lang w:val="fr"/>
        </w:rPr>
        <w:t>.  Bien qu'elle ne soit pas une composante de cette étude, elle appuie la recommandation selon laquelle la formation pratique et l'éducation sont nécessaires. Ce</w:t>
      </w:r>
      <w:r w:rsidR="000A230C">
        <w:rPr>
          <w:lang w:val="fr"/>
        </w:rPr>
        <w:t xml:space="preserve"> travail</w:t>
      </w:r>
      <w:r>
        <w:rPr>
          <w:lang w:val="fr"/>
        </w:rPr>
        <w:t xml:space="preserve"> peut fournir une feuille de route pour les études futures qui impliquent des sujets non formés médicalement.  Enfin, </w:t>
      </w:r>
      <w:r w:rsidR="006827FB">
        <w:rPr>
          <w:lang w:val="fr"/>
        </w:rPr>
        <w:t xml:space="preserve">pour </w:t>
      </w:r>
      <w:r>
        <w:rPr>
          <w:lang w:val="fr"/>
        </w:rPr>
        <w:t xml:space="preserve">une plus grande fidélité, </w:t>
      </w:r>
      <w:r w:rsidR="006827FB">
        <w:rPr>
          <w:lang w:val="fr"/>
        </w:rPr>
        <w:t xml:space="preserve">des </w:t>
      </w:r>
      <w:r>
        <w:rPr>
          <w:lang w:val="fr"/>
        </w:rPr>
        <w:t>mannequins peu coûteux qui permettent la mesure de la perte de sang et l'arrêt des saignements d</w:t>
      </w:r>
      <w:r w:rsidR="009B56A5">
        <w:rPr>
          <w:lang w:val="fr"/>
        </w:rPr>
        <w:t>es</w:t>
      </w:r>
      <w:r>
        <w:rPr>
          <w:lang w:val="fr"/>
        </w:rPr>
        <w:t xml:space="preserve"> extrémité</w:t>
      </w:r>
      <w:r w:rsidR="009B56A5">
        <w:rPr>
          <w:lang w:val="fr"/>
        </w:rPr>
        <w:t>s,</w:t>
      </w:r>
      <w:r>
        <w:rPr>
          <w:lang w:val="fr"/>
        </w:rPr>
        <w:t xml:space="preserve"> devrai</w:t>
      </w:r>
      <w:r w:rsidR="006827FB">
        <w:rPr>
          <w:lang w:val="fr"/>
        </w:rPr>
        <w:t>en</w:t>
      </w:r>
      <w:r>
        <w:rPr>
          <w:lang w:val="fr"/>
        </w:rPr>
        <w:t>t être développé</w:t>
      </w:r>
      <w:r w:rsidR="006827FB">
        <w:rPr>
          <w:lang w:val="fr"/>
        </w:rPr>
        <w:t>s</w:t>
      </w:r>
      <w:r>
        <w:rPr>
          <w:lang w:val="fr"/>
        </w:rPr>
        <w:t xml:space="preserve"> et utilisé</w:t>
      </w:r>
      <w:r w:rsidR="006827FB">
        <w:rPr>
          <w:lang w:val="fr"/>
        </w:rPr>
        <w:t>s</w:t>
      </w:r>
      <w:r>
        <w:rPr>
          <w:lang w:val="fr"/>
        </w:rPr>
        <w:t xml:space="preserve">.  </w:t>
      </w:r>
    </w:p>
    <w:sectPr w:rsidR="00943813" w:rsidRPr="00BD17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D6ED" w14:textId="77777777" w:rsidR="00FA52B1" w:rsidRDefault="00FA52B1" w:rsidP="00CC1ECE">
      <w:pPr>
        <w:spacing w:after="0" w:line="240" w:lineRule="auto"/>
      </w:pPr>
      <w:r>
        <w:rPr>
          <w:lang w:val="fr"/>
        </w:rPr>
        <w:separator/>
      </w:r>
    </w:p>
  </w:endnote>
  <w:endnote w:type="continuationSeparator" w:id="0">
    <w:p w14:paraId="4E6943E3" w14:textId="77777777" w:rsidR="00FA52B1" w:rsidRDefault="00FA52B1" w:rsidP="00CC1ECE">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CC3A" w14:textId="77777777" w:rsidR="00EC556A" w:rsidRPr="00CC0C6C" w:rsidRDefault="00EC556A" w:rsidP="00EC556A">
    <w:pPr>
      <w:pStyle w:val="Pieddepage"/>
      <w:jc w:val="center"/>
      <w:rPr>
        <w:b/>
      </w:rPr>
    </w:pPr>
    <w:r w:rsidRPr="00CC0C6C">
      <w:rPr>
        <w:b/>
        <w:lang w:val="fr"/>
      </w:rPr>
      <w:t>www.IPHMI.com</w:t>
    </w:r>
  </w:p>
  <w:p w14:paraId="64B8CC3B" w14:textId="77777777" w:rsidR="00EC556A" w:rsidRDefault="00EC55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EC3ED" w14:textId="77777777" w:rsidR="00FA52B1" w:rsidRDefault="00FA52B1" w:rsidP="00CC1ECE">
      <w:pPr>
        <w:spacing w:after="0" w:line="240" w:lineRule="auto"/>
      </w:pPr>
      <w:r>
        <w:rPr>
          <w:lang w:val="fr"/>
        </w:rPr>
        <w:separator/>
      </w:r>
    </w:p>
  </w:footnote>
  <w:footnote w:type="continuationSeparator" w:id="0">
    <w:p w14:paraId="7C2B5CE9" w14:textId="77777777" w:rsidR="00FA52B1" w:rsidRDefault="00FA52B1" w:rsidP="00CC1ECE">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CC38" w14:textId="77777777" w:rsidR="00EC556A" w:rsidRPr="00CC0C6C" w:rsidRDefault="00EC556A" w:rsidP="00EC556A">
    <w:pPr>
      <w:pStyle w:val="En-tte"/>
      <w:jc w:val="center"/>
      <w:rPr>
        <w:b/>
        <w:i/>
        <w:sz w:val="36"/>
        <w:u w:val="single"/>
      </w:rPr>
    </w:pPr>
    <w:r w:rsidRPr="00CC0C6C">
      <w:rPr>
        <w:b/>
        <w:i/>
        <w:sz w:val="36"/>
        <w:u w:val="single"/>
        <w:lang w:val="fr"/>
      </w:rPr>
      <w:t>Institut international de médecine préhospitalière</w:t>
    </w:r>
  </w:p>
  <w:p w14:paraId="64B8CC39" w14:textId="77777777" w:rsidR="00EC556A" w:rsidRDefault="00EC55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2CC"/>
    <w:multiLevelType w:val="hybridMultilevel"/>
    <w:tmpl w:val="6A9C547A"/>
    <w:lvl w:ilvl="0" w:tplc="7D9E92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05C02"/>
    <w:multiLevelType w:val="hybridMultilevel"/>
    <w:tmpl w:val="C32A9CBA"/>
    <w:lvl w:ilvl="0" w:tplc="9C1433B6">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52265C"/>
    <w:multiLevelType w:val="hybridMultilevel"/>
    <w:tmpl w:val="BF88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C3535"/>
    <w:multiLevelType w:val="hybridMultilevel"/>
    <w:tmpl w:val="B302DC22"/>
    <w:lvl w:ilvl="0" w:tplc="C346EE3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C49AA"/>
    <w:multiLevelType w:val="hybridMultilevel"/>
    <w:tmpl w:val="675ED7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962C4E"/>
    <w:multiLevelType w:val="hybridMultilevel"/>
    <w:tmpl w:val="D8E41C98"/>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3007C"/>
    <w:multiLevelType w:val="hybridMultilevel"/>
    <w:tmpl w:val="A6EE6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1334D"/>
    <w:multiLevelType w:val="hybridMultilevel"/>
    <w:tmpl w:val="7090A6F4"/>
    <w:lvl w:ilvl="0" w:tplc="46B4C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A4A04"/>
    <w:multiLevelType w:val="hybridMultilevel"/>
    <w:tmpl w:val="987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4000F"/>
    <w:multiLevelType w:val="hybridMultilevel"/>
    <w:tmpl w:val="E1AA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260D0"/>
    <w:multiLevelType w:val="hybridMultilevel"/>
    <w:tmpl w:val="992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72D19"/>
    <w:multiLevelType w:val="hybridMultilevel"/>
    <w:tmpl w:val="F0F45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BE06F7"/>
    <w:multiLevelType w:val="hybridMultilevel"/>
    <w:tmpl w:val="58284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C78A5"/>
    <w:multiLevelType w:val="hybridMultilevel"/>
    <w:tmpl w:val="98DEE2CC"/>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5"/>
  </w:num>
  <w:num w:numId="3">
    <w:abstractNumId w:val="14"/>
  </w:num>
  <w:num w:numId="4">
    <w:abstractNumId w:val="21"/>
  </w:num>
  <w:num w:numId="5">
    <w:abstractNumId w:val="4"/>
  </w:num>
  <w:num w:numId="6">
    <w:abstractNumId w:val="18"/>
  </w:num>
  <w:num w:numId="7">
    <w:abstractNumId w:val="19"/>
  </w:num>
  <w:num w:numId="8">
    <w:abstractNumId w:val="3"/>
  </w:num>
  <w:num w:numId="9">
    <w:abstractNumId w:val="22"/>
  </w:num>
  <w:num w:numId="10">
    <w:abstractNumId w:val="17"/>
  </w:num>
  <w:num w:numId="11">
    <w:abstractNumId w:val="0"/>
  </w:num>
  <w:num w:numId="12">
    <w:abstractNumId w:val="5"/>
  </w:num>
  <w:num w:numId="13">
    <w:abstractNumId w:val="8"/>
  </w:num>
  <w:num w:numId="14">
    <w:abstractNumId w:val="6"/>
  </w:num>
  <w:num w:numId="15">
    <w:abstractNumId w:val="16"/>
  </w:num>
  <w:num w:numId="16">
    <w:abstractNumId w:val="1"/>
  </w:num>
  <w:num w:numId="17">
    <w:abstractNumId w:val="9"/>
  </w:num>
  <w:num w:numId="18">
    <w:abstractNumId w:val="10"/>
  </w:num>
  <w:num w:numId="19">
    <w:abstractNumId w:val="11"/>
  </w:num>
  <w:num w:numId="20">
    <w:abstractNumId w:val="13"/>
  </w:num>
  <w:num w:numId="21">
    <w:abstractNumId w:val="20"/>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B7"/>
    <w:rsid w:val="00000FEC"/>
    <w:rsid w:val="00027BE0"/>
    <w:rsid w:val="00030EC9"/>
    <w:rsid w:val="00046471"/>
    <w:rsid w:val="00053DC7"/>
    <w:rsid w:val="000570B9"/>
    <w:rsid w:val="000578D2"/>
    <w:rsid w:val="00062CBC"/>
    <w:rsid w:val="000634C6"/>
    <w:rsid w:val="0008264E"/>
    <w:rsid w:val="00096298"/>
    <w:rsid w:val="000A1026"/>
    <w:rsid w:val="000A230C"/>
    <w:rsid w:val="000A39D8"/>
    <w:rsid w:val="000B2DC9"/>
    <w:rsid w:val="000B5810"/>
    <w:rsid w:val="000E1EEE"/>
    <w:rsid w:val="000E31F8"/>
    <w:rsid w:val="000E472B"/>
    <w:rsid w:val="00111790"/>
    <w:rsid w:val="0012112A"/>
    <w:rsid w:val="00122295"/>
    <w:rsid w:val="00123F99"/>
    <w:rsid w:val="00140B7F"/>
    <w:rsid w:val="00143138"/>
    <w:rsid w:val="001465D4"/>
    <w:rsid w:val="00146824"/>
    <w:rsid w:val="00177CA3"/>
    <w:rsid w:val="00193BAE"/>
    <w:rsid w:val="00194273"/>
    <w:rsid w:val="001A2AF5"/>
    <w:rsid w:val="001A574C"/>
    <w:rsid w:val="001A689E"/>
    <w:rsid w:val="001C1236"/>
    <w:rsid w:val="001F2B07"/>
    <w:rsid w:val="001F7855"/>
    <w:rsid w:val="001F7C77"/>
    <w:rsid w:val="002074BE"/>
    <w:rsid w:val="00212D40"/>
    <w:rsid w:val="00221F53"/>
    <w:rsid w:val="00234651"/>
    <w:rsid w:val="00235250"/>
    <w:rsid w:val="00241747"/>
    <w:rsid w:val="0024264F"/>
    <w:rsid w:val="00245030"/>
    <w:rsid w:val="002573A0"/>
    <w:rsid w:val="00264FDA"/>
    <w:rsid w:val="00265933"/>
    <w:rsid w:val="002674E7"/>
    <w:rsid w:val="00273075"/>
    <w:rsid w:val="002736F8"/>
    <w:rsid w:val="00281AA8"/>
    <w:rsid w:val="00281C61"/>
    <w:rsid w:val="002910C5"/>
    <w:rsid w:val="002A1716"/>
    <w:rsid w:val="002A448D"/>
    <w:rsid w:val="002B678A"/>
    <w:rsid w:val="002D385C"/>
    <w:rsid w:val="002D3C0D"/>
    <w:rsid w:val="002E53B4"/>
    <w:rsid w:val="003036D2"/>
    <w:rsid w:val="00310156"/>
    <w:rsid w:val="00323EA0"/>
    <w:rsid w:val="003331AA"/>
    <w:rsid w:val="00341763"/>
    <w:rsid w:val="00362F86"/>
    <w:rsid w:val="00363F26"/>
    <w:rsid w:val="003675D8"/>
    <w:rsid w:val="0037405C"/>
    <w:rsid w:val="003800B3"/>
    <w:rsid w:val="00381061"/>
    <w:rsid w:val="00392C1F"/>
    <w:rsid w:val="003B7857"/>
    <w:rsid w:val="003C6C1F"/>
    <w:rsid w:val="003D5D26"/>
    <w:rsid w:val="003E7986"/>
    <w:rsid w:val="003F4BB7"/>
    <w:rsid w:val="003F593C"/>
    <w:rsid w:val="00404F6F"/>
    <w:rsid w:val="0041124D"/>
    <w:rsid w:val="00424314"/>
    <w:rsid w:val="00435E50"/>
    <w:rsid w:val="0048381A"/>
    <w:rsid w:val="0048528A"/>
    <w:rsid w:val="0048528E"/>
    <w:rsid w:val="0048575A"/>
    <w:rsid w:val="00491D24"/>
    <w:rsid w:val="0049245A"/>
    <w:rsid w:val="00493BCD"/>
    <w:rsid w:val="004A2499"/>
    <w:rsid w:val="004B0787"/>
    <w:rsid w:val="004B3166"/>
    <w:rsid w:val="004B7EE3"/>
    <w:rsid w:val="004C4C5A"/>
    <w:rsid w:val="004F0120"/>
    <w:rsid w:val="004F15A0"/>
    <w:rsid w:val="00507145"/>
    <w:rsid w:val="0051370A"/>
    <w:rsid w:val="00521564"/>
    <w:rsid w:val="005217D8"/>
    <w:rsid w:val="00523D0F"/>
    <w:rsid w:val="00530542"/>
    <w:rsid w:val="00560DA9"/>
    <w:rsid w:val="00580909"/>
    <w:rsid w:val="00596467"/>
    <w:rsid w:val="005A0718"/>
    <w:rsid w:val="005A3C88"/>
    <w:rsid w:val="005B3228"/>
    <w:rsid w:val="005D21B6"/>
    <w:rsid w:val="005F2DCD"/>
    <w:rsid w:val="00600D52"/>
    <w:rsid w:val="0060639D"/>
    <w:rsid w:val="00606867"/>
    <w:rsid w:val="00612DB7"/>
    <w:rsid w:val="00621723"/>
    <w:rsid w:val="0062363F"/>
    <w:rsid w:val="00632D45"/>
    <w:rsid w:val="00635AED"/>
    <w:rsid w:val="00637A4E"/>
    <w:rsid w:val="00643503"/>
    <w:rsid w:val="0064535D"/>
    <w:rsid w:val="00657100"/>
    <w:rsid w:val="006608FC"/>
    <w:rsid w:val="00670746"/>
    <w:rsid w:val="0067785C"/>
    <w:rsid w:val="006827FB"/>
    <w:rsid w:val="00686AEE"/>
    <w:rsid w:val="00695417"/>
    <w:rsid w:val="006A4626"/>
    <w:rsid w:val="006A73E8"/>
    <w:rsid w:val="006B2C77"/>
    <w:rsid w:val="006B4BCB"/>
    <w:rsid w:val="006B4C49"/>
    <w:rsid w:val="006B4E4D"/>
    <w:rsid w:val="006C28B6"/>
    <w:rsid w:val="006D3951"/>
    <w:rsid w:val="006E632D"/>
    <w:rsid w:val="006F7C8E"/>
    <w:rsid w:val="007419D9"/>
    <w:rsid w:val="0075368B"/>
    <w:rsid w:val="00754FB3"/>
    <w:rsid w:val="007746E3"/>
    <w:rsid w:val="00793B13"/>
    <w:rsid w:val="007C6AF7"/>
    <w:rsid w:val="007C7235"/>
    <w:rsid w:val="007D6F55"/>
    <w:rsid w:val="007E579F"/>
    <w:rsid w:val="007E5F50"/>
    <w:rsid w:val="007F3B34"/>
    <w:rsid w:val="007F5004"/>
    <w:rsid w:val="007F7A8B"/>
    <w:rsid w:val="0080199D"/>
    <w:rsid w:val="008114C3"/>
    <w:rsid w:val="00812E14"/>
    <w:rsid w:val="00816A04"/>
    <w:rsid w:val="00825722"/>
    <w:rsid w:val="008363AF"/>
    <w:rsid w:val="00837F82"/>
    <w:rsid w:val="008401FD"/>
    <w:rsid w:val="00840460"/>
    <w:rsid w:val="00852D41"/>
    <w:rsid w:val="00865995"/>
    <w:rsid w:val="00873E78"/>
    <w:rsid w:val="0089053B"/>
    <w:rsid w:val="00894BBD"/>
    <w:rsid w:val="008A0008"/>
    <w:rsid w:val="008A3843"/>
    <w:rsid w:val="008A453B"/>
    <w:rsid w:val="008B32C1"/>
    <w:rsid w:val="008B38AB"/>
    <w:rsid w:val="008B6898"/>
    <w:rsid w:val="008C2DA9"/>
    <w:rsid w:val="008C3D7C"/>
    <w:rsid w:val="008C5712"/>
    <w:rsid w:val="008E2104"/>
    <w:rsid w:val="008E502B"/>
    <w:rsid w:val="008E5F9E"/>
    <w:rsid w:val="008F4BBD"/>
    <w:rsid w:val="00907E7D"/>
    <w:rsid w:val="00912F3D"/>
    <w:rsid w:val="009270E1"/>
    <w:rsid w:val="00931406"/>
    <w:rsid w:val="00943813"/>
    <w:rsid w:val="009602F0"/>
    <w:rsid w:val="00960BE1"/>
    <w:rsid w:val="00967610"/>
    <w:rsid w:val="00975389"/>
    <w:rsid w:val="009760E4"/>
    <w:rsid w:val="009A5621"/>
    <w:rsid w:val="009B2CA0"/>
    <w:rsid w:val="009B56A5"/>
    <w:rsid w:val="009D2B40"/>
    <w:rsid w:val="009E0607"/>
    <w:rsid w:val="009E5FB8"/>
    <w:rsid w:val="009F5735"/>
    <w:rsid w:val="009F5B0F"/>
    <w:rsid w:val="00A03F72"/>
    <w:rsid w:val="00A04944"/>
    <w:rsid w:val="00A07D72"/>
    <w:rsid w:val="00A12D76"/>
    <w:rsid w:val="00A1317B"/>
    <w:rsid w:val="00A22A09"/>
    <w:rsid w:val="00A33F37"/>
    <w:rsid w:val="00A36579"/>
    <w:rsid w:val="00A37D4F"/>
    <w:rsid w:val="00A42E9F"/>
    <w:rsid w:val="00A43308"/>
    <w:rsid w:val="00A531D0"/>
    <w:rsid w:val="00A55EE6"/>
    <w:rsid w:val="00A56774"/>
    <w:rsid w:val="00A60AC1"/>
    <w:rsid w:val="00A62253"/>
    <w:rsid w:val="00A66C04"/>
    <w:rsid w:val="00A73410"/>
    <w:rsid w:val="00A828CF"/>
    <w:rsid w:val="00A832E7"/>
    <w:rsid w:val="00A91D2D"/>
    <w:rsid w:val="00A926A6"/>
    <w:rsid w:val="00AA6653"/>
    <w:rsid w:val="00AB5270"/>
    <w:rsid w:val="00AD016A"/>
    <w:rsid w:val="00AD4230"/>
    <w:rsid w:val="00AD7ED9"/>
    <w:rsid w:val="00AE17F7"/>
    <w:rsid w:val="00AE4A42"/>
    <w:rsid w:val="00B01BAA"/>
    <w:rsid w:val="00B04747"/>
    <w:rsid w:val="00B176CF"/>
    <w:rsid w:val="00B243B9"/>
    <w:rsid w:val="00B461FF"/>
    <w:rsid w:val="00B50275"/>
    <w:rsid w:val="00B50FD7"/>
    <w:rsid w:val="00B5424E"/>
    <w:rsid w:val="00B90AAE"/>
    <w:rsid w:val="00BA32C4"/>
    <w:rsid w:val="00BA3A92"/>
    <w:rsid w:val="00BB0FE1"/>
    <w:rsid w:val="00BB404D"/>
    <w:rsid w:val="00BC012A"/>
    <w:rsid w:val="00BD171A"/>
    <w:rsid w:val="00BE7361"/>
    <w:rsid w:val="00BF7505"/>
    <w:rsid w:val="00C02467"/>
    <w:rsid w:val="00C0373D"/>
    <w:rsid w:val="00C07D4B"/>
    <w:rsid w:val="00C1107A"/>
    <w:rsid w:val="00C14B68"/>
    <w:rsid w:val="00C2060F"/>
    <w:rsid w:val="00C220ED"/>
    <w:rsid w:val="00C627AA"/>
    <w:rsid w:val="00C63F3A"/>
    <w:rsid w:val="00C704D2"/>
    <w:rsid w:val="00C7369A"/>
    <w:rsid w:val="00C9544E"/>
    <w:rsid w:val="00C973BC"/>
    <w:rsid w:val="00C97BA8"/>
    <w:rsid w:val="00C97C08"/>
    <w:rsid w:val="00CB4C8F"/>
    <w:rsid w:val="00CC1ECE"/>
    <w:rsid w:val="00CC5DBF"/>
    <w:rsid w:val="00CE233A"/>
    <w:rsid w:val="00CE2832"/>
    <w:rsid w:val="00CE58E3"/>
    <w:rsid w:val="00D008CB"/>
    <w:rsid w:val="00D01E7D"/>
    <w:rsid w:val="00D04E59"/>
    <w:rsid w:val="00D2097F"/>
    <w:rsid w:val="00D21EC7"/>
    <w:rsid w:val="00D27263"/>
    <w:rsid w:val="00D3627B"/>
    <w:rsid w:val="00D44EB0"/>
    <w:rsid w:val="00D47922"/>
    <w:rsid w:val="00D50450"/>
    <w:rsid w:val="00D517A3"/>
    <w:rsid w:val="00D60639"/>
    <w:rsid w:val="00D6189B"/>
    <w:rsid w:val="00D63862"/>
    <w:rsid w:val="00D7533A"/>
    <w:rsid w:val="00D764C8"/>
    <w:rsid w:val="00D77A6B"/>
    <w:rsid w:val="00D80B58"/>
    <w:rsid w:val="00DC0273"/>
    <w:rsid w:val="00DC08A7"/>
    <w:rsid w:val="00DC1BDF"/>
    <w:rsid w:val="00DC1F66"/>
    <w:rsid w:val="00DC2EE7"/>
    <w:rsid w:val="00E06170"/>
    <w:rsid w:val="00E067C2"/>
    <w:rsid w:val="00E12909"/>
    <w:rsid w:val="00E21606"/>
    <w:rsid w:val="00E236A0"/>
    <w:rsid w:val="00E32320"/>
    <w:rsid w:val="00E4348A"/>
    <w:rsid w:val="00E5745C"/>
    <w:rsid w:val="00E60698"/>
    <w:rsid w:val="00E65F1A"/>
    <w:rsid w:val="00E670E3"/>
    <w:rsid w:val="00E70C4F"/>
    <w:rsid w:val="00E7787B"/>
    <w:rsid w:val="00E918D6"/>
    <w:rsid w:val="00EA312D"/>
    <w:rsid w:val="00EA533C"/>
    <w:rsid w:val="00EB77A4"/>
    <w:rsid w:val="00EC0DA3"/>
    <w:rsid w:val="00EC556A"/>
    <w:rsid w:val="00EC7CBD"/>
    <w:rsid w:val="00ED255C"/>
    <w:rsid w:val="00ED4A53"/>
    <w:rsid w:val="00EE646B"/>
    <w:rsid w:val="00F04F34"/>
    <w:rsid w:val="00F10393"/>
    <w:rsid w:val="00F222B7"/>
    <w:rsid w:val="00F246AC"/>
    <w:rsid w:val="00F30BD1"/>
    <w:rsid w:val="00F32957"/>
    <w:rsid w:val="00F34768"/>
    <w:rsid w:val="00F36AD9"/>
    <w:rsid w:val="00F37762"/>
    <w:rsid w:val="00F504AB"/>
    <w:rsid w:val="00F51043"/>
    <w:rsid w:val="00F54189"/>
    <w:rsid w:val="00F80497"/>
    <w:rsid w:val="00F83E59"/>
    <w:rsid w:val="00F921D5"/>
    <w:rsid w:val="00F921FA"/>
    <w:rsid w:val="00F975F7"/>
    <w:rsid w:val="00FA51B5"/>
    <w:rsid w:val="00FA52B1"/>
    <w:rsid w:val="00FE48DE"/>
    <w:rsid w:val="00FF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CBFB"/>
  <w15:docId w15:val="{67E59CE9-E661-4EC6-AC3B-D907B41A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9D9"/>
    <w:pPr>
      <w:ind w:left="720"/>
      <w:contextualSpacing/>
    </w:pPr>
  </w:style>
  <w:style w:type="character" w:customStyle="1" w:styleId="journaltitlesp1">
    <w:name w:val="journaltitlesp1"/>
    <w:basedOn w:val="Policepardfaut"/>
    <w:rsid w:val="00523D0F"/>
    <w:rPr>
      <w:i/>
      <w:iCs/>
    </w:rPr>
  </w:style>
  <w:style w:type="character" w:customStyle="1" w:styleId="issuevolsp">
    <w:name w:val="issuevolsp"/>
    <w:basedOn w:val="Policepardfaut"/>
    <w:rsid w:val="00523D0F"/>
  </w:style>
  <w:style w:type="character" w:customStyle="1" w:styleId="pagerange">
    <w:name w:val="pagerange"/>
    <w:basedOn w:val="Policepardfaut"/>
    <w:rsid w:val="00523D0F"/>
  </w:style>
  <w:style w:type="paragraph" w:styleId="Textedebulles">
    <w:name w:val="Balloon Text"/>
    <w:basedOn w:val="Normal"/>
    <w:link w:val="TextedebullesCar"/>
    <w:uiPriority w:val="99"/>
    <w:semiHidden/>
    <w:unhideWhenUsed/>
    <w:rsid w:val="007C7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235"/>
    <w:rPr>
      <w:rFonts w:ascii="Tahoma" w:hAnsi="Tahoma" w:cs="Tahoma"/>
      <w:sz w:val="16"/>
      <w:szCs w:val="16"/>
    </w:rPr>
  </w:style>
  <w:style w:type="paragraph" w:styleId="Sansinterligne">
    <w:name w:val="No Spacing"/>
    <w:uiPriority w:val="1"/>
    <w:qFormat/>
    <w:rsid w:val="00B5424E"/>
    <w:pPr>
      <w:spacing w:after="0" w:line="240" w:lineRule="auto"/>
    </w:pPr>
  </w:style>
  <w:style w:type="paragraph" w:styleId="En-tte">
    <w:name w:val="header"/>
    <w:basedOn w:val="Normal"/>
    <w:link w:val="En-tteCar"/>
    <w:uiPriority w:val="99"/>
    <w:unhideWhenUsed/>
    <w:rsid w:val="00CC1ECE"/>
    <w:pPr>
      <w:tabs>
        <w:tab w:val="center" w:pos="4680"/>
        <w:tab w:val="right" w:pos="9360"/>
      </w:tabs>
      <w:spacing w:after="0" w:line="240" w:lineRule="auto"/>
    </w:pPr>
  </w:style>
  <w:style w:type="character" w:customStyle="1" w:styleId="En-tteCar">
    <w:name w:val="En-tête Car"/>
    <w:basedOn w:val="Policepardfaut"/>
    <w:link w:val="En-tte"/>
    <w:uiPriority w:val="99"/>
    <w:rsid w:val="00CC1ECE"/>
  </w:style>
  <w:style w:type="paragraph" w:styleId="Pieddepage">
    <w:name w:val="footer"/>
    <w:basedOn w:val="Normal"/>
    <w:link w:val="PieddepageCar"/>
    <w:uiPriority w:val="99"/>
    <w:unhideWhenUsed/>
    <w:rsid w:val="00CC1EC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C1ECE"/>
  </w:style>
  <w:style w:type="character" w:styleId="Lienhypertexte">
    <w:name w:val="Hyperlink"/>
    <w:basedOn w:val="Policepardfaut"/>
    <w:uiPriority w:val="99"/>
    <w:unhideWhenUsed/>
    <w:rsid w:val="00943813"/>
    <w:rPr>
      <w:color w:val="0000FF" w:themeColor="hyperlink"/>
      <w:u w:val="single"/>
    </w:rPr>
  </w:style>
  <w:style w:type="character" w:styleId="Textedelespacerserv">
    <w:name w:val="Placeholder Text"/>
    <w:basedOn w:val="Policepardfaut"/>
    <w:uiPriority w:val="99"/>
    <w:semiHidden/>
    <w:rsid w:val="00AB52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3298</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bruno goulesque</cp:lastModifiedBy>
  <cp:revision>219</cp:revision>
  <cp:lastPrinted>2019-09-21T20:23:00Z</cp:lastPrinted>
  <dcterms:created xsi:type="dcterms:W3CDTF">2019-09-21T20:23:00Z</dcterms:created>
  <dcterms:modified xsi:type="dcterms:W3CDTF">2020-02-04T11:03:00Z</dcterms:modified>
</cp:coreProperties>
</file>