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0C112" w14:textId="77777777" w:rsidR="00A07CAF" w:rsidRPr="00A07CAF" w:rsidRDefault="00A07CAF" w:rsidP="00A07CAF">
      <w:pPr>
        <w:spacing w:after="0"/>
        <w:rPr>
          <w:rStyle w:val="None"/>
          <w:rFonts w:ascii="Times New Roman" w:hAnsi="Times New Roman" w:cs="Times New Roman"/>
          <w:sz w:val="48"/>
          <w:szCs w:val="48"/>
          <w:lang w:val="pt-BR"/>
        </w:rPr>
      </w:pPr>
      <w:r w:rsidRPr="00857EFF">
        <w:rPr>
          <w:rStyle w:val="None"/>
          <w:b/>
          <w:bCs/>
          <w:lang w:val="pt-BR"/>
        </w:rPr>
        <w:t xml:space="preserve">  </w:t>
      </w:r>
      <w:r>
        <w:rPr>
          <w:rStyle w:val="None"/>
          <w:b/>
          <w:bCs/>
          <w:noProof/>
        </w:rPr>
        <w:drawing>
          <wp:inline distT="0" distB="0" distL="0" distR="0" wp14:anchorId="55F7E94F" wp14:editId="22BE4E7F">
            <wp:extent cx="952501" cy="952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pic:cNvPicPr>
                  </pic:nvPicPr>
                  <pic:blipFill>
                    <a:blip r:embed="rId7"/>
                    <a:stretch>
                      <a:fillRect/>
                    </a:stretch>
                  </pic:blipFill>
                  <pic:spPr>
                    <a:xfrm>
                      <a:off x="0" y="0"/>
                      <a:ext cx="952501" cy="952500"/>
                    </a:xfrm>
                    <a:prstGeom prst="rect">
                      <a:avLst/>
                    </a:prstGeom>
                    <a:ln w="12700" cap="flat">
                      <a:noFill/>
                      <a:round/>
                    </a:ln>
                    <a:effectLst/>
                  </pic:spPr>
                </pic:pic>
              </a:graphicData>
            </a:graphic>
          </wp:inline>
        </w:drawing>
      </w:r>
      <w:r w:rsidRPr="00857EFF">
        <w:rPr>
          <w:rStyle w:val="None"/>
          <w:b/>
          <w:bCs/>
          <w:lang w:val="pt-BR"/>
        </w:rPr>
        <w:t xml:space="preserve">    </w:t>
      </w:r>
      <w:r w:rsidRPr="00A07CAF">
        <w:rPr>
          <w:rStyle w:val="None"/>
          <w:rFonts w:ascii="Times New Roman" w:hAnsi="Times New Roman" w:cs="Times New Roman"/>
          <w:sz w:val="40"/>
          <w:szCs w:val="40"/>
          <w:lang w:val="pt-BR"/>
        </w:rPr>
        <w:t xml:space="preserve">Revisão de Literatura do IPHMI </w:t>
      </w:r>
      <w:r w:rsidRPr="00A07CAF">
        <w:rPr>
          <w:rStyle w:val="None"/>
          <w:rFonts w:ascii="Times New Roman" w:hAnsi="Times New Roman" w:cs="Times New Roman"/>
          <w:noProof/>
          <w:sz w:val="40"/>
          <w:szCs w:val="40"/>
        </w:rPr>
        <w:drawing>
          <wp:inline distT="0" distB="0" distL="0" distR="0" wp14:anchorId="79D62CF5" wp14:editId="2887B681">
            <wp:extent cx="1397000" cy="876300"/>
            <wp:effectExtent l="0" t="0" r="0" b="0"/>
            <wp:docPr id="1073741826" name="officeArt object"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6" name="image2.jpg"/>
                    <pic:cNvPicPr>
                      <a:picLocks noChangeAspect="1"/>
                    </pic:cNvPicPr>
                  </pic:nvPicPr>
                  <pic:blipFill>
                    <a:blip r:embed="rId8"/>
                    <a:stretch>
                      <a:fillRect/>
                    </a:stretch>
                  </pic:blipFill>
                  <pic:spPr>
                    <a:xfrm>
                      <a:off x="0" y="0"/>
                      <a:ext cx="1397000" cy="876300"/>
                    </a:xfrm>
                    <a:prstGeom prst="rect">
                      <a:avLst/>
                    </a:prstGeom>
                    <a:ln w="25400" cap="flat">
                      <a:solidFill>
                        <a:srgbClr val="000000"/>
                      </a:solidFill>
                      <a:prstDash val="solid"/>
                      <a:miter lim="400000"/>
                    </a:ln>
                    <a:effectLst/>
                  </pic:spPr>
                </pic:pic>
              </a:graphicData>
            </a:graphic>
          </wp:inline>
        </w:drawing>
      </w:r>
    </w:p>
    <w:p w14:paraId="25EBB9A4" w14:textId="77777777" w:rsidR="00A07CAF" w:rsidRPr="00A07CAF" w:rsidRDefault="00A07CAF" w:rsidP="00A07CAF">
      <w:pPr>
        <w:jc w:val="center"/>
        <w:rPr>
          <w:rFonts w:ascii="Times New Roman" w:hAnsi="Times New Roman" w:cs="Times New Roman"/>
          <w:sz w:val="28"/>
          <w:szCs w:val="28"/>
          <w:lang w:val="pt-BR"/>
        </w:rPr>
      </w:pPr>
      <w:r w:rsidRPr="00A07CAF">
        <w:rPr>
          <w:rFonts w:ascii="Times New Roman" w:hAnsi="Times New Roman" w:cs="Times New Roman"/>
          <w:sz w:val="28"/>
          <w:szCs w:val="28"/>
          <w:lang w:val="pt-BR"/>
        </w:rPr>
        <w:t>Mantendo você atualizado por meio dos estudos mais atuais relacionados ao atendimento pré-hospitalar</w:t>
      </w:r>
    </w:p>
    <w:p w14:paraId="05BE0ACB" w14:textId="594604D3" w:rsidR="00A07CAF" w:rsidRPr="00A07CAF" w:rsidRDefault="00A07CAF" w:rsidP="00A07CAF">
      <w:pPr>
        <w:jc w:val="center"/>
        <w:rPr>
          <w:rFonts w:ascii="Times New Roman" w:hAnsi="Times New Roman" w:cs="Times New Roman"/>
          <w:sz w:val="40"/>
          <w:szCs w:val="40"/>
        </w:rPr>
      </w:pPr>
      <w:r w:rsidRPr="00A07CAF">
        <w:rPr>
          <w:rStyle w:val="None"/>
          <w:rFonts w:ascii="Times New Roman" w:hAnsi="Times New Roman" w:cs="Times New Roman"/>
          <w:sz w:val="40"/>
          <w:szCs w:val="40"/>
        </w:rPr>
        <w:t>V. 2.</w:t>
      </w:r>
      <w:bookmarkStart w:id="0" w:name="GoBack"/>
      <w:bookmarkEnd w:id="0"/>
      <w:r w:rsidRPr="00A07CAF">
        <w:rPr>
          <w:rStyle w:val="None"/>
          <w:rFonts w:ascii="Times New Roman" w:hAnsi="Times New Roman" w:cs="Times New Roman"/>
          <w:sz w:val="40"/>
          <w:szCs w:val="40"/>
        </w:rPr>
        <w:t>4</w:t>
      </w:r>
    </w:p>
    <w:p w14:paraId="327DB222" w14:textId="77777777" w:rsidR="002578B6" w:rsidRPr="00A07CAF" w:rsidRDefault="002578B6" w:rsidP="0078393E">
      <w:pPr>
        <w:pStyle w:val="PargrafodaLista"/>
        <w:numPr>
          <w:ilvl w:val="0"/>
          <w:numId w:val="1"/>
        </w:numPr>
        <w:spacing w:before="100" w:beforeAutospacing="1" w:after="0"/>
        <w:jc w:val="both"/>
        <w:rPr>
          <w:rFonts w:ascii="Times New Roman" w:eastAsia="Times New Roman" w:hAnsi="Times New Roman" w:cs="Times New Roman"/>
          <w:b/>
          <w:color w:val="000000" w:themeColor="text1"/>
        </w:rPr>
      </w:pPr>
      <w:r w:rsidRPr="002578B6">
        <w:rPr>
          <w:rFonts w:ascii="Times New Roman" w:eastAsia="Times New Roman" w:hAnsi="Times New Roman" w:cs="Times New Roman"/>
          <w:b/>
          <w:lang w:val="pt-BR"/>
        </w:rPr>
        <w:t>A confiabilidade do exame físico pré-hospitalar da pelve: um estudo retrospectivo e multicêntrico.</w:t>
      </w:r>
      <w:r w:rsidRPr="002578B6">
        <w:rPr>
          <w:rFonts w:ascii="Times New Roman" w:eastAsia="Times New Roman" w:hAnsi="Times New Roman" w:cs="Times New Roman"/>
          <w:lang w:val="pt-BR"/>
        </w:rPr>
        <w:t xml:space="preserve">  </w:t>
      </w:r>
      <w:proofErr w:type="spellStart"/>
      <w:r w:rsidRPr="00A07CAF">
        <w:rPr>
          <w:rFonts w:ascii="Times New Roman" w:eastAsia="Times New Roman" w:hAnsi="Times New Roman" w:cs="Times New Roman"/>
        </w:rPr>
        <w:t>Lustenberger</w:t>
      </w:r>
      <w:proofErr w:type="spellEnd"/>
      <w:r w:rsidRPr="00A07CAF">
        <w:rPr>
          <w:rFonts w:ascii="Times New Roman" w:eastAsia="Times New Roman" w:hAnsi="Times New Roman" w:cs="Times New Roman"/>
        </w:rPr>
        <w:t xml:space="preserve"> T. </w:t>
      </w:r>
      <w:proofErr w:type="spellStart"/>
      <w:r w:rsidRPr="00A07CAF">
        <w:rPr>
          <w:rFonts w:ascii="Times New Roman" w:eastAsia="Times New Roman" w:hAnsi="Times New Roman" w:cs="Times New Roman"/>
        </w:rPr>
        <w:t>Walcher</w:t>
      </w:r>
      <w:proofErr w:type="spellEnd"/>
      <w:r w:rsidRPr="00A07CAF">
        <w:rPr>
          <w:rFonts w:ascii="Times New Roman" w:eastAsia="Times New Roman" w:hAnsi="Times New Roman" w:cs="Times New Roman"/>
        </w:rPr>
        <w:t xml:space="preserve"> F, </w:t>
      </w:r>
      <w:proofErr w:type="spellStart"/>
      <w:r w:rsidRPr="00A07CAF">
        <w:rPr>
          <w:rFonts w:ascii="Times New Roman" w:eastAsia="Times New Roman" w:hAnsi="Times New Roman" w:cs="Times New Roman"/>
        </w:rPr>
        <w:t>Lefering</w:t>
      </w:r>
      <w:proofErr w:type="spellEnd"/>
      <w:r w:rsidRPr="00A07CAF">
        <w:rPr>
          <w:rFonts w:ascii="Times New Roman" w:eastAsia="Times New Roman" w:hAnsi="Times New Roman" w:cs="Times New Roman"/>
        </w:rPr>
        <w:t xml:space="preserve"> R, et al. World J Surg 2016;40:3073-3079.</w:t>
      </w:r>
    </w:p>
    <w:p w14:paraId="3B597703" w14:textId="77777777" w:rsidR="0078393E" w:rsidRPr="00A07CAF" w:rsidRDefault="0078393E" w:rsidP="0078393E">
      <w:pPr>
        <w:pStyle w:val="PargrafodaLista"/>
        <w:numPr>
          <w:ilvl w:val="0"/>
          <w:numId w:val="1"/>
        </w:numPr>
        <w:spacing w:after="0"/>
        <w:jc w:val="both"/>
        <w:rPr>
          <w:rFonts w:ascii="Times New Roman" w:hAnsi="Times New Roman" w:cs="Times New Roman"/>
        </w:rPr>
      </w:pPr>
      <w:r w:rsidRPr="00B10470">
        <w:rPr>
          <w:rFonts w:ascii="Times New Roman" w:hAnsi="Times New Roman" w:cs="Times New Roman"/>
          <w:b/>
          <w:lang w:val="pt-BR"/>
        </w:rPr>
        <w:t xml:space="preserve">Máscaras N95 versus máscaras cirúrgicas para prevenir a gripe entre profissionais de saúde - Um ensaio clínico randomizado. </w:t>
      </w:r>
      <w:proofErr w:type="spellStart"/>
      <w:r w:rsidRPr="00A07CAF">
        <w:rPr>
          <w:rFonts w:ascii="Times New Roman" w:hAnsi="Times New Roman" w:cs="Times New Roman"/>
        </w:rPr>
        <w:t>Radonovich</w:t>
      </w:r>
      <w:proofErr w:type="spellEnd"/>
      <w:r w:rsidRPr="00A07CAF">
        <w:rPr>
          <w:rFonts w:ascii="Times New Roman" w:hAnsi="Times New Roman" w:cs="Times New Roman"/>
        </w:rPr>
        <w:t xml:space="preserve"> Jr LJ, </w:t>
      </w:r>
      <w:proofErr w:type="spellStart"/>
      <w:r w:rsidRPr="00A07CAF">
        <w:rPr>
          <w:rFonts w:ascii="Times New Roman" w:hAnsi="Times New Roman" w:cs="Times New Roman"/>
        </w:rPr>
        <w:t>Simberkoff</w:t>
      </w:r>
      <w:proofErr w:type="spellEnd"/>
      <w:r w:rsidRPr="00A07CAF">
        <w:rPr>
          <w:rFonts w:ascii="Times New Roman" w:hAnsi="Times New Roman" w:cs="Times New Roman"/>
        </w:rPr>
        <w:t xml:space="preserve"> MS, </w:t>
      </w:r>
      <w:proofErr w:type="spellStart"/>
      <w:r w:rsidRPr="00A07CAF">
        <w:rPr>
          <w:rFonts w:ascii="Times New Roman" w:hAnsi="Times New Roman" w:cs="Times New Roman"/>
        </w:rPr>
        <w:t>Bessesen</w:t>
      </w:r>
      <w:proofErr w:type="spellEnd"/>
      <w:r w:rsidRPr="00A07CAF">
        <w:rPr>
          <w:rFonts w:ascii="Times New Roman" w:hAnsi="Times New Roman" w:cs="Times New Roman"/>
        </w:rPr>
        <w:t xml:space="preserve"> MT, et al. JAMA. 2019;322(9):824-833.</w:t>
      </w:r>
    </w:p>
    <w:p w14:paraId="72234C0B" w14:textId="6112A039" w:rsidR="004E434E" w:rsidRPr="00A07CAF" w:rsidRDefault="004E434E" w:rsidP="0078393E">
      <w:pPr>
        <w:pStyle w:val="PargrafodaLista"/>
        <w:numPr>
          <w:ilvl w:val="0"/>
          <w:numId w:val="1"/>
        </w:numPr>
        <w:spacing w:after="0"/>
        <w:jc w:val="both"/>
        <w:rPr>
          <w:rFonts w:ascii="Times New Roman" w:eastAsia="Times New Roman" w:hAnsi="Times New Roman" w:cs="Times New Roman"/>
          <w:b/>
        </w:rPr>
      </w:pPr>
      <w:r w:rsidRPr="004E434E">
        <w:rPr>
          <w:rFonts w:ascii="Times New Roman" w:eastAsia="Times New Roman" w:hAnsi="Times New Roman" w:cs="Times New Roman"/>
          <w:b/>
          <w:lang w:val="pt-BR"/>
        </w:rPr>
        <w:t>Avaliação de um modelo de força-tarefa de resgate integrado para resposta ativa a ameaças.</w:t>
      </w:r>
      <w:r>
        <w:rPr>
          <w:rFonts w:ascii="Times New Roman" w:eastAsia="Times New Roman" w:hAnsi="Times New Roman" w:cs="Times New Roman"/>
          <w:b/>
          <w:lang w:val="pt-BR"/>
        </w:rPr>
        <w:t xml:space="preserve"> </w:t>
      </w:r>
      <w:r w:rsidRPr="004E434E">
        <w:rPr>
          <w:rFonts w:ascii="Times New Roman" w:eastAsia="Times New Roman" w:hAnsi="Times New Roman" w:cs="Times New Roman"/>
        </w:rPr>
        <w:t xml:space="preserve">Bachman MW, Anzalone BC, Williams JG, et al. </w:t>
      </w:r>
      <w:proofErr w:type="spellStart"/>
      <w:r w:rsidRPr="00A07CAF">
        <w:rPr>
          <w:rFonts w:ascii="Times New Roman" w:eastAsia="Times New Roman" w:hAnsi="Times New Roman" w:cs="Times New Roman"/>
        </w:rPr>
        <w:t>Prehosp</w:t>
      </w:r>
      <w:proofErr w:type="spellEnd"/>
      <w:r w:rsidRPr="00A07CAF">
        <w:rPr>
          <w:rFonts w:ascii="Times New Roman" w:eastAsia="Times New Roman" w:hAnsi="Times New Roman" w:cs="Times New Roman"/>
        </w:rPr>
        <w:t xml:space="preserve"> </w:t>
      </w:r>
      <w:proofErr w:type="spellStart"/>
      <w:r w:rsidRPr="00A07CAF">
        <w:rPr>
          <w:rFonts w:ascii="Times New Roman" w:eastAsia="Times New Roman" w:hAnsi="Times New Roman" w:cs="Times New Roman"/>
        </w:rPr>
        <w:t>Emerg</w:t>
      </w:r>
      <w:proofErr w:type="spellEnd"/>
      <w:r w:rsidRPr="00A07CAF">
        <w:rPr>
          <w:rFonts w:ascii="Times New Roman" w:eastAsia="Times New Roman" w:hAnsi="Times New Roman" w:cs="Times New Roman"/>
        </w:rPr>
        <w:t xml:space="preserve"> Care 2019;23:309-318.</w:t>
      </w:r>
    </w:p>
    <w:p w14:paraId="3C443F6E" w14:textId="3962C930" w:rsidR="00671A65" w:rsidRPr="00A07CAF" w:rsidRDefault="00671A65" w:rsidP="0078393E">
      <w:pPr>
        <w:pStyle w:val="PargrafodaLista"/>
        <w:numPr>
          <w:ilvl w:val="0"/>
          <w:numId w:val="1"/>
        </w:numPr>
        <w:jc w:val="both"/>
        <w:rPr>
          <w:rFonts w:ascii="Times New Roman" w:hAnsi="Times New Roman" w:cs="Times New Roman"/>
          <w:b/>
        </w:rPr>
      </w:pPr>
      <w:r w:rsidRPr="00A07CAF">
        <w:rPr>
          <w:rFonts w:ascii="Times New Roman" w:hAnsi="Times New Roman" w:cs="Times New Roman"/>
          <w:b/>
        </w:rPr>
        <w:t xml:space="preserve">Remote Scene Size-up Using an Unmanned Aerial Vehicle in a Simulated Mass Casualty Incident.   </w:t>
      </w:r>
      <w:r w:rsidRPr="00A07CAF">
        <w:rPr>
          <w:rFonts w:ascii="Times New Roman" w:hAnsi="Times New Roman" w:cs="Times New Roman"/>
        </w:rPr>
        <w:t xml:space="preserve">Sibley AK, Jain TN, Butler M, et al. </w:t>
      </w:r>
      <w:proofErr w:type="spellStart"/>
      <w:r w:rsidRPr="00A07CAF">
        <w:rPr>
          <w:rFonts w:ascii="Times New Roman" w:hAnsi="Times New Roman" w:cs="Times New Roman"/>
        </w:rPr>
        <w:t>Prehosp</w:t>
      </w:r>
      <w:proofErr w:type="spellEnd"/>
      <w:r w:rsidRPr="00A07CAF">
        <w:rPr>
          <w:rFonts w:ascii="Times New Roman" w:hAnsi="Times New Roman" w:cs="Times New Roman"/>
        </w:rPr>
        <w:t xml:space="preserve"> </w:t>
      </w:r>
      <w:proofErr w:type="spellStart"/>
      <w:r w:rsidRPr="00A07CAF">
        <w:rPr>
          <w:rFonts w:ascii="Times New Roman" w:hAnsi="Times New Roman" w:cs="Times New Roman"/>
        </w:rPr>
        <w:t>Emerg</w:t>
      </w:r>
      <w:proofErr w:type="spellEnd"/>
      <w:r w:rsidRPr="00A07CAF">
        <w:rPr>
          <w:rFonts w:ascii="Times New Roman" w:hAnsi="Times New Roman" w:cs="Times New Roman"/>
        </w:rPr>
        <w:t xml:space="preserve"> Care 2019;23:332-339.</w:t>
      </w:r>
    </w:p>
    <w:p w14:paraId="21424205" w14:textId="77777777" w:rsidR="00671A65" w:rsidRPr="00A07CAF" w:rsidRDefault="00671A65" w:rsidP="00671A65">
      <w:pPr>
        <w:pStyle w:val="PargrafodaLista"/>
        <w:rPr>
          <w:rFonts w:ascii="Times New Roman" w:hAnsi="Times New Roman" w:cs="Times New Roman"/>
          <w:b/>
        </w:rPr>
      </w:pPr>
    </w:p>
    <w:p w14:paraId="05EB723E" w14:textId="77777777" w:rsidR="00671A65" w:rsidRPr="00A07CAF" w:rsidRDefault="00671A65" w:rsidP="00671A65">
      <w:pPr>
        <w:pStyle w:val="PargrafodaLista"/>
        <w:rPr>
          <w:rFonts w:ascii="Times New Roman" w:hAnsi="Times New Roman" w:cs="Times New Roman"/>
          <w:b/>
        </w:rPr>
      </w:pPr>
    </w:p>
    <w:p w14:paraId="348A5F62" w14:textId="2E3C52F5" w:rsidR="00671A65" w:rsidRPr="00A07CAF" w:rsidRDefault="002578B6" w:rsidP="002578B6">
      <w:pPr>
        <w:pStyle w:val="PargrafodaLista"/>
        <w:numPr>
          <w:ilvl w:val="0"/>
          <w:numId w:val="3"/>
        </w:numPr>
        <w:spacing w:before="100" w:beforeAutospacing="1" w:after="0"/>
        <w:jc w:val="both"/>
        <w:rPr>
          <w:rFonts w:ascii="Times New Roman" w:eastAsia="Times New Roman" w:hAnsi="Times New Roman" w:cs="Times New Roman"/>
          <w:b/>
          <w:color w:val="000000" w:themeColor="text1"/>
        </w:rPr>
      </w:pPr>
      <w:r w:rsidRPr="002578B6">
        <w:rPr>
          <w:rFonts w:ascii="Times New Roman" w:eastAsia="Times New Roman" w:hAnsi="Times New Roman" w:cs="Times New Roman"/>
          <w:b/>
          <w:lang w:val="pt-BR"/>
        </w:rPr>
        <w:t>A confiabilidade do exame físico pré-hospitalar da pelve: um estudo retrospectivo e multicêntrico</w:t>
      </w:r>
      <w:r w:rsidR="00671A65" w:rsidRPr="002578B6">
        <w:rPr>
          <w:rFonts w:ascii="Times New Roman" w:eastAsia="Times New Roman" w:hAnsi="Times New Roman" w:cs="Times New Roman"/>
          <w:b/>
          <w:lang w:val="pt-BR"/>
        </w:rPr>
        <w:t>.</w:t>
      </w:r>
      <w:r w:rsidR="00671A65" w:rsidRPr="002578B6">
        <w:rPr>
          <w:rFonts w:ascii="Times New Roman" w:eastAsia="Times New Roman" w:hAnsi="Times New Roman" w:cs="Times New Roman"/>
          <w:lang w:val="pt-BR"/>
        </w:rPr>
        <w:t xml:space="preserve">  </w:t>
      </w:r>
      <w:proofErr w:type="spellStart"/>
      <w:r w:rsidR="00671A65" w:rsidRPr="00A07CAF">
        <w:rPr>
          <w:rFonts w:ascii="Times New Roman" w:eastAsia="Times New Roman" w:hAnsi="Times New Roman" w:cs="Times New Roman"/>
        </w:rPr>
        <w:t>Lustenberger</w:t>
      </w:r>
      <w:proofErr w:type="spellEnd"/>
      <w:r w:rsidR="00671A65" w:rsidRPr="00A07CAF">
        <w:rPr>
          <w:rFonts w:ascii="Times New Roman" w:eastAsia="Times New Roman" w:hAnsi="Times New Roman" w:cs="Times New Roman"/>
        </w:rPr>
        <w:t xml:space="preserve"> T. </w:t>
      </w:r>
      <w:proofErr w:type="spellStart"/>
      <w:r w:rsidR="00671A65" w:rsidRPr="00A07CAF">
        <w:rPr>
          <w:rFonts w:ascii="Times New Roman" w:eastAsia="Times New Roman" w:hAnsi="Times New Roman" w:cs="Times New Roman"/>
        </w:rPr>
        <w:t>Walcher</w:t>
      </w:r>
      <w:proofErr w:type="spellEnd"/>
      <w:r w:rsidR="00671A65" w:rsidRPr="00A07CAF">
        <w:rPr>
          <w:rFonts w:ascii="Times New Roman" w:eastAsia="Times New Roman" w:hAnsi="Times New Roman" w:cs="Times New Roman"/>
        </w:rPr>
        <w:t xml:space="preserve"> F, </w:t>
      </w:r>
      <w:proofErr w:type="spellStart"/>
      <w:r w:rsidR="00671A65" w:rsidRPr="00A07CAF">
        <w:rPr>
          <w:rFonts w:ascii="Times New Roman" w:eastAsia="Times New Roman" w:hAnsi="Times New Roman" w:cs="Times New Roman"/>
        </w:rPr>
        <w:t>Lefering</w:t>
      </w:r>
      <w:proofErr w:type="spellEnd"/>
      <w:r w:rsidR="00671A65" w:rsidRPr="00A07CAF">
        <w:rPr>
          <w:rFonts w:ascii="Times New Roman" w:eastAsia="Times New Roman" w:hAnsi="Times New Roman" w:cs="Times New Roman"/>
        </w:rPr>
        <w:t xml:space="preserve"> R, et al. World J Surg 2016;40:3073-3079.</w:t>
      </w:r>
    </w:p>
    <w:p w14:paraId="3B7A088B" w14:textId="77777777" w:rsidR="00671A65" w:rsidRPr="00A07CAF" w:rsidRDefault="00671A65" w:rsidP="00671A65">
      <w:pPr>
        <w:spacing w:after="0"/>
        <w:ind w:firstLine="360"/>
        <w:jc w:val="both"/>
        <w:rPr>
          <w:rFonts w:ascii="Times New Roman" w:hAnsi="Times New Roman" w:cs="Times New Roman"/>
        </w:rPr>
      </w:pPr>
    </w:p>
    <w:p w14:paraId="53A6A372" w14:textId="77777777"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Acredita-se que um exame físico cuidadoso e completo possa detectar com segurança lesões pélvicas instáveis ​​e que lesões pélvicas não detectadas são geralmente menores ou estáveis ​​e não requerem intervenção imediata. No entanto, os dados que sustentam essa consideração baseiam-se na avaliação hospitalar, sem dados completos disponíveis sobre a confiabilidade do exame físico pélvico pré-hospitalar na detecção de fratura pélvica.</w:t>
      </w:r>
    </w:p>
    <w:p w14:paraId="3AD93C48" w14:textId="46DADEC6"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Os Registros da Sociedade Alemã de Trauma, que inclui hospitais localizados principalmente na Alemanha (90%), mas também hospitais na Bélgica, Finlândia, Luxemburgo, Eslovênia, Suíça e Holanda, coleta dados, incluindo lesões pélvicas</w:t>
      </w:r>
      <w:r w:rsidR="007F57B7">
        <w:rPr>
          <w:rFonts w:ascii="Times New Roman" w:hAnsi="Times New Roman" w:cs="Times New Roman"/>
          <w:lang w:val="pt-BR"/>
        </w:rPr>
        <w:t>,</w:t>
      </w:r>
      <w:r w:rsidRPr="00A07CAF">
        <w:rPr>
          <w:rFonts w:ascii="Times New Roman" w:hAnsi="Times New Roman" w:cs="Times New Roman"/>
          <w:lang w:val="pt-BR"/>
        </w:rPr>
        <w:t xml:space="preserve"> desde 2002.</w:t>
      </w:r>
    </w:p>
    <w:p w14:paraId="3AEA7744" w14:textId="25CDE617"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Os critérios de inclusão para este estudo foram “admissão primária, trauma contuso, ISS ≥ 9 e informações disponíveis sobre o padrão de lesão suspeita fora do hospital”. Esses critérios foram atendidos em 35.490 casos. Os </w:t>
      </w:r>
      <w:r w:rsidR="00940994">
        <w:rPr>
          <w:rFonts w:ascii="Times New Roman" w:hAnsi="Times New Roman" w:cs="Times New Roman"/>
          <w:lang w:val="pt-BR"/>
        </w:rPr>
        <w:t>doente</w:t>
      </w:r>
      <w:r w:rsidRPr="00A07CAF">
        <w:rPr>
          <w:rFonts w:ascii="Times New Roman" w:hAnsi="Times New Roman" w:cs="Times New Roman"/>
          <w:lang w:val="pt-BR"/>
        </w:rPr>
        <w:t xml:space="preserve">s foram agrupados de acordo com a lesão suspeita pelo médico no local e o diagnóstico final da alta hospitalar. Os </w:t>
      </w:r>
      <w:r w:rsidR="00940994">
        <w:rPr>
          <w:rFonts w:ascii="Times New Roman" w:hAnsi="Times New Roman" w:cs="Times New Roman"/>
          <w:lang w:val="pt-BR"/>
        </w:rPr>
        <w:t>doente</w:t>
      </w:r>
      <w:r w:rsidRPr="00A07CAF">
        <w:rPr>
          <w:rFonts w:ascii="Times New Roman" w:hAnsi="Times New Roman" w:cs="Times New Roman"/>
          <w:lang w:val="pt-BR"/>
        </w:rPr>
        <w:t>s foram categorizados como suspeita de lesão pélvica que consideraram um falso positivo, lesão pélvica perdida que eles denominaram lesão pélvica falso negativa</w:t>
      </w:r>
      <w:r w:rsidR="00940994">
        <w:rPr>
          <w:rFonts w:ascii="Times New Roman" w:hAnsi="Times New Roman" w:cs="Times New Roman"/>
          <w:lang w:val="pt-BR"/>
        </w:rPr>
        <w:t>,</w:t>
      </w:r>
      <w:r w:rsidRPr="00A07CAF">
        <w:rPr>
          <w:rFonts w:ascii="Times New Roman" w:hAnsi="Times New Roman" w:cs="Times New Roman"/>
          <w:lang w:val="pt-BR"/>
        </w:rPr>
        <w:t xml:space="preserve"> ou diagnosticada corretamente ou verdadeiramente positivo.</w:t>
      </w:r>
    </w:p>
    <w:p w14:paraId="4FEE2EC3" w14:textId="2C40688D"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Um total de 11.062 (31,2%) dos </w:t>
      </w:r>
      <w:r w:rsidR="00940994">
        <w:rPr>
          <w:rFonts w:ascii="Times New Roman" w:hAnsi="Times New Roman" w:cs="Times New Roman"/>
          <w:lang w:val="pt-BR"/>
        </w:rPr>
        <w:t>doente</w:t>
      </w:r>
      <w:r w:rsidRPr="00A07CAF">
        <w:rPr>
          <w:rFonts w:ascii="Times New Roman" w:hAnsi="Times New Roman" w:cs="Times New Roman"/>
          <w:lang w:val="pt-BR"/>
        </w:rPr>
        <w:t xml:space="preserve">s de trauma identificados tinham suspeita </w:t>
      </w:r>
      <w:r w:rsidR="00310526" w:rsidRPr="00A07CAF">
        <w:rPr>
          <w:rFonts w:ascii="Times New Roman" w:hAnsi="Times New Roman" w:cs="Times New Roman"/>
          <w:lang w:val="pt-BR"/>
        </w:rPr>
        <w:t>de lesão pélvica ou lesão</w:t>
      </w:r>
      <w:r w:rsidRPr="00A07CAF">
        <w:rPr>
          <w:rFonts w:ascii="Times New Roman" w:hAnsi="Times New Roman" w:cs="Times New Roman"/>
          <w:lang w:val="pt-BR"/>
        </w:rPr>
        <w:t xml:space="preserve"> comprovada. A fratura pélvica foi confirmada no pronto-socorro em 7.201 </w:t>
      </w:r>
      <w:r w:rsidR="00940994">
        <w:rPr>
          <w:rFonts w:ascii="Times New Roman" w:hAnsi="Times New Roman" w:cs="Times New Roman"/>
          <w:lang w:val="pt-BR"/>
        </w:rPr>
        <w:t>doente</w:t>
      </w:r>
      <w:r w:rsidRPr="00A07CAF">
        <w:rPr>
          <w:rFonts w:ascii="Times New Roman" w:hAnsi="Times New Roman" w:cs="Times New Roman"/>
          <w:lang w:val="pt-BR"/>
        </w:rPr>
        <w:t xml:space="preserve">s ou 20,3% do total. Havia suspeita de lesão pélvica no cenário pré-hospitalar em 7.784 (22,2%) dos 35.490 </w:t>
      </w:r>
      <w:r w:rsidR="00940994">
        <w:rPr>
          <w:rFonts w:ascii="Times New Roman" w:hAnsi="Times New Roman" w:cs="Times New Roman"/>
          <w:lang w:val="pt-BR"/>
        </w:rPr>
        <w:t>doente</w:t>
      </w:r>
      <w:r w:rsidRPr="00A07CAF">
        <w:rPr>
          <w:rFonts w:ascii="Times New Roman" w:hAnsi="Times New Roman" w:cs="Times New Roman"/>
          <w:lang w:val="pt-BR"/>
        </w:rPr>
        <w:t xml:space="preserve">s. Dos 7.201 </w:t>
      </w:r>
      <w:r w:rsidR="00940994">
        <w:rPr>
          <w:rFonts w:ascii="Times New Roman" w:hAnsi="Times New Roman" w:cs="Times New Roman"/>
          <w:lang w:val="pt-BR"/>
        </w:rPr>
        <w:t>doente</w:t>
      </w:r>
      <w:r w:rsidRPr="00A07CAF">
        <w:rPr>
          <w:rFonts w:ascii="Times New Roman" w:hAnsi="Times New Roman" w:cs="Times New Roman"/>
          <w:lang w:val="pt-BR"/>
        </w:rPr>
        <w:t xml:space="preserve">s com fratura pélvica documentada, 3.781 (52,5%) não foram suspeitos com base no exame realizado em campo. Um total de 3.861 </w:t>
      </w:r>
      <w:r w:rsidR="00940994">
        <w:rPr>
          <w:rFonts w:ascii="Times New Roman" w:hAnsi="Times New Roman" w:cs="Times New Roman"/>
          <w:lang w:val="pt-BR"/>
        </w:rPr>
        <w:t>doente</w:t>
      </w:r>
      <w:r w:rsidRPr="00A07CAF">
        <w:rPr>
          <w:rFonts w:ascii="Times New Roman" w:hAnsi="Times New Roman" w:cs="Times New Roman"/>
          <w:lang w:val="pt-BR"/>
        </w:rPr>
        <w:t>s com suspeita de fraturas pélvicas no campo não foi confirmado no hospital.</w:t>
      </w:r>
    </w:p>
    <w:p w14:paraId="7F84DE7B" w14:textId="602D479C"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Os autores afirmam que, embora as evidências publicadas até o momento sugiram que uma avaliação clínica possa descartar lesões pélvicas significativas no </w:t>
      </w:r>
      <w:r w:rsidR="00940994">
        <w:rPr>
          <w:rFonts w:ascii="Times New Roman" w:hAnsi="Times New Roman" w:cs="Times New Roman"/>
          <w:lang w:val="pt-BR"/>
        </w:rPr>
        <w:t>doente</w:t>
      </w:r>
      <w:r w:rsidRPr="00A07CAF">
        <w:rPr>
          <w:rFonts w:ascii="Times New Roman" w:hAnsi="Times New Roman" w:cs="Times New Roman"/>
          <w:lang w:val="pt-BR"/>
        </w:rPr>
        <w:t xml:space="preserve"> com trauma fechado, eles contestam essa conclusão com base em achados hospitalares e não pré-hospitalares. O número de fraturas pélvicas perdidas </w:t>
      </w:r>
      <w:r w:rsidRPr="00A07CAF">
        <w:rPr>
          <w:rFonts w:ascii="Times New Roman" w:hAnsi="Times New Roman" w:cs="Times New Roman"/>
          <w:lang w:val="pt-BR"/>
        </w:rPr>
        <w:lastRenderedPageBreak/>
        <w:t xml:space="preserve">neste estudo pré-hospitalar foi significativo. Eles recomendam que, no tratamento de </w:t>
      </w:r>
      <w:r w:rsidR="00940994">
        <w:rPr>
          <w:rFonts w:ascii="Times New Roman" w:hAnsi="Times New Roman" w:cs="Times New Roman"/>
          <w:lang w:val="pt-BR"/>
        </w:rPr>
        <w:t>doente</w:t>
      </w:r>
      <w:r w:rsidRPr="00A07CAF">
        <w:rPr>
          <w:rFonts w:ascii="Times New Roman" w:hAnsi="Times New Roman" w:cs="Times New Roman"/>
          <w:lang w:val="pt-BR"/>
        </w:rPr>
        <w:t xml:space="preserve">s com trauma contuso gravemente ferido no </w:t>
      </w:r>
      <w:r w:rsidR="00940994">
        <w:rPr>
          <w:rFonts w:ascii="Times New Roman" w:hAnsi="Times New Roman" w:cs="Times New Roman"/>
          <w:lang w:val="pt-BR"/>
        </w:rPr>
        <w:t>pré-hospitalar</w:t>
      </w:r>
      <w:r w:rsidRPr="00A07CAF">
        <w:rPr>
          <w:rFonts w:ascii="Times New Roman" w:hAnsi="Times New Roman" w:cs="Times New Roman"/>
          <w:lang w:val="pt-BR"/>
        </w:rPr>
        <w:t xml:space="preserve">, algum tipo de estabilização pélvica mecânica seja </w:t>
      </w:r>
      <w:proofErr w:type="gramStart"/>
      <w:r w:rsidRPr="00A07CAF">
        <w:rPr>
          <w:rFonts w:ascii="Times New Roman" w:hAnsi="Times New Roman" w:cs="Times New Roman"/>
          <w:lang w:val="pt-BR"/>
        </w:rPr>
        <w:t>considerada</w:t>
      </w:r>
      <w:proofErr w:type="gramEnd"/>
      <w:r w:rsidRPr="00A07CAF">
        <w:rPr>
          <w:rFonts w:ascii="Times New Roman" w:hAnsi="Times New Roman" w:cs="Times New Roman"/>
          <w:lang w:val="pt-BR"/>
        </w:rPr>
        <w:t xml:space="preserve"> independentemente dos resultados do exame físico da pelve.</w:t>
      </w:r>
    </w:p>
    <w:p w14:paraId="27580740" w14:textId="1E0B1F5A" w:rsidR="00671A65" w:rsidRPr="00A07CAF" w:rsidRDefault="00671A65" w:rsidP="00671A65">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Este estudo tem várias limitações. Todos os dados utilizados foram coletados e revisados ​​retrospectivamente. A qualidade e a extensão dos exames pélvicos não foram realizadas de maneira padrão em toda a população de </w:t>
      </w:r>
      <w:r w:rsidR="00940994">
        <w:rPr>
          <w:rFonts w:ascii="Times New Roman" w:hAnsi="Times New Roman" w:cs="Times New Roman"/>
          <w:lang w:val="pt-BR"/>
        </w:rPr>
        <w:t>doente</w:t>
      </w:r>
      <w:r w:rsidRPr="00A07CAF">
        <w:rPr>
          <w:rFonts w:ascii="Times New Roman" w:hAnsi="Times New Roman" w:cs="Times New Roman"/>
          <w:lang w:val="pt-BR"/>
        </w:rPr>
        <w:t xml:space="preserve">s. Este estudo foi derivado de um sistema de resposta </w:t>
      </w:r>
      <w:r w:rsidR="009B3D62" w:rsidRPr="00A07CAF">
        <w:rPr>
          <w:rFonts w:ascii="Times New Roman" w:hAnsi="Times New Roman" w:cs="Times New Roman"/>
          <w:lang w:val="pt-BR"/>
        </w:rPr>
        <w:t>do Serviço de Emergências Médicas (EMS)</w:t>
      </w:r>
      <w:r w:rsidRPr="00A07CAF">
        <w:rPr>
          <w:rFonts w:ascii="Times New Roman" w:hAnsi="Times New Roman" w:cs="Times New Roman"/>
          <w:lang w:val="pt-BR"/>
        </w:rPr>
        <w:t xml:space="preserve"> baseado em médico. Dado esse fato, qualquer extrapolação desses resultados para um técnico de emergência médica ou para um sistema EMS baseado em paramédico é inadequada. Esse tipo de estudo deve ser repetido usando os vários níveis de p</w:t>
      </w:r>
      <w:r w:rsidR="00940994">
        <w:rPr>
          <w:rFonts w:ascii="Times New Roman" w:hAnsi="Times New Roman" w:cs="Times New Roman"/>
          <w:lang w:val="pt-BR"/>
        </w:rPr>
        <w:t>rofissionais</w:t>
      </w:r>
      <w:r w:rsidRPr="00A07CAF">
        <w:rPr>
          <w:rFonts w:ascii="Times New Roman" w:hAnsi="Times New Roman" w:cs="Times New Roman"/>
          <w:lang w:val="pt-BR"/>
        </w:rPr>
        <w:t xml:space="preserve"> encontrados em outros sistemas pré-hospitalares.</w:t>
      </w:r>
    </w:p>
    <w:p w14:paraId="74A4F898" w14:textId="77E1DDD8" w:rsidR="00B60F37" w:rsidRPr="00A07CAF" w:rsidRDefault="00B60F37" w:rsidP="00671A65">
      <w:pPr>
        <w:spacing w:after="0"/>
        <w:ind w:firstLine="360"/>
        <w:jc w:val="both"/>
        <w:rPr>
          <w:rFonts w:ascii="Times New Roman" w:hAnsi="Times New Roman" w:cs="Times New Roman"/>
          <w:lang w:val="pt-BR"/>
        </w:rPr>
      </w:pPr>
    </w:p>
    <w:p w14:paraId="2F08A6C6" w14:textId="784A7218" w:rsidR="00B60F37" w:rsidRPr="00A07CAF" w:rsidRDefault="00B60F37" w:rsidP="00671A65">
      <w:pPr>
        <w:spacing w:after="0"/>
        <w:ind w:firstLine="360"/>
        <w:jc w:val="both"/>
        <w:rPr>
          <w:rFonts w:ascii="Times New Roman" w:hAnsi="Times New Roman" w:cs="Times New Roman"/>
          <w:lang w:val="pt-BR"/>
        </w:rPr>
      </w:pPr>
    </w:p>
    <w:p w14:paraId="5E31005F" w14:textId="159F3834" w:rsidR="00B659E2" w:rsidRPr="00A07CAF" w:rsidRDefault="00B10470" w:rsidP="00B10470">
      <w:pPr>
        <w:pStyle w:val="PargrafodaLista"/>
        <w:numPr>
          <w:ilvl w:val="0"/>
          <w:numId w:val="4"/>
        </w:numPr>
        <w:spacing w:after="0"/>
        <w:jc w:val="both"/>
        <w:rPr>
          <w:rFonts w:ascii="Times New Roman" w:hAnsi="Times New Roman" w:cs="Times New Roman"/>
        </w:rPr>
      </w:pPr>
      <w:r w:rsidRPr="00B10470">
        <w:rPr>
          <w:rFonts w:ascii="Times New Roman" w:hAnsi="Times New Roman" w:cs="Times New Roman"/>
          <w:b/>
          <w:lang w:val="pt-BR"/>
        </w:rPr>
        <w:t xml:space="preserve">Máscaras </w:t>
      </w:r>
      <w:r w:rsidRPr="00B10470">
        <w:rPr>
          <w:rFonts w:ascii="Times New Roman" w:hAnsi="Times New Roman" w:cs="Times New Roman"/>
          <w:b/>
          <w:lang w:val="pt-BR"/>
        </w:rPr>
        <w:t xml:space="preserve">N95 versus máscaras </w:t>
      </w:r>
      <w:r w:rsidRPr="00B10470">
        <w:rPr>
          <w:rFonts w:ascii="Times New Roman" w:hAnsi="Times New Roman" w:cs="Times New Roman"/>
          <w:b/>
          <w:lang w:val="pt-BR"/>
        </w:rPr>
        <w:t>cirúrgicas</w:t>
      </w:r>
      <w:r w:rsidRPr="00B10470">
        <w:rPr>
          <w:rFonts w:ascii="Times New Roman" w:hAnsi="Times New Roman" w:cs="Times New Roman"/>
          <w:b/>
          <w:lang w:val="pt-BR"/>
        </w:rPr>
        <w:t xml:space="preserve"> para prevenir a gripe entre profissionais de saúde </w:t>
      </w:r>
      <w:r w:rsidRPr="00B10470">
        <w:rPr>
          <w:rFonts w:ascii="Times New Roman" w:hAnsi="Times New Roman" w:cs="Times New Roman"/>
          <w:b/>
          <w:lang w:val="pt-BR"/>
        </w:rPr>
        <w:t xml:space="preserve">- </w:t>
      </w:r>
      <w:r w:rsidRPr="00B10470">
        <w:rPr>
          <w:rFonts w:ascii="Times New Roman" w:hAnsi="Times New Roman" w:cs="Times New Roman"/>
          <w:b/>
          <w:lang w:val="pt-BR"/>
        </w:rPr>
        <w:t>Um ensaio clínico randomizado.</w:t>
      </w:r>
      <w:r w:rsidR="00B659E2" w:rsidRPr="00B10470">
        <w:rPr>
          <w:rFonts w:ascii="Times New Roman" w:hAnsi="Times New Roman" w:cs="Times New Roman"/>
          <w:b/>
          <w:lang w:val="pt-BR"/>
        </w:rPr>
        <w:t xml:space="preserve"> </w:t>
      </w:r>
      <w:proofErr w:type="spellStart"/>
      <w:r w:rsidR="00B659E2" w:rsidRPr="00A07CAF">
        <w:rPr>
          <w:rFonts w:ascii="Times New Roman" w:hAnsi="Times New Roman" w:cs="Times New Roman"/>
        </w:rPr>
        <w:t>Radonovich</w:t>
      </w:r>
      <w:proofErr w:type="spellEnd"/>
      <w:r w:rsidR="00B659E2" w:rsidRPr="00A07CAF">
        <w:rPr>
          <w:rFonts w:ascii="Times New Roman" w:hAnsi="Times New Roman" w:cs="Times New Roman"/>
        </w:rPr>
        <w:t xml:space="preserve"> Jr LJ, </w:t>
      </w:r>
      <w:proofErr w:type="spellStart"/>
      <w:r w:rsidR="00B659E2" w:rsidRPr="00A07CAF">
        <w:rPr>
          <w:rFonts w:ascii="Times New Roman" w:hAnsi="Times New Roman" w:cs="Times New Roman"/>
        </w:rPr>
        <w:t>Simberkoff</w:t>
      </w:r>
      <w:proofErr w:type="spellEnd"/>
      <w:r w:rsidR="00B659E2" w:rsidRPr="00A07CAF">
        <w:rPr>
          <w:rFonts w:ascii="Times New Roman" w:hAnsi="Times New Roman" w:cs="Times New Roman"/>
        </w:rPr>
        <w:t xml:space="preserve"> MS, </w:t>
      </w:r>
      <w:proofErr w:type="spellStart"/>
      <w:r w:rsidR="00B659E2" w:rsidRPr="00A07CAF">
        <w:rPr>
          <w:rFonts w:ascii="Times New Roman" w:hAnsi="Times New Roman" w:cs="Times New Roman"/>
        </w:rPr>
        <w:t>Bessesen</w:t>
      </w:r>
      <w:proofErr w:type="spellEnd"/>
      <w:r w:rsidR="00B659E2" w:rsidRPr="00A07CAF">
        <w:rPr>
          <w:rFonts w:ascii="Times New Roman" w:hAnsi="Times New Roman" w:cs="Times New Roman"/>
        </w:rPr>
        <w:t xml:space="preserve"> MT, et al. JAMA</w:t>
      </w:r>
      <w:r w:rsidR="0078393E">
        <w:rPr>
          <w:rFonts w:ascii="Times New Roman" w:hAnsi="Times New Roman" w:cs="Times New Roman"/>
        </w:rPr>
        <w:t xml:space="preserve"> </w:t>
      </w:r>
      <w:r w:rsidR="00B659E2" w:rsidRPr="00A07CAF">
        <w:rPr>
          <w:rFonts w:ascii="Times New Roman" w:hAnsi="Times New Roman" w:cs="Times New Roman"/>
        </w:rPr>
        <w:t>2019;322(9):824-833.</w:t>
      </w:r>
    </w:p>
    <w:p w14:paraId="70B31FF5" w14:textId="77777777" w:rsidR="009C00CB" w:rsidRPr="00A07CAF" w:rsidRDefault="009C00CB" w:rsidP="009C00CB">
      <w:pPr>
        <w:pStyle w:val="PargrafodaLista"/>
        <w:spacing w:after="0"/>
        <w:rPr>
          <w:rFonts w:ascii="Times New Roman" w:hAnsi="Times New Roman" w:cs="Times New Roman"/>
        </w:rPr>
      </w:pPr>
    </w:p>
    <w:p w14:paraId="7F1FC5A8" w14:textId="392BD6C2" w:rsidR="009C00CB"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Para muitas pessoas, inclusive as saudáveis, a gripe é uma doença grave que </w:t>
      </w:r>
      <w:r w:rsidR="00BC2D14" w:rsidRPr="00A07CAF">
        <w:rPr>
          <w:rFonts w:ascii="Times New Roman" w:hAnsi="Times New Roman" w:cs="Times New Roman"/>
          <w:lang w:val="pt-BR"/>
        </w:rPr>
        <w:t xml:space="preserve">pode </w:t>
      </w:r>
      <w:r w:rsidRPr="00A07CAF">
        <w:rPr>
          <w:rFonts w:ascii="Times New Roman" w:hAnsi="Times New Roman" w:cs="Times New Roman"/>
          <w:lang w:val="pt-BR"/>
        </w:rPr>
        <w:t>resulta</w:t>
      </w:r>
      <w:r w:rsidR="00BC2D14" w:rsidRPr="00A07CAF">
        <w:rPr>
          <w:rFonts w:ascii="Times New Roman" w:hAnsi="Times New Roman" w:cs="Times New Roman"/>
          <w:lang w:val="pt-BR"/>
        </w:rPr>
        <w:t>r</w:t>
      </w:r>
      <w:r w:rsidRPr="00A07CAF">
        <w:rPr>
          <w:rFonts w:ascii="Times New Roman" w:hAnsi="Times New Roman" w:cs="Times New Roman"/>
          <w:lang w:val="pt-BR"/>
        </w:rPr>
        <w:t xml:space="preserve"> em hospitalização e, em alguns casos, morte. Os profissionais de saúde correm o risco de contrair a gripe de </w:t>
      </w:r>
      <w:r w:rsidR="00940994">
        <w:rPr>
          <w:rFonts w:ascii="Times New Roman" w:hAnsi="Times New Roman" w:cs="Times New Roman"/>
          <w:lang w:val="pt-BR"/>
        </w:rPr>
        <w:t>doente</w:t>
      </w:r>
      <w:r w:rsidRPr="00A07CAF">
        <w:rPr>
          <w:rFonts w:ascii="Times New Roman" w:hAnsi="Times New Roman" w:cs="Times New Roman"/>
          <w:lang w:val="pt-BR"/>
        </w:rPr>
        <w:t xml:space="preserve">s e colegas de trabalho infectados e, se infectados, podem transmitir o vírus àqueles </w:t>
      </w:r>
      <w:r w:rsidR="0058289C" w:rsidRPr="00A07CAF">
        <w:rPr>
          <w:rFonts w:ascii="Times New Roman" w:hAnsi="Times New Roman" w:cs="Times New Roman"/>
          <w:lang w:val="pt-BR"/>
        </w:rPr>
        <w:t>sob seus</w:t>
      </w:r>
      <w:r w:rsidRPr="00A07CAF">
        <w:rPr>
          <w:rFonts w:ascii="Times New Roman" w:hAnsi="Times New Roman" w:cs="Times New Roman"/>
          <w:lang w:val="pt-BR"/>
        </w:rPr>
        <w:t xml:space="preserve"> cuida</w:t>
      </w:r>
      <w:r w:rsidR="0058289C" w:rsidRPr="00A07CAF">
        <w:rPr>
          <w:rFonts w:ascii="Times New Roman" w:hAnsi="Times New Roman" w:cs="Times New Roman"/>
          <w:lang w:val="pt-BR"/>
        </w:rPr>
        <w:t>dos</w:t>
      </w:r>
      <w:r w:rsidRPr="00A07CAF">
        <w:rPr>
          <w:rFonts w:ascii="Times New Roman" w:hAnsi="Times New Roman" w:cs="Times New Roman"/>
          <w:lang w:val="pt-BR"/>
        </w:rPr>
        <w:t>. Muitas organizações de saúde exigem e incentivam todos os funcionários a receber</w:t>
      </w:r>
      <w:r w:rsidR="00490BB7">
        <w:rPr>
          <w:rFonts w:ascii="Times New Roman" w:hAnsi="Times New Roman" w:cs="Times New Roman"/>
          <w:lang w:val="pt-BR"/>
        </w:rPr>
        <w:t>em</w:t>
      </w:r>
      <w:r w:rsidRPr="00A07CAF">
        <w:rPr>
          <w:rFonts w:ascii="Times New Roman" w:hAnsi="Times New Roman" w:cs="Times New Roman"/>
          <w:lang w:val="pt-BR"/>
        </w:rPr>
        <w:t xml:space="preserve"> uma vacina anual contra a gripe ou usar uma máscara durante </w:t>
      </w:r>
      <w:r w:rsidR="00490BB7">
        <w:rPr>
          <w:rFonts w:ascii="Times New Roman" w:hAnsi="Times New Roman" w:cs="Times New Roman"/>
          <w:lang w:val="pt-BR"/>
        </w:rPr>
        <w:t>todo</w:t>
      </w:r>
      <w:r w:rsidRPr="00A07CAF">
        <w:rPr>
          <w:rFonts w:ascii="Times New Roman" w:hAnsi="Times New Roman" w:cs="Times New Roman"/>
          <w:lang w:val="pt-BR"/>
        </w:rPr>
        <w:t xml:space="preserve"> contato com o </w:t>
      </w:r>
      <w:r w:rsidR="00940994">
        <w:rPr>
          <w:rFonts w:ascii="Times New Roman" w:hAnsi="Times New Roman" w:cs="Times New Roman"/>
          <w:lang w:val="pt-BR"/>
        </w:rPr>
        <w:t>doente</w:t>
      </w:r>
      <w:r w:rsidRPr="00A07CAF">
        <w:rPr>
          <w:rFonts w:ascii="Times New Roman" w:hAnsi="Times New Roman" w:cs="Times New Roman"/>
          <w:lang w:val="pt-BR"/>
        </w:rPr>
        <w:t xml:space="preserve"> e em áreas comuns de suas instituições. O Centro para Controle e Prevenção de Doenças </w:t>
      </w:r>
      <w:r w:rsidR="00490BB7" w:rsidRPr="00A07CAF">
        <w:rPr>
          <w:rFonts w:ascii="Times New Roman" w:hAnsi="Times New Roman" w:cs="Times New Roman"/>
          <w:lang w:val="pt-BR"/>
        </w:rPr>
        <w:t xml:space="preserve">(CDC) dos Estados Unidos </w:t>
      </w:r>
      <w:r w:rsidRPr="00A07CAF">
        <w:rPr>
          <w:rFonts w:ascii="Times New Roman" w:hAnsi="Times New Roman" w:cs="Times New Roman"/>
          <w:lang w:val="pt-BR"/>
        </w:rPr>
        <w:t>relata que, de 2017 a 2018, a vacinação contra gripe entre os profissionais de saúde em geral foi de apenas 78,4%. As organizações que requerem vacinas contra a gripe aumentaram para 94,8% da cobertura vacinal. A adesão à vacinação contra a gripe foi maior entre os profissionais de saúde mais treinados. Médicos, farmacêuticos e enfermeiros apresentaram adesão de 96,1% a 90,5%. Pro</w:t>
      </w:r>
      <w:r w:rsidR="00490BB7">
        <w:rPr>
          <w:rFonts w:ascii="Times New Roman" w:hAnsi="Times New Roman" w:cs="Times New Roman"/>
          <w:lang w:val="pt-BR"/>
        </w:rPr>
        <w:t>fissionais</w:t>
      </w:r>
      <w:r w:rsidRPr="00A07CAF">
        <w:rPr>
          <w:rFonts w:ascii="Times New Roman" w:hAnsi="Times New Roman" w:cs="Times New Roman"/>
          <w:lang w:val="pt-BR"/>
        </w:rPr>
        <w:t xml:space="preserve"> menos treinados tiveram menor conformidade com as vacinas contra gripe; 71,1% para assistentes e auxiliares.</w:t>
      </w:r>
    </w:p>
    <w:p w14:paraId="00EEC030" w14:textId="0FE90924" w:rsidR="009C00CB"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Para os profissionais de saúde que optam por não receber uma vacinação anual contra a gripe ou que não podem receber devido a alergias conhecidas ou condições de saúde pré-existentes, permanece a questão: como eles podem se proteger d</w:t>
      </w:r>
      <w:r w:rsidR="00313D2B" w:rsidRPr="00A07CAF">
        <w:rPr>
          <w:rFonts w:ascii="Times New Roman" w:hAnsi="Times New Roman" w:cs="Times New Roman"/>
          <w:lang w:val="pt-BR"/>
        </w:rPr>
        <w:t xml:space="preserve">o risco de </w:t>
      </w:r>
      <w:r w:rsidR="007E473F" w:rsidRPr="00A07CAF">
        <w:rPr>
          <w:rFonts w:ascii="Times New Roman" w:hAnsi="Times New Roman" w:cs="Times New Roman"/>
          <w:lang w:val="pt-BR"/>
        </w:rPr>
        <w:t>contrair</w:t>
      </w:r>
      <w:r w:rsidRPr="00A07CAF">
        <w:rPr>
          <w:rFonts w:ascii="Times New Roman" w:hAnsi="Times New Roman" w:cs="Times New Roman"/>
          <w:lang w:val="pt-BR"/>
        </w:rPr>
        <w:t xml:space="preserve"> gripe durante o trabalho? Um artigo de 2009 no </w:t>
      </w:r>
      <w:proofErr w:type="spellStart"/>
      <w:r w:rsidRPr="00A07CAF">
        <w:rPr>
          <w:rFonts w:ascii="Times New Roman" w:hAnsi="Times New Roman" w:cs="Times New Roman"/>
          <w:lang w:val="pt-BR"/>
        </w:rPr>
        <w:t>Annals</w:t>
      </w:r>
      <w:proofErr w:type="spellEnd"/>
      <w:r w:rsidRPr="00A07CAF">
        <w:rPr>
          <w:rFonts w:ascii="Times New Roman" w:hAnsi="Times New Roman" w:cs="Times New Roman"/>
          <w:lang w:val="pt-BR"/>
        </w:rPr>
        <w:t xml:space="preserve"> </w:t>
      </w:r>
      <w:proofErr w:type="spellStart"/>
      <w:r w:rsidRPr="00A07CAF">
        <w:rPr>
          <w:rFonts w:ascii="Times New Roman" w:hAnsi="Times New Roman" w:cs="Times New Roman"/>
          <w:lang w:val="pt-BR"/>
        </w:rPr>
        <w:t>of</w:t>
      </w:r>
      <w:proofErr w:type="spellEnd"/>
      <w:r w:rsidRPr="00A07CAF">
        <w:rPr>
          <w:rFonts w:ascii="Times New Roman" w:hAnsi="Times New Roman" w:cs="Times New Roman"/>
          <w:lang w:val="pt-BR"/>
        </w:rPr>
        <w:t xml:space="preserve"> </w:t>
      </w:r>
      <w:proofErr w:type="spellStart"/>
      <w:r w:rsidRPr="00A07CAF">
        <w:rPr>
          <w:rFonts w:ascii="Times New Roman" w:hAnsi="Times New Roman" w:cs="Times New Roman"/>
          <w:lang w:val="pt-BR"/>
        </w:rPr>
        <w:t>Internal</w:t>
      </w:r>
      <w:proofErr w:type="spellEnd"/>
      <w:r w:rsidRPr="00A07CAF">
        <w:rPr>
          <w:rFonts w:ascii="Times New Roman" w:hAnsi="Times New Roman" w:cs="Times New Roman"/>
          <w:lang w:val="pt-BR"/>
        </w:rPr>
        <w:t xml:space="preserve"> Medicine concluiu que, juntamente com uma lavagem boa e frequente das mãos, vestir uma máscara pode ajudar a impedir que as pessoas contraiam a gripe.</w:t>
      </w:r>
    </w:p>
    <w:p w14:paraId="624FA091" w14:textId="7890B867" w:rsidR="009C00CB"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Embora as evidências clínicas existentes sejam inconclusivas, este estudo tentou determinar se </w:t>
      </w:r>
      <w:r w:rsidR="008B0B55" w:rsidRPr="00A07CAF">
        <w:rPr>
          <w:rFonts w:ascii="Times New Roman" w:hAnsi="Times New Roman" w:cs="Times New Roman"/>
          <w:lang w:val="pt-BR"/>
        </w:rPr>
        <w:t>as máscaras</w:t>
      </w:r>
      <w:r w:rsidRPr="00A07CAF">
        <w:rPr>
          <w:rFonts w:ascii="Times New Roman" w:hAnsi="Times New Roman" w:cs="Times New Roman"/>
          <w:lang w:val="pt-BR"/>
        </w:rPr>
        <w:t xml:space="preserve"> N95 descartáveis ​​eram mais eficazes ou menos eficazes do que as máscaras cirúrgica</w:t>
      </w:r>
      <w:r w:rsidR="00D04FA1">
        <w:rPr>
          <w:rFonts w:ascii="Times New Roman" w:hAnsi="Times New Roman" w:cs="Times New Roman"/>
          <w:lang w:val="pt-BR"/>
        </w:rPr>
        <w:t>s</w:t>
      </w:r>
      <w:r w:rsidRPr="00A07CAF">
        <w:rPr>
          <w:rFonts w:ascii="Times New Roman" w:hAnsi="Times New Roman" w:cs="Times New Roman"/>
          <w:lang w:val="pt-BR"/>
        </w:rPr>
        <w:t xml:space="preserve"> na prevenção da gripe entre os prestadores de cuidados de saúde ambulatoriais próximos de pessoas com doenças respiratórias. Os autores conduziram um estudo randomizado, multicêntrico, de eficácia pragmática. Este estudo ambulatorial foi realizado entre a primavera de 2011 e o verão de 2016 em sete sistemas de saúde nos Estados Unidos. Os participantes eram todos adultos </w:t>
      </w:r>
      <w:r w:rsidR="00D04FA1" w:rsidRPr="00A07CAF">
        <w:rPr>
          <w:rFonts w:ascii="Times New Roman" w:hAnsi="Times New Roman" w:cs="Times New Roman"/>
          <w:lang w:val="pt-BR"/>
        </w:rPr>
        <w:t xml:space="preserve">(18 anos ou mais) </w:t>
      </w:r>
      <w:r w:rsidRPr="00A07CAF">
        <w:rPr>
          <w:rFonts w:ascii="Times New Roman" w:hAnsi="Times New Roman" w:cs="Times New Roman"/>
          <w:lang w:val="pt-BR"/>
        </w:rPr>
        <w:t xml:space="preserve">empregados em período integral e que trabalham rotineiramente a menos de um metro e meio dos </w:t>
      </w:r>
      <w:r w:rsidR="00940994">
        <w:rPr>
          <w:rFonts w:ascii="Times New Roman" w:hAnsi="Times New Roman" w:cs="Times New Roman"/>
          <w:lang w:val="pt-BR"/>
        </w:rPr>
        <w:t>doente</w:t>
      </w:r>
      <w:r w:rsidRPr="00A07CAF">
        <w:rPr>
          <w:rFonts w:ascii="Times New Roman" w:hAnsi="Times New Roman" w:cs="Times New Roman"/>
          <w:lang w:val="pt-BR"/>
        </w:rPr>
        <w:t>s. As exclusões do estudo foram condições médicas ou anatômicas que impediram a colocação segura e eficaz de um</w:t>
      </w:r>
      <w:r w:rsidR="008B0B55" w:rsidRPr="00A07CAF">
        <w:rPr>
          <w:rFonts w:ascii="Times New Roman" w:hAnsi="Times New Roman" w:cs="Times New Roman"/>
          <w:lang w:val="pt-BR"/>
        </w:rPr>
        <w:t>a máscara</w:t>
      </w:r>
      <w:r w:rsidRPr="00A07CAF">
        <w:rPr>
          <w:rFonts w:ascii="Times New Roman" w:hAnsi="Times New Roman" w:cs="Times New Roman"/>
          <w:lang w:val="pt-BR"/>
        </w:rPr>
        <w:t xml:space="preserve"> N95. Os participantes foram aleatoriamente agrupados nos grupos </w:t>
      </w:r>
      <w:r w:rsidR="008B0B55" w:rsidRPr="00A07CAF">
        <w:rPr>
          <w:rFonts w:ascii="Times New Roman" w:hAnsi="Times New Roman" w:cs="Times New Roman"/>
          <w:lang w:val="pt-BR"/>
        </w:rPr>
        <w:t>de máscaras</w:t>
      </w:r>
      <w:r w:rsidRPr="00A07CAF">
        <w:rPr>
          <w:rFonts w:ascii="Times New Roman" w:hAnsi="Times New Roman" w:cs="Times New Roman"/>
          <w:lang w:val="pt-BR"/>
        </w:rPr>
        <w:t xml:space="preserve"> N95 ou máscara </w:t>
      </w:r>
      <w:proofErr w:type="spellStart"/>
      <w:r w:rsidR="00D04FA1">
        <w:rPr>
          <w:rFonts w:ascii="Times New Roman" w:hAnsi="Times New Roman" w:cs="Times New Roman"/>
          <w:lang w:val="pt-BR"/>
        </w:rPr>
        <w:t>ctrúrgica</w:t>
      </w:r>
      <w:proofErr w:type="spellEnd"/>
      <w:r w:rsidRPr="00A07CAF">
        <w:rPr>
          <w:rFonts w:ascii="Times New Roman" w:hAnsi="Times New Roman" w:cs="Times New Roman"/>
          <w:lang w:val="pt-BR"/>
        </w:rPr>
        <w:t xml:space="preserve">. Os grupos de estudo foram instruídos a usar os dispositivos de proteção designados durante as 12 semanas em que se previa que as doenças respiratórias virais eram </w:t>
      </w:r>
      <w:r w:rsidR="008B0B55" w:rsidRPr="00A07CAF">
        <w:rPr>
          <w:rFonts w:ascii="Times New Roman" w:hAnsi="Times New Roman" w:cs="Times New Roman"/>
          <w:lang w:val="pt-BR"/>
        </w:rPr>
        <w:t xml:space="preserve">mais prevalentes </w:t>
      </w:r>
      <w:r w:rsidRPr="00A07CAF">
        <w:rPr>
          <w:rFonts w:ascii="Times New Roman" w:hAnsi="Times New Roman" w:cs="Times New Roman"/>
          <w:lang w:val="pt-BR"/>
        </w:rPr>
        <w:t>no ano.</w:t>
      </w:r>
    </w:p>
    <w:p w14:paraId="23CFBE2F" w14:textId="77777777" w:rsidR="009C00CB"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Os participantes que relataram sintomas de doenças respiratórias tiveram </w:t>
      </w:r>
      <w:proofErr w:type="spellStart"/>
      <w:r w:rsidRPr="00A07CAF">
        <w:rPr>
          <w:rFonts w:ascii="Times New Roman" w:hAnsi="Times New Roman" w:cs="Times New Roman"/>
          <w:lang w:val="pt-BR"/>
        </w:rPr>
        <w:t>swabs</w:t>
      </w:r>
      <w:proofErr w:type="spellEnd"/>
      <w:r w:rsidRPr="00A07CAF">
        <w:rPr>
          <w:rFonts w:ascii="Times New Roman" w:hAnsi="Times New Roman" w:cs="Times New Roman"/>
          <w:lang w:val="pt-BR"/>
        </w:rPr>
        <w:t xml:space="preserve"> nasais coletados dentro de 24 horas após a notificação dos sintomas. Além disso, dois </w:t>
      </w:r>
      <w:proofErr w:type="spellStart"/>
      <w:r w:rsidRPr="00A07CAF">
        <w:rPr>
          <w:rFonts w:ascii="Times New Roman" w:hAnsi="Times New Roman" w:cs="Times New Roman"/>
          <w:lang w:val="pt-BR"/>
        </w:rPr>
        <w:t>swabs</w:t>
      </w:r>
      <w:proofErr w:type="spellEnd"/>
      <w:r w:rsidRPr="00A07CAF">
        <w:rPr>
          <w:rFonts w:ascii="Times New Roman" w:hAnsi="Times New Roman" w:cs="Times New Roman"/>
          <w:lang w:val="pt-BR"/>
        </w:rPr>
        <w:t xml:space="preserve"> aleatórios foram obtidos de cada participante no período de 12 semanas do estudo para cada ano. O desfecho primário foi a incidência de influenza confirmada por análise laboratorial.</w:t>
      </w:r>
    </w:p>
    <w:p w14:paraId="73BFD867" w14:textId="568EF092" w:rsidR="009C00CB"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A adesão ao desenho do estudo foi relatada em pesquisas diárias pelos participantes; 22.330 pesquisas para o grupo </w:t>
      </w:r>
      <w:r w:rsidR="008B0B55" w:rsidRPr="00A07CAF">
        <w:rPr>
          <w:rFonts w:ascii="Times New Roman" w:hAnsi="Times New Roman" w:cs="Times New Roman"/>
          <w:lang w:val="pt-BR"/>
        </w:rPr>
        <w:t>que utilizou máscaras</w:t>
      </w:r>
      <w:r w:rsidRPr="00A07CAF">
        <w:rPr>
          <w:rFonts w:ascii="Times New Roman" w:hAnsi="Times New Roman" w:cs="Times New Roman"/>
          <w:lang w:val="pt-BR"/>
        </w:rPr>
        <w:t xml:space="preserve"> N95 e 23.315 para o grupo </w:t>
      </w:r>
      <w:r w:rsidR="008B0B55" w:rsidRPr="00A07CAF">
        <w:rPr>
          <w:rFonts w:ascii="Times New Roman" w:hAnsi="Times New Roman" w:cs="Times New Roman"/>
          <w:lang w:val="pt-BR"/>
        </w:rPr>
        <w:t>que utilizou</w:t>
      </w:r>
      <w:r w:rsidRPr="00A07CAF">
        <w:rPr>
          <w:rFonts w:ascii="Times New Roman" w:hAnsi="Times New Roman" w:cs="Times New Roman"/>
          <w:lang w:val="pt-BR"/>
        </w:rPr>
        <w:t xml:space="preserve"> máscaras </w:t>
      </w:r>
      <w:r w:rsidR="00D04FA1">
        <w:rPr>
          <w:rFonts w:ascii="Times New Roman" w:hAnsi="Times New Roman" w:cs="Times New Roman"/>
          <w:lang w:val="pt-BR"/>
        </w:rPr>
        <w:t>cirúrgicas</w:t>
      </w:r>
      <w:r w:rsidRPr="00A07CAF">
        <w:rPr>
          <w:rFonts w:ascii="Times New Roman" w:hAnsi="Times New Roman" w:cs="Times New Roman"/>
          <w:lang w:val="pt-BR"/>
        </w:rPr>
        <w:t xml:space="preserve">. </w:t>
      </w:r>
      <w:r w:rsidR="00D04FA1">
        <w:rPr>
          <w:rFonts w:ascii="Times New Roman" w:hAnsi="Times New Roman" w:cs="Times New Roman"/>
          <w:lang w:val="pt-BR"/>
        </w:rPr>
        <w:t>“</w:t>
      </w:r>
      <w:r w:rsidRPr="00A07CAF">
        <w:rPr>
          <w:rFonts w:ascii="Times New Roman" w:hAnsi="Times New Roman" w:cs="Times New Roman"/>
          <w:lang w:val="pt-BR"/>
        </w:rPr>
        <w:t>Sempre</w:t>
      </w:r>
      <w:r w:rsidR="00D04FA1">
        <w:rPr>
          <w:rFonts w:ascii="Times New Roman" w:hAnsi="Times New Roman" w:cs="Times New Roman"/>
          <w:lang w:val="pt-BR"/>
        </w:rPr>
        <w:t>”</w:t>
      </w:r>
      <w:r w:rsidRPr="00A07CAF">
        <w:rPr>
          <w:rFonts w:ascii="Times New Roman" w:hAnsi="Times New Roman" w:cs="Times New Roman"/>
          <w:lang w:val="pt-BR"/>
        </w:rPr>
        <w:t xml:space="preserve"> foi </w:t>
      </w:r>
      <w:r w:rsidRPr="00A07CAF">
        <w:rPr>
          <w:rFonts w:ascii="Times New Roman" w:hAnsi="Times New Roman" w:cs="Times New Roman"/>
          <w:lang w:val="pt-BR"/>
        </w:rPr>
        <w:lastRenderedPageBreak/>
        <w:t xml:space="preserve">relatado 65,2% das vezes pelos participantes usando </w:t>
      </w:r>
      <w:r w:rsidR="008B0B55" w:rsidRPr="00A07CAF">
        <w:rPr>
          <w:rFonts w:ascii="Times New Roman" w:hAnsi="Times New Roman" w:cs="Times New Roman"/>
          <w:lang w:val="pt-BR"/>
        </w:rPr>
        <w:t>a máscara</w:t>
      </w:r>
      <w:r w:rsidRPr="00A07CAF">
        <w:rPr>
          <w:rFonts w:ascii="Times New Roman" w:hAnsi="Times New Roman" w:cs="Times New Roman"/>
          <w:lang w:val="pt-BR"/>
        </w:rPr>
        <w:t xml:space="preserve"> N95 e 65,1% das vezes para os grupos de máscaras médicas. A incidência de infecção por influenza confirmada laboratorialmente ocorreu em 8,2% do grupo </w:t>
      </w:r>
      <w:r w:rsidR="008B0B55" w:rsidRPr="00A07CAF">
        <w:rPr>
          <w:rFonts w:ascii="Times New Roman" w:hAnsi="Times New Roman" w:cs="Times New Roman"/>
          <w:lang w:val="pt-BR"/>
        </w:rPr>
        <w:t>que utilizou máscaras</w:t>
      </w:r>
      <w:r w:rsidRPr="00A07CAF">
        <w:rPr>
          <w:rFonts w:ascii="Times New Roman" w:hAnsi="Times New Roman" w:cs="Times New Roman"/>
          <w:lang w:val="pt-BR"/>
        </w:rPr>
        <w:t xml:space="preserve"> N95 e 7,2% no grupo da máscara </w:t>
      </w:r>
      <w:r w:rsidR="00D04FA1">
        <w:rPr>
          <w:rFonts w:ascii="Times New Roman" w:hAnsi="Times New Roman" w:cs="Times New Roman"/>
          <w:lang w:val="pt-BR"/>
        </w:rPr>
        <w:t>cirúrgica</w:t>
      </w:r>
      <w:r w:rsidRPr="00A07CAF">
        <w:rPr>
          <w:rFonts w:ascii="Times New Roman" w:hAnsi="Times New Roman" w:cs="Times New Roman"/>
          <w:lang w:val="pt-BR"/>
        </w:rPr>
        <w:t>.</w:t>
      </w:r>
    </w:p>
    <w:p w14:paraId="5B08083D" w14:textId="2699DF53" w:rsidR="00B659E2" w:rsidRPr="00A07CAF" w:rsidRDefault="009C00CB" w:rsidP="009C00CB">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O estudo sugere que nem </w:t>
      </w:r>
      <w:r w:rsidR="00D04FA1">
        <w:rPr>
          <w:rFonts w:ascii="Times New Roman" w:hAnsi="Times New Roman" w:cs="Times New Roman"/>
          <w:lang w:val="pt-BR"/>
        </w:rPr>
        <w:t>as máscaras</w:t>
      </w:r>
      <w:r w:rsidRPr="00A07CAF">
        <w:rPr>
          <w:rFonts w:ascii="Times New Roman" w:hAnsi="Times New Roman" w:cs="Times New Roman"/>
          <w:lang w:val="pt-BR"/>
        </w:rPr>
        <w:t xml:space="preserve"> N95 nem as máscaras </w:t>
      </w:r>
      <w:r w:rsidR="00D04FA1">
        <w:rPr>
          <w:rFonts w:ascii="Times New Roman" w:hAnsi="Times New Roman" w:cs="Times New Roman"/>
          <w:lang w:val="pt-BR"/>
        </w:rPr>
        <w:t>cirúrgicas</w:t>
      </w:r>
      <w:r w:rsidRPr="00A07CAF">
        <w:rPr>
          <w:rFonts w:ascii="Times New Roman" w:hAnsi="Times New Roman" w:cs="Times New Roman"/>
          <w:lang w:val="pt-BR"/>
        </w:rPr>
        <w:t xml:space="preserve"> são superiores aos outros na prevenção de infecção / doença respiratória viral entre os participantes quando usados ​​de forma consistente com as diretrizes da prática clínica. A vacinação anual contra a gripe continua sendo a melhor opção para os profissionais de saúde evitarem contrair a gripe de </w:t>
      </w:r>
      <w:r w:rsidR="00940994">
        <w:rPr>
          <w:rFonts w:ascii="Times New Roman" w:hAnsi="Times New Roman" w:cs="Times New Roman"/>
          <w:lang w:val="pt-BR"/>
        </w:rPr>
        <w:t>doente</w:t>
      </w:r>
      <w:r w:rsidRPr="00A07CAF">
        <w:rPr>
          <w:rFonts w:ascii="Times New Roman" w:hAnsi="Times New Roman" w:cs="Times New Roman"/>
          <w:lang w:val="pt-BR"/>
        </w:rPr>
        <w:t xml:space="preserve">s e colegas de trabalho. Para aqueles que não querem ou não podem tomar a vacina contra a gripe, as máscaras </w:t>
      </w:r>
      <w:r w:rsidR="00D04FA1">
        <w:rPr>
          <w:rFonts w:ascii="Times New Roman" w:hAnsi="Times New Roman" w:cs="Times New Roman"/>
          <w:lang w:val="pt-BR"/>
        </w:rPr>
        <w:t>cirúrgicas</w:t>
      </w:r>
      <w:r w:rsidRPr="00A07CAF">
        <w:rPr>
          <w:rFonts w:ascii="Times New Roman" w:hAnsi="Times New Roman" w:cs="Times New Roman"/>
          <w:lang w:val="pt-BR"/>
        </w:rPr>
        <w:t xml:space="preserve"> parecem tão eficazes quanto e são menos caras que </w:t>
      </w:r>
      <w:r w:rsidR="008B0B55" w:rsidRPr="00A07CAF">
        <w:rPr>
          <w:rFonts w:ascii="Times New Roman" w:hAnsi="Times New Roman" w:cs="Times New Roman"/>
          <w:lang w:val="pt-BR"/>
        </w:rPr>
        <w:t>as m</w:t>
      </w:r>
      <w:r w:rsidR="00D04FA1">
        <w:rPr>
          <w:rFonts w:ascii="Times New Roman" w:hAnsi="Times New Roman" w:cs="Times New Roman"/>
          <w:lang w:val="pt-BR"/>
        </w:rPr>
        <w:t>á</w:t>
      </w:r>
      <w:r w:rsidR="008B0B55" w:rsidRPr="00A07CAF">
        <w:rPr>
          <w:rFonts w:ascii="Times New Roman" w:hAnsi="Times New Roman" w:cs="Times New Roman"/>
          <w:lang w:val="pt-BR"/>
        </w:rPr>
        <w:t xml:space="preserve">scaras </w:t>
      </w:r>
      <w:r w:rsidRPr="00A07CAF">
        <w:rPr>
          <w:rFonts w:ascii="Times New Roman" w:hAnsi="Times New Roman" w:cs="Times New Roman"/>
          <w:lang w:val="pt-BR"/>
        </w:rPr>
        <w:t xml:space="preserve">N95 quando usadas adequadamente durante o contato </w:t>
      </w:r>
      <w:r w:rsidR="00D04FA1">
        <w:rPr>
          <w:rFonts w:ascii="Times New Roman" w:hAnsi="Times New Roman" w:cs="Times New Roman"/>
          <w:lang w:val="pt-BR"/>
        </w:rPr>
        <w:t>com os</w:t>
      </w:r>
      <w:r w:rsidRPr="00A07CAF">
        <w:rPr>
          <w:rFonts w:ascii="Times New Roman" w:hAnsi="Times New Roman" w:cs="Times New Roman"/>
          <w:lang w:val="pt-BR"/>
        </w:rPr>
        <w:t xml:space="preserve"> </w:t>
      </w:r>
      <w:r w:rsidR="00940994">
        <w:rPr>
          <w:rFonts w:ascii="Times New Roman" w:hAnsi="Times New Roman" w:cs="Times New Roman"/>
          <w:lang w:val="pt-BR"/>
        </w:rPr>
        <w:t>doente</w:t>
      </w:r>
      <w:r w:rsidR="00D04FA1">
        <w:rPr>
          <w:rFonts w:ascii="Times New Roman" w:hAnsi="Times New Roman" w:cs="Times New Roman"/>
          <w:lang w:val="pt-BR"/>
        </w:rPr>
        <w:t>s</w:t>
      </w:r>
      <w:r w:rsidRPr="00A07CAF">
        <w:rPr>
          <w:rFonts w:ascii="Times New Roman" w:hAnsi="Times New Roman" w:cs="Times New Roman"/>
          <w:lang w:val="pt-BR"/>
        </w:rPr>
        <w:t>.</w:t>
      </w:r>
    </w:p>
    <w:p w14:paraId="3E3759E7" w14:textId="6C80CDE1" w:rsidR="00AD6186" w:rsidRPr="00A07CAF" w:rsidRDefault="00AD6186" w:rsidP="009C00CB">
      <w:pPr>
        <w:spacing w:after="0"/>
        <w:ind w:firstLine="360"/>
        <w:jc w:val="both"/>
        <w:rPr>
          <w:rFonts w:ascii="Times New Roman" w:hAnsi="Times New Roman" w:cs="Times New Roman"/>
          <w:lang w:val="pt-BR"/>
        </w:rPr>
      </w:pPr>
    </w:p>
    <w:p w14:paraId="24671E36" w14:textId="1A90730B" w:rsidR="00AD6186" w:rsidRPr="00A07CAF" w:rsidRDefault="00AD6186" w:rsidP="009C00CB">
      <w:pPr>
        <w:spacing w:after="0"/>
        <w:ind w:firstLine="360"/>
        <w:jc w:val="both"/>
        <w:rPr>
          <w:rFonts w:ascii="Times New Roman" w:hAnsi="Times New Roman" w:cs="Times New Roman"/>
          <w:lang w:val="pt-BR"/>
        </w:rPr>
      </w:pPr>
    </w:p>
    <w:p w14:paraId="61746A3E" w14:textId="0D369A84" w:rsidR="0070194C" w:rsidRPr="00A07CAF" w:rsidRDefault="004E434E" w:rsidP="004E434E">
      <w:pPr>
        <w:pStyle w:val="PargrafodaLista"/>
        <w:numPr>
          <w:ilvl w:val="0"/>
          <w:numId w:val="5"/>
        </w:numPr>
        <w:spacing w:after="0"/>
        <w:jc w:val="both"/>
        <w:rPr>
          <w:rFonts w:ascii="Times New Roman" w:eastAsia="Times New Roman" w:hAnsi="Times New Roman" w:cs="Times New Roman"/>
          <w:b/>
        </w:rPr>
      </w:pPr>
      <w:r w:rsidRPr="004E434E">
        <w:rPr>
          <w:rFonts w:ascii="Times New Roman" w:eastAsia="Times New Roman" w:hAnsi="Times New Roman" w:cs="Times New Roman"/>
          <w:b/>
          <w:lang w:val="pt-BR"/>
        </w:rPr>
        <w:t>Avaliação de um modelo de força-tarefa de resgate integrado para resposta ativa a ameaças.</w:t>
      </w:r>
      <w:r>
        <w:rPr>
          <w:rFonts w:ascii="Times New Roman" w:eastAsia="Times New Roman" w:hAnsi="Times New Roman" w:cs="Times New Roman"/>
          <w:b/>
          <w:lang w:val="pt-BR"/>
        </w:rPr>
        <w:t xml:space="preserve"> </w:t>
      </w:r>
      <w:r w:rsidR="0070194C" w:rsidRPr="0078393E">
        <w:rPr>
          <w:rFonts w:ascii="Times New Roman" w:eastAsia="Times New Roman" w:hAnsi="Times New Roman" w:cs="Times New Roman"/>
        </w:rPr>
        <w:t xml:space="preserve">Bachman MW, Anzalone BC, Williams JG, et al. </w:t>
      </w:r>
      <w:proofErr w:type="spellStart"/>
      <w:r w:rsidR="0070194C" w:rsidRPr="00A07CAF">
        <w:rPr>
          <w:rFonts w:ascii="Times New Roman" w:eastAsia="Times New Roman" w:hAnsi="Times New Roman" w:cs="Times New Roman"/>
        </w:rPr>
        <w:t>Prehosp</w:t>
      </w:r>
      <w:proofErr w:type="spellEnd"/>
      <w:r w:rsidR="0070194C" w:rsidRPr="00A07CAF">
        <w:rPr>
          <w:rFonts w:ascii="Times New Roman" w:eastAsia="Times New Roman" w:hAnsi="Times New Roman" w:cs="Times New Roman"/>
        </w:rPr>
        <w:t xml:space="preserve"> </w:t>
      </w:r>
      <w:proofErr w:type="spellStart"/>
      <w:r w:rsidR="0070194C" w:rsidRPr="00A07CAF">
        <w:rPr>
          <w:rFonts w:ascii="Times New Roman" w:eastAsia="Times New Roman" w:hAnsi="Times New Roman" w:cs="Times New Roman"/>
        </w:rPr>
        <w:t>Emerg</w:t>
      </w:r>
      <w:proofErr w:type="spellEnd"/>
      <w:r w:rsidR="0070194C" w:rsidRPr="00A07CAF">
        <w:rPr>
          <w:rFonts w:ascii="Times New Roman" w:eastAsia="Times New Roman" w:hAnsi="Times New Roman" w:cs="Times New Roman"/>
        </w:rPr>
        <w:t xml:space="preserve"> Care 2019;23:309-318.</w:t>
      </w:r>
    </w:p>
    <w:p w14:paraId="329A3873" w14:textId="5FE6B68F" w:rsidR="0070194C" w:rsidRPr="00A07CAF" w:rsidRDefault="0070194C" w:rsidP="009C00CB">
      <w:pPr>
        <w:spacing w:after="0"/>
        <w:ind w:firstLine="360"/>
        <w:jc w:val="both"/>
        <w:rPr>
          <w:rFonts w:ascii="Times New Roman" w:hAnsi="Times New Roman" w:cs="Times New Roman"/>
        </w:rPr>
      </w:pPr>
    </w:p>
    <w:p w14:paraId="71FC3837" w14:textId="1A08A892" w:rsidR="0070194C" w:rsidRPr="00A07CAF" w:rsidRDefault="0070194C" w:rsidP="00CB7059">
      <w:pPr>
        <w:spacing w:after="0"/>
        <w:ind w:firstLine="360"/>
        <w:jc w:val="both"/>
        <w:rPr>
          <w:rFonts w:ascii="Times New Roman" w:hAnsi="Times New Roman" w:cs="Times New Roman"/>
          <w:lang w:val="pt-BR"/>
        </w:rPr>
      </w:pPr>
      <w:r w:rsidRPr="00A07CAF">
        <w:rPr>
          <w:rFonts w:ascii="Times New Roman" w:hAnsi="Times New Roman" w:cs="Times New Roman"/>
          <w:lang w:val="pt-BR"/>
        </w:rPr>
        <w:t>A resposta integrada (</w:t>
      </w:r>
      <w:r w:rsidR="00057820">
        <w:rPr>
          <w:rFonts w:ascii="Times New Roman" w:hAnsi="Times New Roman" w:cs="Times New Roman"/>
          <w:lang w:val="pt-BR"/>
        </w:rPr>
        <w:t>P</w:t>
      </w:r>
      <w:r w:rsidRPr="00A07CAF">
        <w:rPr>
          <w:rFonts w:ascii="Times New Roman" w:hAnsi="Times New Roman" w:cs="Times New Roman"/>
          <w:lang w:val="pt-BR"/>
        </w:rPr>
        <w:t>ol</w:t>
      </w:r>
      <w:r w:rsidR="00E906A0" w:rsidRPr="00A07CAF">
        <w:rPr>
          <w:rFonts w:ascii="Times New Roman" w:hAnsi="Times New Roman" w:cs="Times New Roman"/>
          <w:lang w:val="pt-BR"/>
        </w:rPr>
        <w:t>ícia e Serviço de Emergência</w:t>
      </w:r>
      <w:r w:rsidR="00057820">
        <w:rPr>
          <w:rFonts w:ascii="Times New Roman" w:hAnsi="Times New Roman" w:cs="Times New Roman"/>
          <w:lang w:val="pt-BR"/>
        </w:rPr>
        <w:t>s</w:t>
      </w:r>
      <w:r w:rsidR="00E906A0" w:rsidRPr="00A07CAF">
        <w:rPr>
          <w:rFonts w:ascii="Times New Roman" w:hAnsi="Times New Roman" w:cs="Times New Roman"/>
          <w:lang w:val="pt-BR"/>
        </w:rPr>
        <w:t xml:space="preserve"> Médica</w:t>
      </w:r>
      <w:r w:rsidR="00057820">
        <w:rPr>
          <w:rFonts w:ascii="Times New Roman" w:hAnsi="Times New Roman" w:cs="Times New Roman"/>
          <w:lang w:val="pt-BR"/>
        </w:rPr>
        <w:t>s</w:t>
      </w:r>
      <w:r w:rsidR="00516230">
        <w:rPr>
          <w:rFonts w:ascii="Times New Roman" w:hAnsi="Times New Roman" w:cs="Times New Roman"/>
          <w:lang w:val="pt-BR"/>
        </w:rPr>
        <w:t xml:space="preserve"> [EMS]</w:t>
      </w:r>
      <w:r w:rsidRPr="00A07CAF">
        <w:rPr>
          <w:rFonts w:ascii="Times New Roman" w:hAnsi="Times New Roman" w:cs="Times New Roman"/>
          <w:lang w:val="pt-BR"/>
        </w:rPr>
        <w:t xml:space="preserve">) a ​​um incidente </w:t>
      </w:r>
      <w:r w:rsidR="00CB7059" w:rsidRPr="00A07CAF">
        <w:rPr>
          <w:rFonts w:ascii="Times New Roman" w:hAnsi="Times New Roman" w:cs="Times New Roman"/>
          <w:lang w:val="pt-BR"/>
        </w:rPr>
        <w:t>onde exista um</w:t>
      </w:r>
      <w:r w:rsidRPr="00A07CAF">
        <w:rPr>
          <w:rFonts w:ascii="Times New Roman" w:hAnsi="Times New Roman" w:cs="Times New Roman"/>
          <w:lang w:val="pt-BR"/>
        </w:rPr>
        <w:t xml:space="preserve"> atirador ativo está gradualmente se tornando um padrão operacional nos EUA. O uso do modelo </w:t>
      </w:r>
      <w:proofErr w:type="spellStart"/>
      <w:r w:rsidRPr="00A07CAF">
        <w:rPr>
          <w:rFonts w:ascii="Times New Roman" w:hAnsi="Times New Roman" w:cs="Times New Roman"/>
          <w:lang w:val="pt-BR"/>
        </w:rPr>
        <w:t>Rescue</w:t>
      </w:r>
      <w:proofErr w:type="spellEnd"/>
      <w:r w:rsidRPr="00A07CAF">
        <w:rPr>
          <w:rFonts w:ascii="Times New Roman" w:hAnsi="Times New Roman" w:cs="Times New Roman"/>
          <w:lang w:val="pt-BR"/>
        </w:rPr>
        <w:t xml:space="preserve"> </w:t>
      </w:r>
      <w:proofErr w:type="spellStart"/>
      <w:r w:rsidRPr="00A07CAF">
        <w:rPr>
          <w:rFonts w:ascii="Times New Roman" w:hAnsi="Times New Roman" w:cs="Times New Roman"/>
          <w:lang w:val="pt-BR"/>
        </w:rPr>
        <w:t>Task</w:t>
      </w:r>
      <w:proofErr w:type="spellEnd"/>
      <w:r w:rsidRPr="00A07CAF">
        <w:rPr>
          <w:rFonts w:ascii="Times New Roman" w:hAnsi="Times New Roman" w:cs="Times New Roman"/>
          <w:lang w:val="pt-BR"/>
        </w:rPr>
        <w:t xml:space="preserve"> Force (RTF) foi implementado na maioria das grandes cidades sem dados objetivos para apoiar seu uso. Os autores deste estudo avaliam o desempenho do RTF em resposta a uma incidência </w:t>
      </w:r>
      <w:r w:rsidR="00CB7059" w:rsidRPr="00A07CAF">
        <w:rPr>
          <w:rFonts w:ascii="Times New Roman" w:hAnsi="Times New Roman" w:cs="Times New Roman"/>
          <w:lang w:val="pt-BR"/>
        </w:rPr>
        <w:t>com</w:t>
      </w:r>
      <w:r w:rsidRPr="00A07CAF">
        <w:rPr>
          <w:rFonts w:ascii="Times New Roman" w:hAnsi="Times New Roman" w:cs="Times New Roman"/>
          <w:lang w:val="pt-BR"/>
        </w:rPr>
        <w:t xml:space="preserve"> atirador ativo utilizando medidas de desempenho pr</w:t>
      </w:r>
      <w:r w:rsidR="00CB7059" w:rsidRPr="00A07CAF">
        <w:rPr>
          <w:rFonts w:ascii="Times New Roman" w:hAnsi="Times New Roman" w:cs="Times New Roman"/>
          <w:lang w:val="pt-BR"/>
        </w:rPr>
        <w:t>é</w:t>
      </w:r>
      <w:r w:rsidR="00057820">
        <w:rPr>
          <w:rFonts w:ascii="Times New Roman" w:hAnsi="Times New Roman" w:cs="Times New Roman"/>
          <w:lang w:val="pt-BR"/>
        </w:rPr>
        <w:t>-</w:t>
      </w:r>
      <w:r w:rsidRPr="00A07CAF">
        <w:rPr>
          <w:rFonts w:ascii="Times New Roman" w:hAnsi="Times New Roman" w:cs="Times New Roman"/>
          <w:lang w:val="pt-BR"/>
        </w:rPr>
        <w:t>determinadas.</w:t>
      </w:r>
    </w:p>
    <w:p w14:paraId="74057968" w14:textId="6FD6444B" w:rsidR="0070194C" w:rsidRPr="00A07CAF" w:rsidRDefault="0070194C" w:rsidP="0070194C">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Este estudo observacional foi realizado durante um período de 18 dias usando 69 cenários diferentes que avaliaram 388 </w:t>
      </w:r>
      <w:r w:rsidR="00CB7059" w:rsidRPr="00A07CAF">
        <w:rPr>
          <w:rFonts w:ascii="Times New Roman" w:hAnsi="Times New Roman" w:cs="Times New Roman"/>
          <w:lang w:val="pt-BR"/>
        </w:rPr>
        <w:t>profissionais d</w:t>
      </w:r>
      <w:r w:rsidR="00516230">
        <w:rPr>
          <w:rFonts w:ascii="Times New Roman" w:hAnsi="Times New Roman" w:cs="Times New Roman"/>
          <w:lang w:val="pt-BR"/>
        </w:rPr>
        <w:t>o</w:t>
      </w:r>
      <w:r w:rsidR="00CB7059" w:rsidRPr="00A07CAF">
        <w:rPr>
          <w:rFonts w:ascii="Times New Roman" w:hAnsi="Times New Roman" w:cs="Times New Roman"/>
          <w:lang w:val="pt-BR"/>
        </w:rPr>
        <w:t xml:space="preserve"> </w:t>
      </w:r>
      <w:r w:rsidR="00516230" w:rsidRPr="00A07CAF">
        <w:rPr>
          <w:rFonts w:ascii="Times New Roman" w:hAnsi="Times New Roman" w:cs="Times New Roman"/>
          <w:lang w:val="pt-BR"/>
        </w:rPr>
        <w:t>Serviço de Emergência</w:t>
      </w:r>
      <w:r w:rsidR="00516230">
        <w:rPr>
          <w:rFonts w:ascii="Times New Roman" w:hAnsi="Times New Roman" w:cs="Times New Roman"/>
          <w:lang w:val="pt-BR"/>
        </w:rPr>
        <w:t>s</w:t>
      </w:r>
      <w:r w:rsidR="00516230" w:rsidRPr="00A07CAF">
        <w:rPr>
          <w:rFonts w:ascii="Times New Roman" w:hAnsi="Times New Roman" w:cs="Times New Roman"/>
          <w:lang w:val="pt-BR"/>
        </w:rPr>
        <w:t xml:space="preserve"> Médica</w:t>
      </w:r>
      <w:r w:rsidR="00516230">
        <w:rPr>
          <w:rFonts w:ascii="Times New Roman" w:hAnsi="Times New Roman" w:cs="Times New Roman"/>
          <w:lang w:val="pt-BR"/>
        </w:rPr>
        <w:t>s</w:t>
      </w:r>
      <w:r w:rsidRPr="00A07CAF">
        <w:rPr>
          <w:rFonts w:ascii="Times New Roman" w:hAnsi="Times New Roman" w:cs="Times New Roman"/>
          <w:lang w:val="pt-BR"/>
        </w:rPr>
        <w:t xml:space="preserve"> e 468 </w:t>
      </w:r>
      <w:r w:rsidR="00CB7059" w:rsidRPr="00A07CAF">
        <w:rPr>
          <w:rFonts w:ascii="Times New Roman" w:hAnsi="Times New Roman" w:cs="Times New Roman"/>
          <w:lang w:val="pt-BR"/>
        </w:rPr>
        <w:t xml:space="preserve">policiais </w:t>
      </w:r>
      <w:r w:rsidRPr="00A07CAF">
        <w:rPr>
          <w:rFonts w:ascii="Times New Roman" w:hAnsi="Times New Roman" w:cs="Times New Roman"/>
          <w:lang w:val="pt-BR"/>
        </w:rPr>
        <w:t xml:space="preserve">em um sistema que atende uma população de 1 milhão. Um mês antes da simulação, os </w:t>
      </w:r>
      <w:r w:rsidR="00CB7059" w:rsidRPr="00A07CAF">
        <w:rPr>
          <w:rFonts w:ascii="Times New Roman" w:hAnsi="Times New Roman" w:cs="Times New Roman"/>
          <w:lang w:val="pt-BR"/>
        </w:rPr>
        <w:t xml:space="preserve">profissionais de EMS e os policiais </w:t>
      </w:r>
      <w:r w:rsidRPr="00A07CAF">
        <w:rPr>
          <w:rFonts w:ascii="Times New Roman" w:hAnsi="Times New Roman" w:cs="Times New Roman"/>
          <w:lang w:val="pt-BR"/>
        </w:rPr>
        <w:t xml:space="preserve">receberam </w:t>
      </w:r>
      <w:r w:rsidR="00CB7059" w:rsidRPr="00A07CAF">
        <w:rPr>
          <w:rFonts w:ascii="Times New Roman" w:hAnsi="Times New Roman" w:cs="Times New Roman"/>
          <w:lang w:val="pt-BR"/>
        </w:rPr>
        <w:t>treinamentos teóricos</w:t>
      </w:r>
      <w:r w:rsidRPr="00A07CAF">
        <w:rPr>
          <w:rFonts w:ascii="Times New Roman" w:hAnsi="Times New Roman" w:cs="Times New Roman"/>
          <w:lang w:val="pt-BR"/>
        </w:rPr>
        <w:t xml:space="preserve"> e prátic</w:t>
      </w:r>
      <w:r w:rsidR="00CB7059" w:rsidRPr="00A07CAF">
        <w:rPr>
          <w:rFonts w:ascii="Times New Roman" w:hAnsi="Times New Roman" w:cs="Times New Roman"/>
          <w:lang w:val="pt-BR"/>
        </w:rPr>
        <w:t>o</w:t>
      </w:r>
      <w:r w:rsidRPr="00A07CAF">
        <w:rPr>
          <w:rFonts w:ascii="Times New Roman" w:hAnsi="Times New Roman" w:cs="Times New Roman"/>
          <w:lang w:val="pt-BR"/>
        </w:rPr>
        <w:t>s separad</w:t>
      </w:r>
      <w:r w:rsidR="005B270C" w:rsidRPr="00A07CAF">
        <w:rPr>
          <w:rFonts w:ascii="Times New Roman" w:hAnsi="Times New Roman" w:cs="Times New Roman"/>
          <w:lang w:val="pt-BR"/>
        </w:rPr>
        <w:t>amente</w:t>
      </w:r>
      <w:r w:rsidRPr="00A07CAF">
        <w:rPr>
          <w:rFonts w:ascii="Times New Roman" w:hAnsi="Times New Roman" w:cs="Times New Roman"/>
          <w:lang w:val="pt-BR"/>
        </w:rPr>
        <w:t xml:space="preserve"> sobre seu papel específico na RTF. O cenário que foi repetido para cada grupo de </w:t>
      </w:r>
      <w:r w:rsidR="005B270C" w:rsidRPr="00A07CAF">
        <w:rPr>
          <w:rFonts w:ascii="Times New Roman" w:hAnsi="Times New Roman" w:cs="Times New Roman"/>
          <w:lang w:val="pt-BR"/>
        </w:rPr>
        <w:t xml:space="preserve">profissionais </w:t>
      </w:r>
      <w:r w:rsidRPr="00A07CAF">
        <w:rPr>
          <w:rFonts w:ascii="Times New Roman" w:hAnsi="Times New Roman" w:cs="Times New Roman"/>
          <w:lang w:val="pt-BR"/>
        </w:rPr>
        <w:t xml:space="preserve">avaliou a equipe de comando, </w:t>
      </w:r>
      <w:r w:rsidR="005B270C" w:rsidRPr="00A07CAF">
        <w:rPr>
          <w:rFonts w:ascii="Times New Roman" w:hAnsi="Times New Roman" w:cs="Times New Roman"/>
          <w:lang w:val="pt-BR"/>
        </w:rPr>
        <w:t>policiais</w:t>
      </w:r>
      <w:r w:rsidRPr="00A07CAF">
        <w:rPr>
          <w:rFonts w:ascii="Times New Roman" w:hAnsi="Times New Roman" w:cs="Times New Roman"/>
          <w:lang w:val="pt-BR"/>
        </w:rPr>
        <w:t xml:space="preserve"> na função de supressão de ameaças e dois </w:t>
      </w:r>
      <w:proofErr w:type="spellStart"/>
      <w:r w:rsidRPr="00A07CAF">
        <w:rPr>
          <w:rFonts w:ascii="Times New Roman" w:hAnsi="Times New Roman" w:cs="Times New Roman"/>
          <w:lang w:val="pt-BR"/>
        </w:rPr>
        <w:t>RTFs</w:t>
      </w:r>
      <w:proofErr w:type="spellEnd"/>
      <w:r w:rsidRPr="00A07CAF">
        <w:rPr>
          <w:rFonts w:ascii="Times New Roman" w:hAnsi="Times New Roman" w:cs="Times New Roman"/>
          <w:lang w:val="pt-BR"/>
        </w:rPr>
        <w:t xml:space="preserve"> compostos por </w:t>
      </w:r>
      <w:r w:rsidR="005B270C" w:rsidRPr="00A07CAF">
        <w:rPr>
          <w:rFonts w:ascii="Times New Roman" w:hAnsi="Times New Roman" w:cs="Times New Roman"/>
          <w:lang w:val="pt-BR"/>
        </w:rPr>
        <w:t>profissionais</w:t>
      </w:r>
      <w:r w:rsidRPr="00A07CAF">
        <w:rPr>
          <w:rFonts w:ascii="Times New Roman" w:hAnsi="Times New Roman" w:cs="Times New Roman"/>
          <w:lang w:val="pt-BR"/>
        </w:rPr>
        <w:t xml:space="preserve"> do EMS e </w:t>
      </w:r>
      <w:r w:rsidR="005B270C" w:rsidRPr="00A07CAF">
        <w:rPr>
          <w:rFonts w:ascii="Times New Roman" w:hAnsi="Times New Roman" w:cs="Times New Roman"/>
          <w:lang w:val="pt-BR"/>
        </w:rPr>
        <w:t>policiais</w:t>
      </w:r>
      <w:r w:rsidRPr="00A07CAF">
        <w:rPr>
          <w:rFonts w:ascii="Times New Roman" w:hAnsi="Times New Roman" w:cs="Times New Roman"/>
          <w:lang w:val="pt-BR"/>
        </w:rPr>
        <w:t>. O evento ocorreu com 11 vítimas simuladas em um edifício de dois andares de 13.000 pés quadrados. Os avaliadores registraram o desempenho de 30 pontos de dados objetivos pré-determinados durante as evoluções.</w:t>
      </w:r>
    </w:p>
    <w:p w14:paraId="30F68316" w14:textId="1C8D34B6" w:rsidR="0070194C" w:rsidRPr="00A07CAF" w:rsidRDefault="0070194C" w:rsidP="0070194C">
      <w:pPr>
        <w:spacing w:after="0"/>
        <w:ind w:firstLine="360"/>
        <w:jc w:val="both"/>
        <w:rPr>
          <w:rFonts w:ascii="Times New Roman" w:hAnsi="Times New Roman" w:cs="Times New Roman"/>
          <w:lang w:val="pt-BR"/>
        </w:rPr>
      </w:pPr>
      <w:r w:rsidRPr="00A07CAF">
        <w:rPr>
          <w:rFonts w:ascii="Times New Roman" w:hAnsi="Times New Roman" w:cs="Times New Roman"/>
          <w:lang w:val="pt-BR"/>
        </w:rPr>
        <w:t>Os dados do estudo mostraram os seguintes tempos médios em minutos:</w:t>
      </w:r>
    </w:p>
    <w:p w14:paraId="702BDE6A" w14:textId="032E403B" w:rsidR="0070194C" w:rsidRPr="00A07CAF" w:rsidRDefault="0070194C" w:rsidP="0070194C">
      <w:pPr>
        <w:spacing w:after="0"/>
        <w:ind w:firstLine="360"/>
        <w:jc w:val="both"/>
        <w:rPr>
          <w:rFonts w:ascii="Times New Roman" w:hAnsi="Times New Roman" w:cs="Times New Roman"/>
          <w:lang w:val="pt-BR"/>
        </w:rPr>
      </w:pPr>
    </w:p>
    <w:p w14:paraId="147681FD" w14:textId="6B63FB11" w:rsidR="005B270C" w:rsidRPr="00A07CAF" w:rsidRDefault="005B270C" w:rsidP="005B270C">
      <w:pPr>
        <w:spacing w:after="0"/>
        <w:ind w:firstLine="360"/>
        <w:jc w:val="both"/>
        <w:rPr>
          <w:rFonts w:ascii="Times New Roman" w:hAnsi="Times New Roman" w:cs="Times New Roman"/>
          <w:lang w:val="pt-BR"/>
        </w:rPr>
      </w:pPr>
      <w:r w:rsidRPr="00A07CAF">
        <w:rPr>
          <w:rFonts w:ascii="Times New Roman" w:hAnsi="Times New Roman" w:cs="Times New Roman"/>
          <w:lang w:val="pt-BR"/>
        </w:rPr>
        <w:t>Desde o momento do envio até:</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687"/>
      </w:tblGrid>
      <w:tr w:rsidR="005B270C" w:rsidRPr="00A07CAF" w14:paraId="51692DA6" w14:textId="77777777" w:rsidTr="006043A9">
        <w:tc>
          <w:tcPr>
            <w:tcW w:w="5807" w:type="dxa"/>
          </w:tcPr>
          <w:p w14:paraId="231F5796" w14:textId="141227D9" w:rsidR="005B270C" w:rsidRPr="00A07CAF" w:rsidRDefault="005B270C" w:rsidP="0070194C">
            <w:pPr>
              <w:spacing w:after="0"/>
              <w:jc w:val="both"/>
              <w:rPr>
                <w:rFonts w:ascii="Times New Roman" w:hAnsi="Times New Roman" w:cs="Times New Roman"/>
                <w:lang w:val="pt-BR"/>
              </w:rPr>
            </w:pPr>
            <w:r w:rsidRPr="00A07CAF">
              <w:rPr>
                <w:rFonts w:ascii="Times New Roman" w:hAnsi="Times New Roman" w:cs="Times New Roman"/>
                <w:lang w:val="pt-BR"/>
              </w:rPr>
              <w:t>O estabelecimento do comando unificado</w:t>
            </w:r>
          </w:p>
        </w:tc>
        <w:tc>
          <w:tcPr>
            <w:tcW w:w="2687" w:type="dxa"/>
          </w:tcPr>
          <w:p w14:paraId="046FD5C9" w14:textId="7CD6C624"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4</w:t>
            </w:r>
            <w:r w:rsidR="006E25AB" w:rsidRPr="00A07CAF">
              <w:rPr>
                <w:rFonts w:ascii="Times New Roman" w:hAnsi="Times New Roman" w:cs="Times New Roman"/>
              </w:rPr>
              <w:t>,</w:t>
            </w:r>
            <w:r w:rsidRPr="00A07CAF">
              <w:rPr>
                <w:rFonts w:ascii="Times New Roman" w:hAnsi="Times New Roman" w:cs="Times New Roman"/>
              </w:rPr>
              <w:t>1</w:t>
            </w:r>
          </w:p>
        </w:tc>
      </w:tr>
      <w:tr w:rsidR="005B270C" w:rsidRPr="00A07CAF" w14:paraId="45FC82AF" w14:textId="77777777" w:rsidTr="006043A9">
        <w:tc>
          <w:tcPr>
            <w:tcW w:w="5807" w:type="dxa"/>
          </w:tcPr>
          <w:p w14:paraId="39596824" w14:textId="51EA0CC0" w:rsidR="005B270C" w:rsidRPr="00A07CAF" w:rsidRDefault="005B270C" w:rsidP="0070194C">
            <w:pPr>
              <w:spacing w:after="0"/>
              <w:jc w:val="both"/>
              <w:rPr>
                <w:rFonts w:ascii="Times New Roman" w:hAnsi="Times New Roman" w:cs="Times New Roman"/>
              </w:rPr>
            </w:pPr>
            <w:r w:rsidRPr="00A07CAF">
              <w:rPr>
                <w:rFonts w:ascii="Times New Roman" w:hAnsi="Times New Roman" w:cs="Times New Roman"/>
              </w:rPr>
              <w:t xml:space="preserve">RTF </w:t>
            </w:r>
            <w:proofErr w:type="spellStart"/>
            <w:r w:rsidRPr="00A07CAF">
              <w:rPr>
                <w:rFonts w:ascii="Times New Roman" w:hAnsi="Times New Roman" w:cs="Times New Roman"/>
              </w:rPr>
              <w:t>montado</w:t>
            </w:r>
            <w:proofErr w:type="spellEnd"/>
          </w:p>
        </w:tc>
        <w:tc>
          <w:tcPr>
            <w:tcW w:w="2687" w:type="dxa"/>
          </w:tcPr>
          <w:p w14:paraId="35FD002D" w14:textId="74056936"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9</w:t>
            </w:r>
            <w:r w:rsidR="006E25AB" w:rsidRPr="00A07CAF">
              <w:rPr>
                <w:rFonts w:ascii="Times New Roman" w:hAnsi="Times New Roman" w:cs="Times New Roman"/>
              </w:rPr>
              <w:t>,</w:t>
            </w:r>
            <w:r w:rsidRPr="00A07CAF">
              <w:rPr>
                <w:rFonts w:ascii="Times New Roman" w:hAnsi="Times New Roman" w:cs="Times New Roman"/>
              </w:rPr>
              <w:t>4</w:t>
            </w:r>
          </w:p>
        </w:tc>
      </w:tr>
      <w:tr w:rsidR="005B270C" w:rsidRPr="00A07CAF" w14:paraId="58ABE92D" w14:textId="77777777" w:rsidTr="006043A9">
        <w:tc>
          <w:tcPr>
            <w:tcW w:w="5807" w:type="dxa"/>
          </w:tcPr>
          <w:p w14:paraId="1D0871FD" w14:textId="1CC6C974" w:rsidR="005B270C" w:rsidRPr="00A07CAF" w:rsidRDefault="005B270C" w:rsidP="0070194C">
            <w:pPr>
              <w:spacing w:after="0"/>
              <w:jc w:val="both"/>
              <w:rPr>
                <w:rFonts w:ascii="Times New Roman" w:hAnsi="Times New Roman" w:cs="Times New Roman"/>
                <w:lang w:val="pt-BR"/>
              </w:rPr>
            </w:pPr>
            <w:r w:rsidRPr="00A07CAF">
              <w:rPr>
                <w:rFonts w:ascii="Times New Roman" w:hAnsi="Times New Roman" w:cs="Times New Roman"/>
                <w:lang w:val="pt-BR"/>
              </w:rPr>
              <w:t>Contato com a primeira vítima</w:t>
            </w:r>
          </w:p>
        </w:tc>
        <w:tc>
          <w:tcPr>
            <w:tcW w:w="2687" w:type="dxa"/>
          </w:tcPr>
          <w:p w14:paraId="6809BD31" w14:textId="6CDCD394"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11,9</w:t>
            </w:r>
          </w:p>
        </w:tc>
      </w:tr>
      <w:tr w:rsidR="005B270C" w:rsidRPr="00A07CAF" w14:paraId="5CA2DDCB" w14:textId="77777777" w:rsidTr="006043A9">
        <w:tc>
          <w:tcPr>
            <w:tcW w:w="5807" w:type="dxa"/>
          </w:tcPr>
          <w:p w14:paraId="445DD9FC" w14:textId="0DE85E60" w:rsidR="005B270C" w:rsidRPr="00A07CAF" w:rsidRDefault="005B270C" w:rsidP="0070194C">
            <w:pPr>
              <w:spacing w:after="0"/>
              <w:jc w:val="both"/>
              <w:rPr>
                <w:rFonts w:ascii="Times New Roman" w:hAnsi="Times New Roman" w:cs="Times New Roman"/>
                <w:lang w:val="pt-BR"/>
              </w:rPr>
            </w:pPr>
            <w:r w:rsidRPr="00A07CAF">
              <w:rPr>
                <w:rFonts w:ascii="Times New Roman" w:hAnsi="Times New Roman" w:cs="Times New Roman"/>
                <w:lang w:val="pt-BR"/>
              </w:rPr>
              <w:t>A vítima foi transferida para o PCC</w:t>
            </w:r>
          </w:p>
        </w:tc>
        <w:tc>
          <w:tcPr>
            <w:tcW w:w="2687" w:type="dxa"/>
          </w:tcPr>
          <w:p w14:paraId="5F806B57" w14:textId="09974CDD"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16,6</w:t>
            </w:r>
          </w:p>
        </w:tc>
      </w:tr>
      <w:tr w:rsidR="005B270C" w:rsidRPr="00A07CAF" w14:paraId="7F59FEAC" w14:textId="77777777" w:rsidTr="006043A9">
        <w:tc>
          <w:tcPr>
            <w:tcW w:w="5807" w:type="dxa"/>
          </w:tcPr>
          <w:p w14:paraId="44A37D50" w14:textId="2257C95D" w:rsidR="005B270C" w:rsidRPr="00A07CAF" w:rsidRDefault="005B270C" w:rsidP="0070194C">
            <w:pPr>
              <w:spacing w:after="0"/>
              <w:jc w:val="both"/>
              <w:rPr>
                <w:rFonts w:ascii="Times New Roman" w:hAnsi="Times New Roman" w:cs="Times New Roman"/>
              </w:rPr>
            </w:pPr>
            <w:proofErr w:type="spellStart"/>
            <w:r w:rsidRPr="00A07CAF">
              <w:rPr>
                <w:rFonts w:ascii="Times New Roman" w:hAnsi="Times New Roman" w:cs="Times New Roman"/>
              </w:rPr>
              <w:t>Vítimas</w:t>
            </w:r>
            <w:proofErr w:type="spellEnd"/>
            <w:r w:rsidRPr="00A07CAF">
              <w:rPr>
                <w:rFonts w:ascii="Times New Roman" w:hAnsi="Times New Roman" w:cs="Times New Roman"/>
              </w:rPr>
              <w:t xml:space="preserve"> </w:t>
            </w:r>
            <w:proofErr w:type="spellStart"/>
            <w:r w:rsidRPr="00A07CAF">
              <w:rPr>
                <w:rFonts w:ascii="Times New Roman" w:hAnsi="Times New Roman" w:cs="Times New Roman"/>
              </w:rPr>
              <w:t>prontas</w:t>
            </w:r>
            <w:proofErr w:type="spellEnd"/>
            <w:r w:rsidRPr="00A07CAF">
              <w:rPr>
                <w:rFonts w:ascii="Times New Roman" w:hAnsi="Times New Roman" w:cs="Times New Roman"/>
              </w:rPr>
              <w:t xml:space="preserve"> para </w:t>
            </w:r>
            <w:proofErr w:type="spellStart"/>
            <w:r w:rsidRPr="00A07CAF">
              <w:rPr>
                <w:rFonts w:ascii="Times New Roman" w:hAnsi="Times New Roman" w:cs="Times New Roman"/>
              </w:rPr>
              <w:t>evacuação</w:t>
            </w:r>
            <w:proofErr w:type="spellEnd"/>
          </w:p>
        </w:tc>
        <w:tc>
          <w:tcPr>
            <w:tcW w:w="2687" w:type="dxa"/>
          </w:tcPr>
          <w:p w14:paraId="4F0B4B71" w14:textId="308AE922"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21,6</w:t>
            </w:r>
          </w:p>
        </w:tc>
      </w:tr>
    </w:tbl>
    <w:p w14:paraId="11CD55F8" w14:textId="198B4B83" w:rsidR="005B270C" w:rsidRPr="00A07CAF" w:rsidRDefault="005B270C" w:rsidP="0070194C">
      <w:pPr>
        <w:spacing w:after="0"/>
        <w:ind w:firstLine="360"/>
        <w:jc w:val="both"/>
        <w:rPr>
          <w:rFonts w:ascii="Times New Roman" w:hAnsi="Times New Roman" w:cs="Times New Roman"/>
        </w:rPr>
      </w:pPr>
    </w:p>
    <w:p w14:paraId="3F44E838" w14:textId="5F6DC428" w:rsidR="005B270C" w:rsidRPr="00A07CAF" w:rsidRDefault="005B270C" w:rsidP="005B270C">
      <w:pPr>
        <w:spacing w:after="0"/>
        <w:ind w:firstLine="360"/>
        <w:jc w:val="both"/>
        <w:rPr>
          <w:rFonts w:ascii="Times New Roman" w:hAnsi="Times New Roman" w:cs="Times New Roman"/>
        </w:rPr>
      </w:pPr>
      <w:proofErr w:type="spellStart"/>
      <w:r w:rsidRPr="00A07CAF">
        <w:rPr>
          <w:rFonts w:ascii="Times New Roman" w:hAnsi="Times New Roman" w:cs="Times New Roman"/>
        </w:rPr>
        <w:t>Cuidados</w:t>
      </w:r>
      <w:proofErr w:type="spellEnd"/>
      <w:r w:rsidRPr="00A07CAF">
        <w:rPr>
          <w:rFonts w:ascii="Times New Roman" w:hAnsi="Times New Roman" w:cs="Times New Roman"/>
        </w:rPr>
        <w:t xml:space="preserve"> </w:t>
      </w:r>
      <w:r w:rsidR="006E25AB" w:rsidRPr="00A07CAF">
        <w:rPr>
          <w:rFonts w:ascii="Times New Roman" w:hAnsi="Times New Roman" w:cs="Times New Roman"/>
        </w:rPr>
        <w:t>com</w:t>
      </w:r>
      <w:r w:rsidRPr="00A07CAF">
        <w:rPr>
          <w:rFonts w:ascii="Times New Roman" w:hAnsi="Times New Roman" w:cs="Times New Roman"/>
        </w:rPr>
        <w:t xml:space="preserve"> o </w:t>
      </w:r>
      <w:proofErr w:type="spellStart"/>
      <w:r w:rsidR="00940994">
        <w:rPr>
          <w:rFonts w:ascii="Times New Roman" w:hAnsi="Times New Roman" w:cs="Times New Roman"/>
        </w:rPr>
        <w:t>doente</w:t>
      </w:r>
      <w:proofErr w:type="spellEnd"/>
      <w:r w:rsidRPr="00A07CAF">
        <w:rPr>
          <w:rFonts w:ascii="Times New Roman" w:hAnsi="Times New Roman" w:cs="Times New Roman"/>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687"/>
      </w:tblGrid>
      <w:tr w:rsidR="005B270C" w:rsidRPr="00A07CAF" w14:paraId="5F05DCE2" w14:textId="77777777" w:rsidTr="006043A9">
        <w:tc>
          <w:tcPr>
            <w:tcW w:w="5807" w:type="dxa"/>
          </w:tcPr>
          <w:p w14:paraId="0FC4349D" w14:textId="45B18707" w:rsidR="005B270C" w:rsidRPr="00A07CAF" w:rsidRDefault="005B270C" w:rsidP="005B270C">
            <w:pPr>
              <w:spacing w:after="0"/>
              <w:jc w:val="both"/>
              <w:rPr>
                <w:rFonts w:ascii="Times New Roman" w:hAnsi="Times New Roman" w:cs="Times New Roman"/>
                <w:lang w:val="pt-BR"/>
              </w:rPr>
            </w:pPr>
            <w:r w:rsidRPr="00A07CAF">
              <w:rPr>
                <w:rFonts w:ascii="Times New Roman" w:hAnsi="Times New Roman" w:cs="Times New Roman"/>
                <w:lang w:val="pt-BR"/>
              </w:rPr>
              <w:t>Aplicação apropriada de torniquete por EMS</w:t>
            </w:r>
          </w:p>
        </w:tc>
        <w:tc>
          <w:tcPr>
            <w:tcW w:w="2687" w:type="dxa"/>
          </w:tcPr>
          <w:p w14:paraId="75231C69" w14:textId="6267E171"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97%</w:t>
            </w:r>
          </w:p>
        </w:tc>
      </w:tr>
      <w:tr w:rsidR="005B270C" w:rsidRPr="00A07CAF" w14:paraId="41B00A63" w14:textId="77777777" w:rsidTr="006043A9">
        <w:tc>
          <w:tcPr>
            <w:tcW w:w="5807" w:type="dxa"/>
          </w:tcPr>
          <w:p w14:paraId="2A5D52B6" w14:textId="09FD32FE" w:rsidR="005B270C" w:rsidRPr="00A07CAF" w:rsidRDefault="005B270C" w:rsidP="005B270C">
            <w:pPr>
              <w:spacing w:after="0"/>
              <w:jc w:val="both"/>
              <w:rPr>
                <w:rFonts w:ascii="Times New Roman" w:hAnsi="Times New Roman" w:cs="Times New Roman"/>
                <w:lang w:val="pt-BR"/>
              </w:rPr>
            </w:pPr>
            <w:r w:rsidRPr="00A07CAF">
              <w:rPr>
                <w:rFonts w:ascii="Times New Roman" w:hAnsi="Times New Roman" w:cs="Times New Roman"/>
                <w:lang w:val="pt-BR"/>
              </w:rPr>
              <w:t>Aplicação apropriada de torniquete por LEO</w:t>
            </w:r>
          </w:p>
        </w:tc>
        <w:tc>
          <w:tcPr>
            <w:tcW w:w="2687" w:type="dxa"/>
          </w:tcPr>
          <w:p w14:paraId="593AD952" w14:textId="33120C4A"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89%</w:t>
            </w:r>
          </w:p>
        </w:tc>
      </w:tr>
      <w:tr w:rsidR="005B270C" w:rsidRPr="00A07CAF" w14:paraId="70AF9359" w14:textId="77777777" w:rsidTr="006043A9">
        <w:tc>
          <w:tcPr>
            <w:tcW w:w="5807" w:type="dxa"/>
          </w:tcPr>
          <w:p w14:paraId="58C55C5B" w14:textId="7BB99D42" w:rsidR="005B270C" w:rsidRPr="00A07CAF" w:rsidRDefault="005B270C" w:rsidP="005B270C">
            <w:pPr>
              <w:spacing w:after="0"/>
              <w:jc w:val="both"/>
              <w:rPr>
                <w:rFonts w:ascii="Times New Roman" w:hAnsi="Times New Roman" w:cs="Times New Roman"/>
                <w:lang w:val="pt-BR"/>
              </w:rPr>
            </w:pPr>
            <w:r w:rsidRPr="00A07CAF">
              <w:rPr>
                <w:rFonts w:ascii="Times New Roman" w:hAnsi="Times New Roman" w:cs="Times New Roman"/>
                <w:lang w:val="pt-BR"/>
              </w:rPr>
              <w:t>Descompressão inadequada do tórax por EMS</w:t>
            </w:r>
          </w:p>
        </w:tc>
        <w:tc>
          <w:tcPr>
            <w:tcW w:w="2687" w:type="dxa"/>
          </w:tcPr>
          <w:p w14:paraId="2674FA35" w14:textId="5EF0B12F"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4%</w:t>
            </w:r>
          </w:p>
        </w:tc>
      </w:tr>
      <w:tr w:rsidR="005B270C" w:rsidRPr="00A07CAF" w14:paraId="56A6D11A" w14:textId="77777777" w:rsidTr="006043A9">
        <w:tc>
          <w:tcPr>
            <w:tcW w:w="5807" w:type="dxa"/>
          </w:tcPr>
          <w:p w14:paraId="601C323F" w14:textId="7C262F07" w:rsidR="005B270C" w:rsidRPr="00A07CAF" w:rsidRDefault="005B270C" w:rsidP="005B270C">
            <w:pPr>
              <w:spacing w:after="0"/>
              <w:jc w:val="both"/>
              <w:rPr>
                <w:rFonts w:ascii="Times New Roman" w:hAnsi="Times New Roman" w:cs="Times New Roman"/>
              </w:rPr>
            </w:pPr>
            <w:proofErr w:type="spellStart"/>
            <w:r w:rsidRPr="00A07CAF">
              <w:rPr>
                <w:rFonts w:ascii="Times New Roman" w:hAnsi="Times New Roman" w:cs="Times New Roman"/>
              </w:rPr>
              <w:t>Tratamento</w:t>
            </w:r>
            <w:proofErr w:type="spellEnd"/>
            <w:r w:rsidRPr="00A07CAF">
              <w:rPr>
                <w:rFonts w:ascii="Times New Roman" w:hAnsi="Times New Roman" w:cs="Times New Roman"/>
              </w:rPr>
              <w:t xml:space="preserve"> </w:t>
            </w:r>
            <w:proofErr w:type="spellStart"/>
            <w:r w:rsidRPr="00A07CAF">
              <w:rPr>
                <w:rFonts w:ascii="Times New Roman" w:hAnsi="Times New Roman" w:cs="Times New Roman"/>
              </w:rPr>
              <w:t>inicial</w:t>
            </w:r>
            <w:proofErr w:type="spellEnd"/>
            <w:r w:rsidRPr="00A07CAF">
              <w:rPr>
                <w:rFonts w:ascii="Times New Roman" w:hAnsi="Times New Roman" w:cs="Times New Roman"/>
              </w:rPr>
              <w:t xml:space="preserve"> </w:t>
            </w:r>
            <w:proofErr w:type="spellStart"/>
            <w:r w:rsidRPr="00A07CAF">
              <w:rPr>
                <w:rFonts w:ascii="Times New Roman" w:hAnsi="Times New Roman" w:cs="Times New Roman"/>
              </w:rPr>
              <w:t>desnecessário</w:t>
            </w:r>
            <w:proofErr w:type="spellEnd"/>
          </w:p>
        </w:tc>
        <w:tc>
          <w:tcPr>
            <w:tcW w:w="2687" w:type="dxa"/>
          </w:tcPr>
          <w:p w14:paraId="34C07720" w14:textId="66C4516E"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15%</w:t>
            </w:r>
          </w:p>
        </w:tc>
      </w:tr>
    </w:tbl>
    <w:p w14:paraId="6D17AEA3" w14:textId="04C69B8A" w:rsidR="0070194C" w:rsidRPr="00A07CAF" w:rsidRDefault="0070194C" w:rsidP="005B270C">
      <w:pPr>
        <w:spacing w:after="0"/>
        <w:jc w:val="both"/>
        <w:rPr>
          <w:rFonts w:ascii="Times New Roman" w:hAnsi="Times New Roman" w:cs="Times New Roman"/>
        </w:rPr>
      </w:pPr>
    </w:p>
    <w:p w14:paraId="0FBE5A8F" w14:textId="157E9328" w:rsidR="005B270C" w:rsidRPr="00A07CAF" w:rsidRDefault="006E25AB" w:rsidP="005B270C">
      <w:pPr>
        <w:spacing w:after="0"/>
        <w:ind w:firstLine="360"/>
        <w:jc w:val="both"/>
        <w:rPr>
          <w:rFonts w:ascii="Times New Roman" w:hAnsi="Times New Roman" w:cs="Times New Roman"/>
          <w:lang w:val="pt-BR"/>
        </w:rPr>
      </w:pPr>
      <w:r w:rsidRPr="00A07CAF">
        <w:rPr>
          <w:rFonts w:ascii="Times New Roman" w:hAnsi="Times New Roman" w:cs="Times New Roman"/>
          <w:lang w:val="pt-BR"/>
        </w:rPr>
        <w:t>Registro</w:t>
      </w:r>
      <w:r w:rsidR="005B270C" w:rsidRPr="00A07CAF">
        <w:rPr>
          <w:rFonts w:ascii="Times New Roman" w:hAnsi="Times New Roman" w:cs="Times New Roman"/>
          <w:lang w:val="pt-BR"/>
        </w:rPr>
        <w:t xml:space="preserve"> de dados táticos, incluindo comunicação tática em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2687"/>
      </w:tblGrid>
      <w:tr w:rsidR="005B270C" w:rsidRPr="00A07CAF" w14:paraId="263A2794" w14:textId="77777777" w:rsidTr="006043A9">
        <w:tc>
          <w:tcPr>
            <w:tcW w:w="5807" w:type="dxa"/>
          </w:tcPr>
          <w:p w14:paraId="5E1724F4" w14:textId="3218C712" w:rsidR="005B270C" w:rsidRPr="00A07CAF" w:rsidRDefault="005B270C" w:rsidP="0070194C">
            <w:pPr>
              <w:spacing w:after="0"/>
              <w:jc w:val="both"/>
              <w:rPr>
                <w:rFonts w:ascii="Times New Roman" w:hAnsi="Times New Roman" w:cs="Times New Roman"/>
                <w:lang w:val="pt-BR"/>
              </w:rPr>
            </w:pPr>
            <w:r w:rsidRPr="00A07CAF">
              <w:rPr>
                <w:rFonts w:ascii="Times New Roman" w:hAnsi="Times New Roman" w:cs="Times New Roman"/>
                <w:lang w:val="pt-BR"/>
              </w:rPr>
              <w:t>Comunicação correta (segura para tratar)</w:t>
            </w:r>
          </w:p>
        </w:tc>
        <w:tc>
          <w:tcPr>
            <w:tcW w:w="2687" w:type="dxa"/>
          </w:tcPr>
          <w:p w14:paraId="38F19050" w14:textId="564BF81B"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70%</w:t>
            </w:r>
          </w:p>
        </w:tc>
      </w:tr>
      <w:tr w:rsidR="005B270C" w:rsidRPr="00A07CAF" w14:paraId="4F0E617A" w14:textId="77777777" w:rsidTr="006043A9">
        <w:tc>
          <w:tcPr>
            <w:tcW w:w="5807" w:type="dxa"/>
          </w:tcPr>
          <w:p w14:paraId="2CE945C9" w14:textId="16F1700E" w:rsidR="005B270C" w:rsidRPr="00A07CAF" w:rsidRDefault="005B270C" w:rsidP="0070194C">
            <w:pPr>
              <w:spacing w:after="0"/>
              <w:jc w:val="both"/>
              <w:rPr>
                <w:rFonts w:ascii="Times New Roman" w:hAnsi="Times New Roman" w:cs="Times New Roman"/>
                <w:lang w:val="pt-BR"/>
              </w:rPr>
            </w:pPr>
            <w:r w:rsidRPr="00A07CAF">
              <w:rPr>
                <w:rFonts w:ascii="Times New Roman" w:hAnsi="Times New Roman" w:cs="Times New Roman"/>
                <w:lang w:val="pt-BR"/>
              </w:rPr>
              <w:t>Ações de operação incorretas para manter a formação tática</w:t>
            </w:r>
          </w:p>
        </w:tc>
        <w:tc>
          <w:tcPr>
            <w:tcW w:w="2687" w:type="dxa"/>
          </w:tcPr>
          <w:p w14:paraId="0C26FEEC" w14:textId="48648EF0"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49%</w:t>
            </w:r>
          </w:p>
        </w:tc>
      </w:tr>
      <w:tr w:rsidR="005B270C" w:rsidRPr="00A07CAF" w14:paraId="0F6088C8" w14:textId="77777777" w:rsidTr="006043A9">
        <w:tc>
          <w:tcPr>
            <w:tcW w:w="5807" w:type="dxa"/>
          </w:tcPr>
          <w:p w14:paraId="1A496A7D" w14:textId="700608C2" w:rsidR="005B270C" w:rsidRPr="00A07CAF" w:rsidRDefault="005B270C" w:rsidP="0070194C">
            <w:pPr>
              <w:spacing w:after="0"/>
              <w:jc w:val="both"/>
              <w:rPr>
                <w:rFonts w:ascii="Times New Roman" w:hAnsi="Times New Roman" w:cs="Times New Roman"/>
              </w:rPr>
            </w:pPr>
            <w:proofErr w:type="spellStart"/>
            <w:r w:rsidRPr="00A07CAF">
              <w:rPr>
                <w:rFonts w:ascii="Times New Roman" w:hAnsi="Times New Roman" w:cs="Times New Roman"/>
              </w:rPr>
              <w:t>Evacuação</w:t>
            </w:r>
            <w:proofErr w:type="spellEnd"/>
            <w:r w:rsidRPr="00A07CAF">
              <w:rPr>
                <w:rFonts w:ascii="Times New Roman" w:hAnsi="Times New Roman" w:cs="Times New Roman"/>
              </w:rPr>
              <w:t xml:space="preserve"> </w:t>
            </w:r>
            <w:proofErr w:type="spellStart"/>
            <w:r w:rsidRPr="00A07CAF">
              <w:rPr>
                <w:rFonts w:ascii="Times New Roman" w:hAnsi="Times New Roman" w:cs="Times New Roman"/>
              </w:rPr>
              <w:t>inadequada</w:t>
            </w:r>
            <w:proofErr w:type="spellEnd"/>
            <w:r w:rsidRPr="00A07CAF">
              <w:rPr>
                <w:rFonts w:ascii="Times New Roman" w:hAnsi="Times New Roman" w:cs="Times New Roman"/>
              </w:rPr>
              <w:t xml:space="preserve"> do </w:t>
            </w:r>
            <w:proofErr w:type="spellStart"/>
            <w:r w:rsidR="00940994">
              <w:rPr>
                <w:rFonts w:ascii="Times New Roman" w:hAnsi="Times New Roman" w:cs="Times New Roman"/>
              </w:rPr>
              <w:t>doente</w:t>
            </w:r>
            <w:proofErr w:type="spellEnd"/>
          </w:p>
        </w:tc>
        <w:tc>
          <w:tcPr>
            <w:tcW w:w="2687" w:type="dxa"/>
          </w:tcPr>
          <w:p w14:paraId="0D8701E6" w14:textId="72A46EEC" w:rsidR="005B270C" w:rsidRPr="00A07CAF" w:rsidRDefault="005B270C" w:rsidP="006043A9">
            <w:pPr>
              <w:spacing w:after="0"/>
              <w:jc w:val="both"/>
              <w:rPr>
                <w:rFonts w:ascii="Times New Roman" w:hAnsi="Times New Roman" w:cs="Times New Roman"/>
              </w:rPr>
            </w:pPr>
            <w:r w:rsidRPr="00A07CAF">
              <w:rPr>
                <w:rFonts w:ascii="Times New Roman" w:hAnsi="Times New Roman" w:cs="Times New Roman"/>
              </w:rPr>
              <w:t>20%</w:t>
            </w:r>
          </w:p>
        </w:tc>
      </w:tr>
    </w:tbl>
    <w:p w14:paraId="3FB1C1C3" w14:textId="77777777" w:rsidR="0070194C" w:rsidRPr="00A07CAF" w:rsidRDefault="0070194C" w:rsidP="0070194C">
      <w:pPr>
        <w:spacing w:after="0"/>
        <w:ind w:firstLine="360"/>
        <w:jc w:val="both"/>
        <w:rPr>
          <w:rFonts w:ascii="Times New Roman" w:hAnsi="Times New Roman" w:cs="Times New Roman"/>
        </w:rPr>
      </w:pPr>
    </w:p>
    <w:p w14:paraId="57CA8B99" w14:textId="17A323B0" w:rsidR="0070194C" w:rsidRPr="00A07CAF" w:rsidRDefault="0070194C" w:rsidP="0070194C">
      <w:pPr>
        <w:spacing w:after="0"/>
        <w:ind w:firstLine="360"/>
        <w:jc w:val="both"/>
        <w:rPr>
          <w:rFonts w:ascii="Times New Roman" w:hAnsi="Times New Roman" w:cs="Times New Roman"/>
          <w:lang w:val="pt-BR"/>
        </w:rPr>
      </w:pPr>
      <w:r w:rsidRPr="00A07CAF">
        <w:rPr>
          <w:rFonts w:ascii="Times New Roman" w:hAnsi="Times New Roman" w:cs="Times New Roman"/>
          <w:lang w:val="pt-BR"/>
        </w:rPr>
        <w:lastRenderedPageBreak/>
        <w:t xml:space="preserve">Este estudo demonstra que o trauma e os cuidados médicos prestados em um evento de tiro ativo simulado parecem estar em pé de igualdade com as diretrizes operacionais normais do EMS. A única exceção parece ser o tratamento inicial desnecessário dos </w:t>
      </w:r>
      <w:r w:rsidR="00940994">
        <w:rPr>
          <w:rFonts w:ascii="Times New Roman" w:hAnsi="Times New Roman" w:cs="Times New Roman"/>
          <w:lang w:val="pt-BR"/>
        </w:rPr>
        <w:t>doente</w:t>
      </w:r>
      <w:r w:rsidRPr="00A07CAF">
        <w:rPr>
          <w:rFonts w:ascii="Times New Roman" w:hAnsi="Times New Roman" w:cs="Times New Roman"/>
          <w:lang w:val="pt-BR"/>
        </w:rPr>
        <w:t xml:space="preserve">s, dada a natureza do incidente. Esse desejo de fornecer mais do que cuidados básicos para salvar vidas é comum em situações de vítimas em massa de todos os tipos, e não apenas nas incidências </w:t>
      </w:r>
      <w:r w:rsidR="006E25AB" w:rsidRPr="00A07CAF">
        <w:rPr>
          <w:rFonts w:ascii="Times New Roman" w:hAnsi="Times New Roman" w:cs="Times New Roman"/>
          <w:lang w:val="pt-BR"/>
        </w:rPr>
        <w:t>com</w:t>
      </w:r>
      <w:r w:rsidRPr="00A07CAF">
        <w:rPr>
          <w:rFonts w:ascii="Times New Roman" w:hAnsi="Times New Roman" w:cs="Times New Roman"/>
          <w:lang w:val="pt-BR"/>
        </w:rPr>
        <w:t xml:space="preserve"> atiradores ativos. É importante notar que uma área de preocupação está relacionada ao gerenciamento operacional durante a situação tática. A RTF falhou em manter uma formação tática apropriada em quase metade (49%) do tempo e a comunicação tática ficou bem abaixo dos valores de referência desejados. Este estudo demonstra que uma ênfase maior deve ser </w:t>
      </w:r>
      <w:r w:rsidR="006E25AB" w:rsidRPr="00A07CAF">
        <w:rPr>
          <w:rFonts w:ascii="Times New Roman" w:hAnsi="Times New Roman" w:cs="Times New Roman"/>
          <w:lang w:val="pt-BR"/>
        </w:rPr>
        <w:t>dada</w:t>
      </w:r>
      <w:r w:rsidRPr="00A07CAF">
        <w:rPr>
          <w:rFonts w:ascii="Times New Roman" w:hAnsi="Times New Roman" w:cs="Times New Roman"/>
          <w:lang w:val="pt-BR"/>
        </w:rPr>
        <w:t xml:space="preserve"> no movimento tático e nas comunicações operacionais durante o treinamento didático e baseado em cenários para eventos </w:t>
      </w:r>
      <w:r w:rsidR="006E25AB" w:rsidRPr="00A07CAF">
        <w:rPr>
          <w:rFonts w:ascii="Times New Roman" w:hAnsi="Times New Roman" w:cs="Times New Roman"/>
          <w:lang w:val="pt-BR"/>
        </w:rPr>
        <w:t>com</w:t>
      </w:r>
      <w:r w:rsidRPr="00A07CAF">
        <w:rPr>
          <w:rFonts w:ascii="Times New Roman" w:hAnsi="Times New Roman" w:cs="Times New Roman"/>
          <w:lang w:val="pt-BR"/>
        </w:rPr>
        <w:t xml:space="preserve"> atiradores ativos.</w:t>
      </w:r>
    </w:p>
    <w:p w14:paraId="321F0723" w14:textId="203D2B32" w:rsidR="00BF3D34" w:rsidRPr="00A07CAF" w:rsidRDefault="00BF3D34" w:rsidP="00516230">
      <w:pPr>
        <w:spacing w:after="0"/>
        <w:jc w:val="both"/>
        <w:rPr>
          <w:rFonts w:ascii="Times New Roman" w:hAnsi="Times New Roman" w:cs="Times New Roman"/>
          <w:lang w:val="pt-BR"/>
        </w:rPr>
      </w:pPr>
    </w:p>
    <w:p w14:paraId="65AEDE80" w14:textId="77777777" w:rsidR="00BF3D34" w:rsidRPr="00A07CAF" w:rsidRDefault="00BF3D34" w:rsidP="0070194C">
      <w:pPr>
        <w:spacing w:after="0"/>
        <w:ind w:firstLine="360"/>
        <w:jc w:val="both"/>
        <w:rPr>
          <w:rFonts w:ascii="Times New Roman" w:hAnsi="Times New Roman" w:cs="Times New Roman"/>
          <w:lang w:val="pt-BR"/>
        </w:rPr>
      </w:pPr>
    </w:p>
    <w:p w14:paraId="4996BA1E" w14:textId="3E234190" w:rsidR="00BF3D34" w:rsidRPr="00A07CAF" w:rsidRDefault="0037069B" w:rsidP="00E934DF">
      <w:pPr>
        <w:pStyle w:val="PargrafodaLista"/>
        <w:numPr>
          <w:ilvl w:val="0"/>
          <w:numId w:val="5"/>
        </w:numPr>
        <w:spacing w:after="0"/>
        <w:jc w:val="both"/>
        <w:rPr>
          <w:rFonts w:ascii="Times New Roman" w:hAnsi="Times New Roman" w:cs="Times New Roman"/>
          <w:b/>
        </w:rPr>
      </w:pPr>
      <w:r>
        <w:rPr>
          <w:rFonts w:ascii="Times New Roman" w:hAnsi="Times New Roman" w:cs="Times New Roman"/>
          <w:b/>
          <w:lang w:val="pt-BR"/>
        </w:rPr>
        <w:t xml:space="preserve">Avaliação de uma cena remota </w:t>
      </w:r>
      <w:r w:rsidR="00E934DF" w:rsidRPr="00E934DF">
        <w:rPr>
          <w:rFonts w:ascii="Times New Roman" w:hAnsi="Times New Roman" w:cs="Times New Roman"/>
          <w:b/>
          <w:lang w:val="pt-BR"/>
        </w:rPr>
        <w:t xml:space="preserve">usando um veículo aéreo não tripulado em um incidente </w:t>
      </w:r>
      <w:r w:rsidR="00E934DF">
        <w:rPr>
          <w:rFonts w:ascii="Times New Roman" w:hAnsi="Times New Roman" w:cs="Times New Roman"/>
          <w:b/>
          <w:lang w:val="pt-BR"/>
        </w:rPr>
        <w:t xml:space="preserve">com vítimas </w:t>
      </w:r>
      <w:r>
        <w:rPr>
          <w:rFonts w:ascii="Times New Roman" w:hAnsi="Times New Roman" w:cs="Times New Roman"/>
          <w:b/>
          <w:lang w:val="pt-BR"/>
        </w:rPr>
        <w:t xml:space="preserve">em massa </w:t>
      </w:r>
      <w:r w:rsidR="00E934DF" w:rsidRPr="00E934DF">
        <w:rPr>
          <w:rFonts w:ascii="Times New Roman" w:hAnsi="Times New Roman" w:cs="Times New Roman"/>
          <w:b/>
          <w:lang w:val="pt-BR"/>
        </w:rPr>
        <w:t>simulado.</w:t>
      </w:r>
      <w:r w:rsidR="00E934DF">
        <w:rPr>
          <w:rFonts w:ascii="Times New Roman" w:hAnsi="Times New Roman" w:cs="Times New Roman"/>
          <w:b/>
          <w:lang w:val="pt-BR"/>
        </w:rPr>
        <w:t xml:space="preserve"> </w:t>
      </w:r>
      <w:r w:rsidR="00BF3D34" w:rsidRPr="0037069B">
        <w:rPr>
          <w:rFonts w:ascii="Times New Roman" w:hAnsi="Times New Roman" w:cs="Times New Roman"/>
        </w:rPr>
        <w:t xml:space="preserve">Sibley AK, Jain TN, Butler M, et al. </w:t>
      </w:r>
      <w:proofErr w:type="spellStart"/>
      <w:r w:rsidR="00BF3D34" w:rsidRPr="00A07CAF">
        <w:rPr>
          <w:rFonts w:ascii="Times New Roman" w:hAnsi="Times New Roman" w:cs="Times New Roman"/>
        </w:rPr>
        <w:t>Prehosp</w:t>
      </w:r>
      <w:proofErr w:type="spellEnd"/>
      <w:r w:rsidR="00BF3D34" w:rsidRPr="00A07CAF">
        <w:rPr>
          <w:rFonts w:ascii="Times New Roman" w:hAnsi="Times New Roman" w:cs="Times New Roman"/>
        </w:rPr>
        <w:t xml:space="preserve"> </w:t>
      </w:r>
      <w:proofErr w:type="spellStart"/>
      <w:r w:rsidR="00BF3D34" w:rsidRPr="00A07CAF">
        <w:rPr>
          <w:rFonts w:ascii="Times New Roman" w:hAnsi="Times New Roman" w:cs="Times New Roman"/>
        </w:rPr>
        <w:t>Emerg</w:t>
      </w:r>
      <w:proofErr w:type="spellEnd"/>
      <w:r w:rsidR="00BF3D34" w:rsidRPr="00A07CAF">
        <w:rPr>
          <w:rFonts w:ascii="Times New Roman" w:hAnsi="Times New Roman" w:cs="Times New Roman"/>
        </w:rPr>
        <w:t xml:space="preserve"> Care 2019;23:332-339.</w:t>
      </w:r>
    </w:p>
    <w:p w14:paraId="426778E2" w14:textId="77777777" w:rsidR="00BF3D34" w:rsidRPr="00A07CAF" w:rsidRDefault="00BF3D34" w:rsidP="00BF3D34">
      <w:pPr>
        <w:spacing w:after="0"/>
        <w:ind w:left="360" w:firstLine="348"/>
        <w:rPr>
          <w:rFonts w:ascii="Times New Roman" w:hAnsi="Times New Roman" w:cs="Times New Roman"/>
        </w:rPr>
      </w:pPr>
    </w:p>
    <w:p w14:paraId="6C046A14" w14:textId="05492D3B" w:rsidR="00BF3D34" w:rsidRPr="00A07CAF" w:rsidRDefault="00BF3D34" w:rsidP="00BF3D34">
      <w:pPr>
        <w:spacing w:after="0"/>
        <w:ind w:firstLine="360"/>
        <w:jc w:val="both"/>
        <w:rPr>
          <w:rFonts w:ascii="Times New Roman" w:hAnsi="Times New Roman" w:cs="Times New Roman"/>
          <w:b/>
          <w:lang w:val="pt-BR"/>
        </w:rPr>
      </w:pPr>
      <w:r w:rsidRPr="00A07CAF">
        <w:rPr>
          <w:rFonts w:ascii="Times New Roman" w:hAnsi="Times New Roman" w:cs="Times New Roman"/>
          <w:lang w:val="pt-BR"/>
        </w:rPr>
        <w:t>Nos últimos anos, os Veículos Aéreos Não Tripulados (</w:t>
      </w:r>
      <w:proofErr w:type="spellStart"/>
      <w:r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 também chamados de </w:t>
      </w:r>
      <w:proofErr w:type="spellStart"/>
      <w:r w:rsidRPr="00A07CAF">
        <w:rPr>
          <w:rFonts w:ascii="Times New Roman" w:hAnsi="Times New Roman" w:cs="Times New Roman"/>
          <w:lang w:val="pt-BR"/>
        </w:rPr>
        <w:t>drones</w:t>
      </w:r>
      <w:proofErr w:type="spellEnd"/>
      <w:r w:rsidRPr="00A07CAF">
        <w:rPr>
          <w:rFonts w:ascii="Times New Roman" w:hAnsi="Times New Roman" w:cs="Times New Roman"/>
          <w:lang w:val="pt-BR"/>
        </w:rPr>
        <w:t xml:space="preserve">) têm sido cada vez mais utilizados para aplicações militares e civis. Muitas das aplicações civis de segurança pública envolvem a busca e a orientação subsequente de equipes de resgate para vítimas perdidas ou feridas em áreas remotas. As autoridades civis usaram </w:t>
      </w:r>
      <w:proofErr w:type="spellStart"/>
      <w:r w:rsidRPr="00A07CAF">
        <w:rPr>
          <w:rFonts w:ascii="Times New Roman" w:hAnsi="Times New Roman" w:cs="Times New Roman"/>
          <w:lang w:val="pt-BR"/>
        </w:rPr>
        <w:t>drones</w:t>
      </w:r>
      <w:proofErr w:type="spellEnd"/>
      <w:r w:rsidRPr="00A07CAF">
        <w:rPr>
          <w:rFonts w:ascii="Times New Roman" w:hAnsi="Times New Roman" w:cs="Times New Roman"/>
          <w:lang w:val="pt-BR"/>
        </w:rPr>
        <w:t xml:space="preserve"> para localizar suspeitos que se escondiam das autoridades, às vezes à noite</w:t>
      </w:r>
      <w:r w:rsidR="004208E5">
        <w:rPr>
          <w:rFonts w:ascii="Times New Roman" w:hAnsi="Times New Roman" w:cs="Times New Roman"/>
          <w:lang w:val="pt-BR"/>
        </w:rPr>
        <w:t>,</w:t>
      </w:r>
      <w:r w:rsidRPr="00A07CAF">
        <w:rPr>
          <w:rFonts w:ascii="Times New Roman" w:hAnsi="Times New Roman" w:cs="Times New Roman"/>
          <w:lang w:val="pt-BR"/>
        </w:rPr>
        <w:t xml:space="preserve"> usando tecnologias de infravermelho. Os serviços de bombeiros usam os </w:t>
      </w:r>
      <w:proofErr w:type="spellStart"/>
      <w:r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em situações estruturais e de incêndio há vários anos para avaliar situações perigosas e mitigar os perigos para a entrada do pessoal de combate a incêndios. Algumas agências do EMS estão estudando o uso dos </w:t>
      </w:r>
      <w:proofErr w:type="spellStart"/>
      <w:r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para fornecer equipamentos médicos que salvam vidas, como desfibriladores externos automáticos no local do incidente</w:t>
      </w:r>
      <w:r w:rsidR="004208E5">
        <w:rPr>
          <w:rFonts w:ascii="Times New Roman" w:hAnsi="Times New Roman" w:cs="Times New Roman"/>
          <w:lang w:val="pt-BR"/>
        </w:rPr>
        <w:t>,</w:t>
      </w:r>
      <w:r w:rsidRPr="00A07CAF">
        <w:rPr>
          <w:rFonts w:ascii="Times New Roman" w:hAnsi="Times New Roman" w:cs="Times New Roman"/>
          <w:lang w:val="pt-BR"/>
        </w:rPr>
        <w:t xml:space="preserve"> antes da chegada do Serviço </w:t>
      </w:r>
      <w:r w:rsidR="004208E5">
        <w:rPr>
          <w:rFonts w:ascii="Times New Roman" w:hAnsi="Times New Roman" w:cs="Times New Roman"/>
          <w:lang w:val="pt-BR"/>
        </w:rPr>
        <w:t>de Emergências Médicas</w:t>
      </w:r>
      <w:r w:rsidRPr="00A07CAF">
        <w:rPr>
          <w:rFonts w:ascii="Times New Roman" w:hAnsi="Times New Roman" w:cs="Times New Roman"/>
          <w:lang w:val="pt-BR"/>
        </w:rPr>
        <w:t>.</w:t>
      </w:r>
    </w:p>
    <w:p w14:paraId="00667D34" w14:textId="258532F8" w:rsidR="00BF3D34" w:rsidRPr="00A07CAF" w:rsidRDefault="00BF3D34" w:rsidP="00BF3D34">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Este estudo analisa a potencial utilização de </w:t>
      </w:r>
      <w:proofErr w:type="spellStart"/>
      <w:r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durante um incidente com vítimas em massa como uma ferramenta para realizar avaliação e triagem remotas de </w:t>
      </w:r>
      <w:r w:rsidR="00940994">
        <w:rPr>
          <w:rFonts w:ascii="Times New Roman" w:hAnsi="Times New Roman" w:cs="Times New Roman"/>
          <w:lang w:val="pt-BR"/>
        </w:rPr>
        <w:t>doente</w:t>
      </w:r>
      <w:r w:rsidRPr="00A07CAF">
        <w:rPr>
          <w:rFonts w:ascii="Times New Roman" w:hAnsi="Times New Roman" w:cs="Times New Roman"/>
          <w:lang w:val="pt-BR"/>
        </w:rPr>
        <w:t xml:space="preserve">s simulados. Os autores simularam um ataque terrorista no campus de uma faculdade com o script não permitindo que os </w:t>
      </w:r>
      <w:r w:rsidR="004208E5">
        <w:rPr>
          <w:rFonts w:ascii="Times New Roman" w:hAnsi="Times New Roman" w:cs="Times New Roman"/>
          <w:lang w:val="pt-BR"/>
        </w:rPr>
        <w:t>profissionais</w:t>
      </w:r>
      <w:r w:rsidRPr="00A07CAF">
        <w:rPr>
          <w:rFonts w:ascii="Times New Roman" w:hAnsi="Times New Roman" w:cs="Times New Roman"/>
          <w:lang w:val="pt-BR"/>
        </w:rPr>
        <w:t xml:space="preserve"> d</w:t>
      </w:r>
      <w:r w:rsidR="004208E5">
        <w:rPr>
          <w:rFonts w:ascii="Times New Roman" w:hAnsi="Times New Roman" w:cs="Times New Roman"/>
          <w:lang w:val="pt-BR"/>
        </w:rPr>
        <w:t>o</w:t>
      </w:r>
      <w:r w:rsidRPr="00A07CAF">
        <w:rPr>
          <w:rFonts w:ascii="Times New Roman" w:hAnsi="Times New Roman" w:cs="Times New Roman"/>
          <w:lang w:val="pt-BR"/>
        </w:rPr>
        <w:t xml:space="preserve"> EMS entr</w:t>
      </w:r>
      <w:r w:rsidR="004208E5">
        <w:rPr>
          <w:rFonts w:ascii="Times New Roman" w:hAnsi="Times New Roman" w:cs="Times New Roman"/>
          <w:lang w:val="pt-BR"/>
        </w:rPr>
        <w:t>assem</w:t>
      </w:r>
      <w:r w:rsidRPr="00A07CAF">
        <w:rPr>
          <w:rFonts w:ascii="Times New Roman" w:hAnsi="Times New Roman" w:cs="Times New Roman"/>
          <w:lang w:val="pt-BR"/>
        </w:rPr>
        <w:t xml:space="preserve"> em cena devido a vários dispositivos explosivos improvisados ​​não explodidos. Um </w:t>
      </w:r>
      <w:r w:rsidR="000025F1" w:rsidRPr="00A07CAF">
        <w:rPr>
          <w:rFonts w:ascii="Times New Roman" w:hAnsi="Times New Roman" w:cs="Times New Roman"/>
          <w:lang w:val="pt-BR"/>
        </w:rPr>
        <w:t>VANT</w:t>
      </w:r>
      <w:r w:rsidRPr="00A07CAF">
        <w:rPr>
          <w:rFonts w:ascii="Times New Roman" w:hAnsi="Times New Roman" w:cs="Times New Roman"/>
          <w:lang w:val="pt-BR"/>
        </w:rPr>
        <w:t xml:space="preserve"> comercialmente disponível, pilotado por um piloto certificado da Polícia Montada Real Canadense (RCMP), foi usado para localizar e filmar os 15 </w:t>
      </w:r>
      <w:r w:rsidR="00940994">
        <w:rPr>
          <w:rFonts w:ascii="Times New Roman" w:hAnsi="Times New Roman" w:cs="Times New Roman"/>
          <w:lang w:val="pt-BR"/>
        </w:rPr>
        <w:t>doente</w:t>
      </w:r>
      <w:r w:rsidRPr="00A07CAF">
        <w:rPr>
          <w:rFonts w:ascii="Times New Roman" w:hAnsi="Times New Roman" w:cs="Times New Roman"/>
          <w:lang w:val="pt-BR"/>
        </w:rPr>
        <w:t xml:space="preserve">s simulados, altamente </w:t>
      </w:r>
      <w:r w:rsidR="004208E5">
        <w:rPr>
          <w:rFonts w:ascii="Times New Roman" w:hAnsi="Times New Roman" w:cs="Times New Roman"/>
          <w:lang w:val="pt-BR"/>
        </w:rPr>
        <w:t>lesionados</w:t>
      </w:r>
      <w:bookmarkStart w:id="1" w:name="_GoBack"/>
      <w:bookmarkEnd w:id="1"/>
      <w:r w:rsidRPr="00A07CAF">
        <w:rPr>
          <w:rFonts w:ascii="Times New Roman" w:hAnsi="Times New Roman" w:cs="Times New Roman"/>
          <w:lang w:val="pt-BR"/>
        </w:rPr>
        <w:t xml:space="preserve">, usando o controle da linha de visão. A localização foi inicialmente vista de uma altitude de 200 metros (656 pés) por 3 minutos para obter uma visão geral da localização. Após 3 minutos, o </w:t>
      </w:r>
      <w:r w:rsidR="000025F1" w:rsidRPr="00A07CAF">
        <w:rPr>
          <w:rFonts w:ascii="Times New Roman" w:hAnsi="Times New Roman" w:cs="Times New Roman"/>
          <w:lang w:val="pt-BR"/>
        </w:rPr>
        <w:t>VANT</w:t>
      </w:r>
      <w:r w:rsidRPr="00A07CAF">
        <w:rPr>
          <w:rFonts w:ascii="Times New Roman" w:hAnsi="Times New Roman" w:cs="Times New Roman"/>
          <w:lang w:val="pt-BR"/>
        </w:rPr>
        <w:t xml:space="preserve"> desceria e conduziria uma busca sistemática na área. Quando um perigo era identificado ou uma vítima localizada, o </w:t>
      </w:r>
      <w:r w:rsidR="000025F1" w:rsidRPr="00A07CAF">
        <w:rPr>
          <w:rFonts w:ascii="Times New Roman" w:hAnsi="Times New Roman" w:cs="Times New Roman"/>
          <w:lang w:val="pt-BR"/>
        </w:rPr>
        <w:t>VANT</w:t>
      </w:r>
      <w:r w:rsidRPr="00A07CAF">
        <w:rPr>
          <w:rFonts w:ascii="Times New Roman" w:hAnsi="Times New Roman" w:cs="Times New Roman"/>
          <w:lang w:val="pt-BR"/>
        </w:rPr>
        <w:t xml:space="preserve"> pairava a uma distância de 3-5 metros (10-16 pés) por 15 a 30 segundos para registrar os pontos de interesse. Este vídeo foi salvo para visualização posterior pelos participantes do estudo.</w:t>
      </w:r>
    </w:p>
    <w:p w14:paraId="76DDD1C9" w14:textId="68292BDA" w:rsidR="00BF3D34" w:rsidRPr="00A07CAF" w:rsidRDefault="00BF3D34" w:rsidP="00BF3D34">
      <w:pPr>
        <w:spacing w:after="0"/>
        <w:ind w:firstLine="360"/>
        <w:jc w:val="both"/>
        <w:rPr>
          <w:rFonts w:ascii="Times New Roman" w:hAnsi="Times New Roman" w:cs="Times New Roman"/>
          <w:lang w:val="pt-BR"/>
        </w:rPr>
      </w:pPr>
      <w:r w:rsidRPr="00A07CAF">
        <w:rPr>
          <w:rFonts w:ascii="Times New Roman" w:hAnsi="Times New Roman" w:cs="Times New Roman"/>
          <w:lang w:val="pt-BR"/>
        </w:rPr>
        <w:t>O desfecho primário do estudo foi identificar corretamente as respostas à primeira etapa do algoritmo de triagem SALT - classificação global. Os resultados secundários incluíram a capacidade de relatar com precisão o local da</w:t>
      </w:r>
      <w:r w:rsidR="007A6A32" w:rsidRPr="00A07CAF">
        <w:rPr>
          <w:rFonts w:ascii="Times New Roman" w:hAnsi="Times New Roman" w:cs="Times New Roman"/>
          <w:lang w:val="pt-BR"/>
        </w:rPr>
        <w:t>s</w:t>
      </w:r>
      <w:r w:rsidRPr="00A07CAF">
        <w:rPr>
          <w:rFonts w:ascii="Times New Roman" w:hAnsi="Times New Roman" w:cs="Times New Roman"/>
          <w:lang w:val="pt-BR"/>
        </w:rPr>
        <w:t xml:space="preserve"> les</w:t>
      </w:r>
      <w:r w:rsidR="007A6A32" w:rsidRPr="00A07CAF">
        <w:rPr>
          <w:rFonts w:ascii="Times New Roman" w:hAnsi="Times New Roman" w:cs="Times New Roman"/>
          <w:lang w:val="pt-BR"/>
        </w:rPr>
        <w:t>ões</w:t>
      </w:r>
      <w:r w:rsidRPr="00A07CAF">
        <w:rPr>
          <w:rFonts w:ascii="Times New Roman" w:hAnsi="Times New Roman" w:cs="Times New Roman"/>
          <w:lang w:val="pt-BR"/>
        </w:rPr>
        <w:t xml:space="preserve"> corpora</w:t>
      </w:r>
      <w:r w:rsidR="007A6A32" w:rsidRPr="00A07CAF">
        <w:rPr>
          <w:rFonts w:ascii="Times New Roman" w:hAnsi="Times New Roman" w:cs="Times New Roman"/>
          <w:lang w:val="pt-BR"/>
        </w:rPr>
        <w:t>is</w:t>
      </w:r>
      <w:r w:rsidRPr="00A07CAF">
        <w:rPr>
          <w:rFonts w:ascii="Times New Roman" w:hAnsi="Times New Roman" w:cs="Times New Roman"/>
          <w:lang w:val="pt-BR"/>
        </w:rPr>
        <w:t>, identificar o</w:t>
      </w:r>
      <w:r w:rsidR="007A6A32" w:rsidRPr="00A07CAF">
        <w:rPr>
          <w:rFonts w:ascii="Times New Roman" w:hAnsi="Times New Roman" w:cs="Times New Roman"/>
          <w:lang w:val="pt-BR"/>
        </w:rPr>
        <w:t>s</w:t>
      </w:r>
      <w:r w:rsidRPr="00A07CAF">
        <w:rPr>
          <w:rFonts w:ascii="Times New Roman" w:hAnsi="Times New Roman" w:cs="Times New Roman"/>
          <w:lang w:val="pt-BR"/>
        </w:rPr>
        <w:t xml:space="preserve"> perigo</w:t>
      </w:r>
      <w:r w:rsidR="007A6A32" w:rsidRPr="00A07CAF">
        <w:rPr>
          <w:rFonts w:ascii="Times New Roman" w:hAnsi="Times New Roman" w:cs="Times New Roman"/>
          <w:lang w:val="pt-BR"/>
        </w:rPr>
        <w:t>s</w:t>
      </w:r>
      <w:r w:rsidRPr="00A07CAF">
        <w:rPr>
          <w:rFonts w:ascii="Times New Roman" w:hAnsi="Times New Roman" w:cs="Times New Roman"/>
          <w:lang w:val="pt-BR"/>
        </w:rPr>
        <w:t xml:space="preserve"> da cena e </w:t>
      </w:r>
      <w:r w:rsidR="007A6A32" w:rsidRPr="00A07CAF">
        <w:rPr>
          <w:rFonts w:ascii="Times New Roman" w:hAnsi="Times New Roman" w:cs="Times New Roman"/>
          <w:lang w:val="pt-BR"/>
        </w:rPr>
        <w:t>a localização d</w:t>
      </w:r>
      <w:r w:rsidRPr="00A07CAF">
        <w:rPr>
          <w:rFonts w:ascii="Times New Roman" w:hAnsi="Times New Roman" w:cs="Times New Roman"/>
          <w:lang w:val="pt-BR"/>
        </w:rPr>
        <w:t xml:space="preserve">a vítima </w:t>
      </w:r>
      <w:r w:rsidR="007A6A32" w:rsidRPr="00A07CAF">
        <w:rPr>
          <w:rFonts w:ascii="Times New Roman" w:hAnsi="Times New Roman" w:cs="Times New Roman"/>
          <w:lang w:val="pt-BR"/>
        </w:rPr>
        <w:t>n</w:t>
      </w:r>
      <w:r w:rsidRPr="00A07CAF">
        <w:rPr>
          <w:rFonts w:ascii="Times New Roman" w:hAnsi="Times New Roman" w:cs="Times New Roman"/>
          <w:lang w:val="pt-BR"/>
        </w:rPr>
        <w:t xml:space="preserve">o local do </w:t>
      </w:r>
      <w:r w:rsidR="007A6A32" w:rsidRPr="00A07CAF">
        <w:rPr>
          <w:rFonts w:ascii="Times New Roman" w:hAnsi="Times New Roman" w:cs="Times New Roman"/>
          <w:lang w:val="pt-BR"/>
        </w:rPr>
        <w:t>evento.</w:t>
      </w:r>
    </w:p>
    <w:p w14:paraId="36C5F812" w14:textId="10A2904C" w:rsidR="00BF3D34" w:rsidRPr="00A07CAF" w:rsidRDefault="00BF3D34" w:rsidP="00BF3D34">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Noventa e seis participantes foram incluídos no estudo. Os participantes foram quase igualmente divididos entre homens (52%) e mulheres (48%) e foram constituídos por participantes de uma conferência médica. A maioria (47%) eram paramédicos da atenção primária. Outros eram vários profissionais de saúde, incluindo médicos e enfermeiros. Os participantes inscritos receberam uma apresentação de uma hora </w:t>
      </w:r>
      <w:r w:rsidR="00713CE5" w:rsidRPr="00A07CAF">
        <w:rPr>
          <w:rFonts w:ascii="Times New Roman" w:hAnsi="Times New Roman" w:cs="Times New Roman"/>
          <w:lang w:val="pt-BR"/>
        </w:rPr>
        <w:t>sobre o</w:t>
      </w:r>
      <w:r w:rsidRPr="00A07CAF">
        <w:rPr>
          <w:rFonts w:ascii="Times New Roman" w:hAnsi="Times New Roman" w:cs="Times New Roman"/>
          <w:lang w:val="pt-BR"/>
        </w:rPr>
        <w:t xml:space="preserve"> sistema de triagem SALT. Após a apresentação, os participantes foram convidados a revisar o vídeo obtido anteriormente. Dos 96 participantes, 79 (82%) foram capazes de classificar corretamente pelo menos 12 dos 15 </w:t>
      </w:r>
      <w:r w:rsidR="00940994">
        <w:rPr>
          <w:rFonts w:ascii="Times New Roman" w:hAnsi="Times New Roman" w:cs="Times New Roman"/>
          <w:lang w:val="pt-BR"/>
        </w:rPr>
        <w:t>doente</w:t>
      </w:r>
      <w:r w:rsidRPr="00A07CAF">
        <w:rPr>
          <w:rFonts w:ascii="Times New Roman" w:hAnsi="Times New Roman" w:cs="Times New Roman"/>
          <w:lang w:val="pt-BR"/>
        </w:rPr>
        <w:t>s simulados e 75 (78%) identificaram pelo menos 3 dos 4 riscos no local.</w:t>
      </w:r>
    </w:p>
    <w:p w14:paraId="3F2186D4" w14:textId="44F87005" w:rsidR="00BF3D34" w:rsidRPr="00A07CAF" w:rsidRDefault="00BF3D34" w:rsidP="00BF3D34">
      <w:pPr>
        <w:spacing w:after="0"/>
        <w:ind w:firstLine="360"/>
        <w:jc w:val="both"/>
        <w:rPr>
          <w:rFonts w:ascii="Times New Roman" w:hAnsi="Times New Roman" w:cs="Times New Roman"/>
          <w:lang w:val="pt-BR"/>
        </w:rPr>
      </w:pPr>
      <w:r w:rsidRPr="00A07CAF">
        <w:rPr>
          <w:rFonts w:ascii="Times New Roman" w:hAnsi="Times New Roman" w:cs="Times New Roman"/>
          <w:lang w:val="pt-BR"/>
        </w:rPr>
        <w:t xml:space="preserve">Este estudo demonstra que o uso de </w:t>
      </w:r>
      <w:proofErr w:type="spellStart"/>
      <w:r w:rsidR="00713CE5"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no ambiente de vítimas em massa pode ser uma ferramenta viável, à medida que as regras de tecnologia e voo continuam evoluindo. Estudos adicionais devem incluir </w:t>
      </w:r>
      <w:r w:rsidRPr="00A07CAF">
        <w:rPr>
          <w:rFonts w:ascii="Times New Roman" w:hAnsi="Times New Roman" w:cs="Times New Roman"/>
          <w:lang w:val="pt-BR"/>
        </w:rPr>
        <w:lastRenderedPageBreak/>
        <w:t>avaliação em tempo real pelos participantes, além de fatores como clima, uso d</w:t>
      </w:r>
      <w:r w:rsidR="001C7642" w:rsidRPr="00A07CAF">
        <w:rPr>
          <w:rFonts w:ascii="Times New Roman" w:hAnsi="Times New Roman" w:cs="Times New Roman"/>
          <w:lang w:val="pt-BR"/>
        </w:rPr>
        <w:t xml:space="preserve">e </w:t>
      </w:r>
      <w:proofErr w:type="spellStart"/>
      <w:r w:rsidR="001C7642" w:rsidRPr="00A07CAF">
        <w:rPr>
          <w:rFonts w:ascii="Times New Roman" w:hAnsi="Times New Roman" w:cs="Times New Roman"/>
          <w:lang w:val="pt-BR"/>
        </w:rPr>
        <w:t>VANTs</w:t>
      </w:r>
      <w:proofErr w:type="spellEnd"/>
      <w:r w:rsidRPr="00A07CAF">
        <w:rPr>
          <w:rFonts w:ascii="Times New Roman" w:hAnsi="Times New Roman" w:cs="Times New Roman"/>
          <w:lang w:val="pt-BR"/>
        </w:rPr>
        <w:t xml:space="preserve"> em ambientes fechados e duração da bateria.</w:t>
      </w:r>
    </w:p>
    <w:sectPr w:rsidR="00BF3D34" w:rsidRPr="00A07CAF" w:rsidSect="00A07CAF">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6E7E" w14:textId="77777777" w:rsidR="00D3647D" w:rsidRDefault="00D3647D" w:rsidP="00671A65">
      <w:pPr>
        <w:spacing w:after="0" w:line="240" w:lineRule="auto"/>
      </w:pPr>
      <w:r>
        <w:separator/>
      </w:r>
    </w:p>
  </w:endnote>
  <w:endnote w:type="continuationSeparator" w:id="0">
    <w:p w14:paraId="29CB7E48" w14:textId="77777777" w:rsidR="00D3647D" w:rsidRDefault="00D3647D" w:rsidP="0067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38AF" w14:textId="77777777" w:rsidR="00E906A0" w:rsidRPr="00BB69B4" w:rsidRDefault="00E906A0" w:rsidP="00671A65">
    <w:pPr>
      <w:pStyle w:val="Rodap"/>
      <w:jc w:val="center"/>
      <w:rPr>
        <w:rFonts w:ascii="Times New Roman" w:hAnsi="Times New Roman" w:cs="Times New Roman"/>
        <w:b/>
      </w:rPr>
    </w:pPr>
    <w:r w:rsidRPr="00BB69B4">
      <w:rPr>
        <w:rFonts w:ascii="Times New Roman" w:hAnsi="Times New Roman" w:cs="Times New Roman"/>
        <w:b/>
        <w:lang w:val="pt"/>
      </w:rPr>
      <w:t>www.IPHMI.com</w:t>
    </w:r>
  </w:p>
  <w:p w14:paraId="058F7442" w14:textId="77777777" w:rsidR="00E906A0" w:rsidRDefault="00E906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C88F" w14:textId="77777777" w:rsidR="00D3647D" w:rsidRDefault="00D3647D" w:rsidP="00671A65">
      <w:pPr>
        <w:spacing w:after="0" w:line="240" w:lineRule="auto"/>
      </w:pPr>
      <w:r>
        <w:separator/>
      </w:r>
    </w:p>
  </w:footnote>
  <w:footnote w:type="continuationSeparator" w:id="0">
    <w:p w14:paraId="07DEF484" w14:textId="77777777" w:rsidR="00D3647D" w:rsidRDefault="00D3647D" w:rsidP="00671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0C6F" w14:textId="69699F9C" w:rsidR="00E906A0" w:rsidRPr="00A07CAF" w:rsidRDefault="00A07CAF" w:rsidP="00A07CAF">
    <w:pPr>
      <w:pStyle w:val="Cabealho"/>
      <w:jc w:val="center"/>
      <w:rPr>
        <w:rFonts w:ascii="Times New Roman" w:hAnsi="Times New Roman" w:cs="Times New Roman"/>
        <w:b/>
        <w:i/>
        <w:sz w:val="36"/>
        <w:u w:val="single"/>
        <w:lang w:val="pt-BR"/>
      </w:rPr>
    </w:pPr>
    <w:r w:rsidRPr="00A07CAF">
      <w:rPr>
        <w:rFonts w:ascii="Times New Roman" w:hAnsi="Times New Roman" w:cs="Times New Roman"/>
        <w:b/>
        <w:i/>
        <w:sz w:val="36"/>
        <w:u w:val="single"/>
        <w:lang w:val="pt-BR"/>
      </w:rPr>
      <w:t>Instituto Internacional de Medicina Pré-Hospitalar</w:t>
    </w:r>
    <w:r>
      <w:rPr>
        <w:rFonts w:ascii="Times New Roman" w:hAnsi="Times New Roman" w:cs="Times New Roman"/>
        <w:b/>
        <w:i/>
        <w:sz w:val="36"/>
        <w:u w:val="single"/>
        <w:lang w:val="pt-BR"/>
      </w:rPr>
      <w:t xml:space="preserve"> </w:t>
    </w:r>
    <w:r w:rsidRPr="00A07CAF">
      <w:rPr>
        <w:rFonts w:ascii="Times New Roman" w:hAnsi="Times New Roman" w:cs="Times New Roman"/>
        <w:b/>
        <w:i/>
        <w:sz w:val="36"/>
        <w:u w:val="single"/>
        <w:lang w:val="pt-BR"/>
      </w:rPr>
      <w:t>(IPHMI)</w:t>
    </w:r>
  </w:p>
  <w:p w14:paraId="1C6AE3EE" w14:textId="77777777" w:rsidR="00E906A0" w:rsidRPr="00A07CAF" w:rsidRDefault="00E906A0">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487"/>
    <w:multiLevelType w:val="hybridMultilevel"/>
    <w:tmpl w:val="8DAC6D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C7288A"/>
    <w:multiLevelType w:val="hybridMultilevel"/>
    <w:tmpl w:val="064290A4"/>
    <w:lvl w:ilvl="0" w:tplc="5624F6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B6F81"/>
    <w:multiLevelType w:val="hybridMultilevel"/>
    <w:tmpl w:val="09E2957E"/>
    <w:lvl w:ilvl="0" w:tplc="EEB2A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62C4E"/>
    <w:multiLevelType w:val="hybridMultilevel"/>
    <w:tmpl w:val="D084FB12"/>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B5828"/>
    <w:multiLevelType w:val="hybridMultilevel"/>
    <w:tmpl w:val="673CBEE8"/>
    <w:lvl w:ilvl="0" w:tplc="F34E8D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A65"/>
    <w:rsid w:val="000025F1"/>
    <w:rsid w:val="00057820"/>
    <w:rsid w:val="00142F96"/>
    <w:rsid w:val="001628F1"/>
    <w:rsid w:val="001C7642"/>
    <w:rsid w:val="002578B6"/>
    <w:rsid w:val="00310526"/>
    <w:rsid w:val="00313D2B"/>
    <w:rsid w:val="0037069B"/>
    <w:rsid w:val="004208E5"/>
    <w:rsid w:val="00467D81"/>
    <w:rsid w:val="00490BB7"/>
    <w:rsid w:val="004B31D1"/>
    <w:rsid w:val="004E434E"/>
    <w:rsid w:val="00516230"/>
    <w:rsid w:val="00541DF7"/>
    <w:rsid w:val="00560B25"/>
    <w:rsid w:val="0058289C"/>
    <w:rsid w:val="005B270C"/>
    <w:rsid w:val="006043A9"/>
    <w:rsid w:val="00671A65"/>
    <w:rsid w:val="006E25AB"/>
    <w:rsid w:val="0070194C"/>
    <w:rsid w:val="00713CE5"/>
    <w:rsid w:val="0078393E"/>
    <w:rsid w:val="00797367"/>
    <w:rsid w:val="007A3BD5"/>
    <w:rsid w:val="007A6A32"/>
    <w:rsid w:val="007E473F"/>
    <w:rsid w:val="007F57B7"/>
    <w:rsid w:val="00873663"/>
    <w:rsid w:val="008B0B55"/>
    <w:rsid w:val="00940994"/>
    <w:rsid w:val="00985D2A"/>
    <w:rsid w:val="009B3D62"/>
    <w:rsid w:val="009C00CB"/>
    <w:rsid w:val="00A07CAF"/>
    <w:rsid w:val="00AD6186"/>
    <w:rsid w:val="00B10470"/>
    <w:rsid w:val="00B17213"/>
    <w:rsid w:val="00B60F37"/>
    <w:rsid w:val="00B659E2"/>
    <w:rsid w:val="00BB69B4"/>
    <w:rsid w:val="00BC2D14"/>
    <w:rsid w:val="00BF3D34"/>
    <w:rsid w:val="00CB7059"/>
    <w:rsid w:val="00D04FA1"/>
    <w:rsid w:val="00D3647D"/>
    <w:rsid w:val="00E906A0"/>
    <w:rsid w:val="00E934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CBA5"/>
  <w15:chartTrackingRefBased/>
  <w15:docId w15:val="{C157BA23-3BD4-4396-83DD-A8D43557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5"/>
    <w:pPr>
      <w:spacing w:after="200" w:line="276" w:lineRule="auto"/>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71A6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1A65"/>
    <w:rPr>
      <w:lang w:val="en-US"/>
    </w:rPr>
  </w:style>
  <w:style w:type="paragraph" w:styleId="Rodap">
    <w:name w:val="footer"/>
    <w:basedOn w:val="Normal"/>
    <w:link w:val="RodapChar"/>
    <w:uiPriority w:val="99"/>
    <w:unhideWhenUsed/>
    <w:rsid w:val="00671A65"/>
    <w:pPr>
      <w:tabs>
        <w:tab w:val="center" w:pos="4252"/>
        <w:tab w:val="right" w:pos="8504"/>
      </w:tabs>
      <w:spacing w:after="0" w:line="240" w:lineRule="auto"/>
    </w:pPr>
  </w:style>
  <w:style w:type="character" w:customStyle="1" w:styleId="RodapChar">
    <w:name w:val="Rodapé Char"/>
    <w:basedOn w:val="Fontepargpadro"/>
    <w:link w:val="Rodap"/>
    <w:uiPriority w:val="99"/>
    <w:rsid w:val="00671A65"/>
    <w:rPr>
      <w:lang w:val="en-US"/>
    </w:rPr>
  </w:style>
  <w:style w:type="paragraph" w:styleId="PargrafodaLista">
    <w:name w:val="List Paragraph"/>
    <w:basedOn w:val="Normal"/>
    <w:uiPriority w:val="34"/>
    <w:qFormat/>
    <w:rsid w:val="00671A65"/>
    <w:pPr>
      <w:ind w:left="720"/>
      <w:contextualSpacing/>
    </w:pPr>
  </w:style>
  <w:style w:type="table" w:styleId="Tabelacomgrade">
    <w:name w:val="Table Grid"/>
    <w:basedOn w:val="Tabelanormal"/>
    <w:uiPriority w:val="39"/>
    <w:rsid w:val="005B2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A07CA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2335</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Mendonca</dc:creator>
  <cp:keywords/>
  <dc:description/>
  <cp:lastModifiedBy>Cristiane Domingues</cp:lastModifiedBy>
  <cp:revision>22</cp:revision>
  <dcterms:created xsi:type="dcterms:W3CDTF">2019-12-11T23:50:00Z</dcterms:created>
  <dcterms:modified xsi:type="dcterms:W3CDTF">2019-12-30T17:25:00Z</dcterms:modified>
</cp:coreProperties>
</file>