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47F" w:rsidRPr="0063747F" w:rsidRDefault="0063747F" w:rsidP="0063747F">
      <w:pPr>
        <w:ind w:left="360"/>
        <w:rPr>
          <w:rFonts w:ascii="Times New Roman" w:hAnsi="Times New Roman"/>
        </w:rPr>
      </w:pPr>
    </w:p>
    <w:p w:rsidR="0063747F" w:rsidRPr="0063747F" w:rsidRDefault="0063747F" w:rsidP="0063747F">
      <w:pPr>
        <w:pStyle w:val="a7"/>
        <w:rPr>
          <w:rFonts w:hint="eastAsia"/>
          <w:sz w:val="48"/>
        </w:rPr>
      </w:pPr>
      <w:bookmarkStart w:id="0" w:name="_GoBack"/>
      <w:bookmarkEnd w:id="0"/>
      <w:r w:rsidRPr="0063747F">
        <w:rPr>
          <w:b/>
        </w:rPr>
        <w:t xml:space="preserve">  </w:t>
      </w:r>
      <w:r>
        <w:rPr>
          <w:b/>
          <w:noProof/>
        </w:rPr>
        <w:drawing>
          <wp:inline distT="0" distB="0" distL="0" distR="0">
            <wp:extent cx="957789" cy="9601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Hospital Medicine logo Globe.jpg"/>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57789" cy="960108"/>
                    </a:xfrm>
                    <a:prstGeom prst="rect">
                      <a:avLst/>
                    </a:prstGeom>
                  </pic:spPr>
                </pic:pic>
              </a:graphicData>
            </a:graphic>
          </wp:inline>
        </w:drawing>
      </w:r>
      <w:r w:rsidRPr="0063747F">
        <w:rPr>
          <w:b/>
        </w:rPr>
        <w:t xml:space="preserve">      </w:t>
      </w:r>
      <w:r w:rsidRPr="0063747F">
        <w:rPr>
          <w:sz w:val="40"/>
        </w:rPr>
        <w:t xml:space="preserve">Ανασκόπηση της βιβλιογραφίας  από  IPHMI </w:t>
      </w:r>
      <w:r>
        <w:rPr>
          <w:b/>
          <w:noProof/>
        </w:rPr>
        <w:drawing>
          <wp:inline distT="0" distB="0" distL="0" distR="0">
            <wp:extent cx="1402080" cy="883920"/>
            <wp:effectExtent l="19050" t="19050" r="26670" b="1143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2080" cy="883920"/>
                    </a:xfrm>
                    <a:prstGeom prst="rect">
                      <a:avLst/>
                    </a:prstGeom>
                    <a:noFill/>
                    <a:ln w="25400" cmpd="sng">
                      <a:solidFill>
                        <a:srgbClr val="000000"/>
                      </a:solidFill>
                      <a:miter lim="800000"/>
                      <a:headEnd/>
                      <a:tailEnd/>
                    </a:ln>
                    <a:effectLst/>
                  </pic:spPr>
                </pic:pic>
              </a:graphicData>
            </a:graphic>
          </wp:inline>
        </w:drawing>
      </w:r>
    </w:p>
    <w:p w:rsidR="0063747F" w:rsidRPr="0063747F" w:rsidRDefault="0063747F" w:rsidP="0063747F">
      <w:pPr>
        <w:pStyle w:val="a7"/>
        <w:rPr>
          <w:rFonts w:hint="eastAsia"/>
          <w:sz w:val="28"/>
          <w:szCs w:val="28"/>
        </w:rPr>
      </w:pPr>
      <w:r w:rsidRPr="0063747F">
        <w:rPr>
          <w:sz w:val="28"/>
          <w:szCs w:val="28"/>
        </w:rPr>
        <w:t xml:space="preserve">Κρατώντας σας ενήμερους με την τρέχουσα βιβλιογραφία και τις μελέτες για την Επείγουσα </w:t>
      </w:r>
      <w:proofErr w:type="spellStart"/>
      <w:r w:rsidRPr="0063747F">
        <w:rPr>
          <w:sz w:val="28"/>
          <w:szCs w:val="28"/>
        </w:rPr>
        <w:t>Προνοσοκομειακή</w:t>
      </w:r>
      <w:proofErr w:type="spellEnd"/>
      <w:r w:rsidRPr="0063747F">
        <w:rPr>
          <w:sz w:val="28"/>
          <w:szCs w:val="28"/>
        </w:rPr>
        <w:t xml:space="preserve"> Αντιμετώπιση</w:t>
      </w:r>
    </w:p>
    <w:p w:rsidR="0063747F" w:rsidRPr="0063747F" w:rsidRDefault="0063747F" w:rsidP="0063747F">
      <w:pPr>
        <w:pStyle w:val="a7"/>
        <w:rPr>
          <w:rFonts w:hint="eastAsia"/>
          <w:sz w:val="28"/>
          <w:szCs w:val="28"/>
        </w:rPr>
      </w:pPr>
      <w:r>
        <w:rPr>
          <w:sz w:val="28"/>
          <w:szCs w:val="28"/>
          <w:lang w:val="en-US"/>
        </w:rPr>
        <w:t xml:space="preserve">                                                </w:t>
      </w:r>
      <w:r w:rsidRPr="0063747F">
        <w:rPr>
          <w:sz w:val="28"/>
          <w:szCs w:val="28"/>
        </w:rPr>
        <w:t>V</w:t>
      </w:r>
      <w:r>
        <w:rPr>
          <w:sz w:val="28"/>
          <w:szCs w:val="28"/>
        </w:rPr>
        <w:t>. 1.</w:t>
      </w:r>
      <w:r>
        <w:rPr>
          <w:sz w:val="28"/>
          <w:szCs w:val="28"/>
          <w:lang w:val="en-US"/>
        </w:rPr>
        <w:t>7</w:t>
      </w:r>
    </w:p>
    <w:p w:rsidR="00EF2FF7" w:rsidRDefault="00667C40">
      <w:pPr>
        <w:pStyle w:val="a7"/>
        <w:numPr>
          <w:ilvl w:val="0"/>
          <w:numId w:val="1"/>
        </w:numPr>
        <w:rPr>
          <w:rFonts w:cstheme="minorHAnsi"/>
          <w:lang w:val="en-US"/>
        </w:rPr>
      </w:pPr>
      <w:r>
        <w:rPr>
          <w:rFonts w:ascii="Calibri" w:hAnsi="Calibri"/>
          <w:b/>
        </w:rPr>
        <w:t xml:space="preserve">Αδυναμία ενδοφλέβιας πρόσβασης; Κανένα πρόβλημα: η </w:t>
      </w:r>
      <w:proofErr w:type="spellStart"/>
      <w:r>
        <w:rPr>
          <w:rFonts w:ascii="Calibri" w:hAnsi="Calibri"/>
          <w:b/>
        </w:rPr>
        <w:t>ενδο</w:t>
      </w:r>
      <w:proofErr w:type="spellEnd"/>
      <w:r>
        <w:rPr>
          <w:rFonts w:ascii="Calibri" w:hAnsi="Calibri"/>
          <w:b/>
        </w:rPr>
        <w:t xml:space="preserve">-οστική χορήγηση </w:t>
      </w:r>
      <w:proofErr w:type="spellStart"/>
      <w:r>
        <w:rPr>
          <w:rFonts w:ascii="Calibri" w:hAnsi="Calibri"/>
          <w:b/>
        </w:rPr>
        <w:t>τρανεξαμικού</w:t>
      </w:r>
      <w:proofErr w:type="spellEnd"/>
      <w:r>
        <w:rPr>
          <w:rFonts w:ascii="Calibri" w:hAnsi="Calibri"/>
          <w:b/>
        </w:rPr>
        <w:t xml:space="preserve"> οξέος είναι τόσο αποτελεσματική όσο και η ενδοφλέβια χορήγηση σε αιμορραγίες χοιρινών μοντέλων</w:t>
      </w:r>
      <w:r>
        <w:rPr>
          <w:rFonts w:ascii="Calibri" w:hAnsi="Calibri"/>
        </w:rPr>
        <w:t xml:space="preserve">. </w:t>
      </w:r>
      <w:proofErr w:type="spellStart"/>
      <w:r>
        <w:rPr>
          <w:rFonts w:ascii="Calibri" w:hAnsi="Calibri" w:cstheme="minorHAnsi"/>
          <w:lang w:val="en-US"/>
        </w:rPr>
        <w:t>Lallemand</w:t>
      </w:r>
      <w:proofErr w:type="spellEnd"/>
      <w:r w:rsidRPr="0063747F">
        <w:rPr>
          <w:rFonts w:ascii="Calibri" w:hAnsi="Calibri" w:cstheme="minorHAnsi"/>
          <w:lang w:val="en-US"/>
        </w:rPr>
        <w:t xml:space="preserve"> </w:t>
      </w:r>
      <w:r>
        <w:rPr>
          <w:rFonts w:ascii="Calibri" w:hAnsi="Calibri" w:cstheme="minorHAnsi"/>
          <w:lang w:val="en-US"/>
        </w:rPr>
        <w:t>MS</w:t>
      </w:r>
      <w:r w:rsidRPr="0063747F">
        <w:rPr>
          <w:rFonts w:ascii="Calibri" w:hAnsi="Calibri" w:cstheme="minorHAnsi"/>
          <w:lang w:val="en-US"/>
        </w:rPr>
        <w:t xml:space="preserve">, </w:t>
      </w:r>
      <w:r>
        <w:rPr>
          <w:rFonts w:ascii="Calibri" w:hAnsi="Calibri" w:cstheme="minorHAnsi"/>
          <w:lang w:val="en-US"/>
        </w:rPr>
        <w:t>Moe</w:t>
      </w:r>
      <w:r w:rsidRPr="0063747F">
        <w:rPr>
          <w:rFonts w:ascii="Calibri" w:hAnsi="Calibri" w:cstheme="minorHAnsi"/>
          <w:lang w:val="en-US"/>
        </w:rPr>
        <w:t xml:space="preserve"> </w:t>
      </w:r>
      <w:r>
        <w:rPr>
          <w:rFonts w:ascii="Calibri" w:hAnsi="Calibri" w:cstheme="minorHAnsi"/>
          <w:lang w:val="en-US"/>
        </w:rPr>
        <w:t>DM</w:t>
      </w:r>
      <w:r w:rsidRPr="0063747F">
        <w:rPr>
          <w:rFonts w:ascii="Calibri" w:hAnsi="Calibri" w:cstheme="minorHAnsi"/>
          <w:lang w:val="en-US"/>
        </w:rPr>
        <w:t xml:space="preserve">, </w:t>
      </w:r>
      <w:r>
        <w:rPr>
          <w:rFonts w:ascii="Calibri" w:hAnsi="Calibri" w:cstheme="minorHAnsi"/>
          <w:lang w:val="en-US"/>
        </w:rPr>
        <w:t>McClellan</w:t>
      </w:r>
      <w:r w:rsidRPr="0063747F">
        <w:rPr>
          <w:rFonts w:ascii="Calibri" w:hAnsi="Calibri" w:cstheme="minorHAnsi"/>
          <w:lang w:val="en-US"/>
        </w:rPr>
        <w:t xml:space="preserve"> </w:t>
      </w:r>
      <w:r>
        <w:rPr>
          <w:rFonts w:ascii="Calibri" w:hAnsi="Calibri" w:cstheme="minorHAnsi"/>
          <w:lang w:val="en-US"/>
        </w:rPr>
        <w:t>JM</w:t>
      </w:r>
      <w:r w:rsidRPr="0063747F">
        <w:rPr>
          <w:rFonts w:ascii="Calibri" w:hAnsi="Calibri" w:cstheme="minorHAnsi"/>
          <w:lang w:val="en-US"/>
        </w:rPr>
        <w:t xml:space="preserve">, </w:t>
      </w:r>
      <w:r>
        <w:rPr>
          <w:rFonts w:ascii="Calibri" w:hAnsi="Calibri" w:cstheme="minorHAnsi"/>
          <w:lang w:val="en-US"/>
        </w:rPr>
        <w:t>et</w:t>
      </w:r>
      <w:r w:rsidRPr="0063747F">
        <w:rPr>
          <w:rFonts w:ascii="Calibri" w:hAnsi="Calibri" w:cstheme="minorHAnsi"/>
          <w:lang w:val="en-US"/>
        </w:rPr>
        <w:t xml:space="preserve"> </w:t>
      </w:r>
      <w:r>
        <w:rPr>
          <w:rFonts w:ascii="Calibri" w:hAnsi="Calibri" w:cstheme="minorHAnsi"/>
          <w:lang w:val="en-US"/>
        </w:rPr>
        <w:t>al</w:t>
      </w:r>
      <w:r w:rsidRPr="0063747F">
        <w:rPr>
          <w:rFonts w:ascii="Calibri" w:hAnsi="Calibri" w:cstheme="minorHAnsi"/>
          <w:lang w:val="en-US"/>
        </w:rPr>
        <w:t xml:space="preserve">. </w:t>
      </w:r>
      <w:r>
        <w:rPr>
          <w:rFonts w:ascii="Calibri" w:hAnsi="Calibri" w:cstheme="minorHAnsi"/>
          <w:i/>
          <w:lang w:val="en-US"/>
        </w:rPr>
        <w:t xml:space="preserve">J Trauma Acute Care Surg. </w:t>
      </w:r>
      <w:r>
        <w:rPr>
          <w:rFonts w:ascii="Calibri" w:hAnsi="Calibri" w:cstheme="minorHAnsi"/>
          <w:lang w:val="en-US"/>
        </w:rPr>
        <w:t>2018</w:t>
      </w:r>
      <w:proofErr w:type="gramStart"/>
      <w:r>
        <w:rPr>
          <w:rFonts w:ascii="Calibri" w:hAnsi="Calibri" w:cstheme="minorHAnsi"/>
          <w:lang w:val="en-US"/>
        </w:rPr>
        <w:t>;84:379</w:t>
      </w:r>
      <w:proofErr w:type="gramEnd"/>
      <w:r>
        <w:rPr>
          <w:rFonts w:ascii="Calibri" w:hAnsi="Calibri" w:cstheme="minorHAnsi"/>
          <w:lang w:val="en-US"/>
        </w:rPr>
        <w:t>-385.</w:t>
      </w:r>
    </w:p>
    <w:p w:rsidR="00EF2FF7" w:rsidRDefault="00667C40">
      <w:pPr>
        <w:pStyle w:val="a7"/>
        <w:numPr>
          <w:ilvl w:val="0"/>
          <w:numId w:val="1"/>
        </w:numPr>
        <w:rPr>
          <w:rFonts w:ascii="Calibri" w:hAnsi="Calibri"/>
        </w:rPr>
      </w:pPr>
      <w:r>
        <w:rPr>
          <w:rFonts w:ascii="Calibri" w:hAnsi="Calibri"/>
          <w:b/>
        </w:rPr>
        <w:t>Ακινητοποίηση σπονδυλικής στήλης στον τραυματία- Περιγραφή μίας κοινής τοποθέτησης του τραυματία</w:t>
      </w:r>
      <w:r>
        <w:rPr>
          <w:rFonts w:ascii="Calibri" w:hAnsi="Calibri"/>
        </w:rPr>
        <w:t>.</w:t>
      </w:r>
      <w:r>
        <w:rPr>
          <w:rFonts w:ascii="Calibri" w:hAnsi="Calibri"/>
          <w:b/>
        </w:rPr>
        <w:t xml:space="preserve"> .  </w:t>
      </w:r>
      <w:proofErr w:type="spellStart"/>
      <w:r>
        <w:rPr>
          <w:rFonts w:ascii="Calibri" w:hAnsi="Calibri"/>
        </w:rPr>
        <w:t>Fischer</w:t>
      </w:r>
      <w:proofErr w:type="spellEnd"/>
      <w:r>
        <w:rPr>
          <w:rFonts w:ascii="Calibri" w:hAnsi="Calibri"/>
        </w:rPr>
        <w:t xml:space="preserve"> PE, </w:t>
      </w:r>
      <w:proofErr w:type="spellStart"/>
      <w:r>
        <w:rPr>
          <w:rFonts w:ascii="Calibri" w:hAnsi="Calibri"/>
        </w:rPr>
        <w:t>Perina</w:t>
      </w:r>
      <w:proofErr w:type="spellEnd"/>
      <w:r>
        <w:rPr>
          <w:rFonts w:ascii="Calibri" w:hAnsi="Calibri"/>
        </w:rPr>
        <w:t xml:space="preserve"> D, </w:t>
      </w:r>
      <w:proofErr w:type="spellStart"/>
      <w:r>
        <w:rPr>
          <w:rFonts w:ascii="Calibri" w:hAnsi="Calibri"/>
        </w:rPr>
        <w:t>DelbridgeTR</w:t>
      </w:r>
      <w:proofErr w:type="spellEnd"/>
      <w:r>
        <w:rPr>
          <w:rFonts w:ascii="Calibri" w:hAnsi="Calibri"/>
        </w:rPr>
        <w:t xml:space="preserve">, </w:t>
      </w:r>
      <w:proofErr w:type="spellStart"/>
      <w:r>
        <w:rPr>
          <w:rFonts w:ascii="Calibri" w:hAnsi="Calibri"/>
        </w:rPr>
        <w:t>et</w:t>
      </w:r>
      <w:proofErr w:type="spellEnd"/>
      <w:r>
        <w:rPr>
          <w:rFonts w:ascii="Calibri" w:hAnsi="Calibri"/>
        </w:rPr>
        <w:t xml:space="preserve"> </w:t>
      </w:r>
      <w:proofErr w:type="spellStart"/>
      <w:r>
        <w:rPr>
          <w:rFonts w:ascii="Calibri" w:hAnsi="Calibri"/>
        </w:rPr>
        <w:t>al</w:t>
      </w:r>
      <w:proofErr w:type="spellEnd"/>
      <w:r>
        <w:rPr>
          <w:rFonts w:ascii="Calibri" w:hAnsi="Calibri"/>
        </w:rPr>
        <w:t xml:space="preserve">. </w:t>
      </w:r>
      <w:proofErr w:type="spellStart"/>
      <w:r>
        <w:rPr>
          <w:rFonts w:ascii="Calibri" w:hAnsi="Calibri"/>
        </w:rPr>
        <w:t>PrehospEmerg</w:t>
      </w:r>
      <w:proofErr w:type="spellEnd"/>
      <w:r>
        <w:rPr>
          <w:rFonts w:ascii="Calibri" w:hAnsi="Calibri"/>
        </w:rPr>
        <w:t xml:space="preserve"> </w:t>
      </w:r>
      <w:proofErr w:type="spellStart"/>
      <w:r>
        <w:rPr>
          <w:rFonts w:ascii="Calibri" w:hAnsi="Calibri"/>
        </w:rPr>
        <w:t>Care</w:t>
      </w:r>
      <w:proofErr w:type="spellEnd"/>
      <w:r>
        <w:rPr>
          <w:rFonts w:ascii="Calibri" w:hAnsi="Calibri"/>
        </w:rPr>
        <w:t xml:space="preserve"> 2018;22:659-661.</w:t>
      </w:r>
    </w:p>
    <w:p w:rsidR="008D36FF" w:rsidRPr="00362F86" w:rsidRDefault="003649E9" w:rsidP="003649E9">
      <w:pPr>
        <w:pStyle w:val="a7"/>
        <w:numPr>
          <w:ilvl w:val="0"/>
          <w:numId w:val="1"/>
        </w:numPr>
        <w:rPr>
          <w:rFonts w:eastAsia="Times New Roman" w:cstheme="minorHAnsi"/>
        </w:rPr>
      </w:pPr>
      <w:r w:rsidRPr="00246949">
        <w:rPr>
          <w:rStyle w:val="tlid-translation"/>
          <w:b/>
        </w:rPr>
        <w:t xml:space="preserve"> Επίπτωση των ασθενών που παρουσιάζουν </w:t>
      </w:r>
      <w:proofErr w:type="spellStart"/>
      <w:r w:rsidRPr="00246949">
        <w:rPr>
          <w:rStyle w:val="tlid-translation"/>
          <w:b/>
        </w:rPr>
        <w:t>τοξίκωση</w:t>
      </w:r>
      <w:proofErr w:type="spellEnd"/>
      <w:r w:rsidRPr="00246949">
        <w:rPr>
          <w:rStyle w:val="tlid-translation"/>
          <w:b/>
        </w:rPr>
        <w:t xml:space="preserve"> από αλκοόλ ή / και ναρκωτικά στις υπηρεσίες υγειονομικής περίθαλψης κατά τη διάρκεια μαζικών εκδηλώσεων: Μια ολοκληρωμένη ανασκόπηση της βιβλιογραφίας. </w:t>
      </w:r>
      <w:proofErr w:type="spellStart"/>
      <w:r w:rsidRPr="00246949">
        <w:rPr>
          <w:rStyle w:val="tlid-translation"/>
          <w:b/>
        </w:rPr>
        <w:t>Bullock</w:t>
      </w:r>
      <w:proofErr w:type="spellEnd"/>
      <w:r w:rsidRPr="00246949">
        <w:rPr>
          <w:rStyle w:val="tlid-translation"/>
          <w:b/>
        </w:rPr>
        <w:t xml:space="preserve"> Μ, </w:t>
      </w:r>
      <w:proofErr w:type="spellStart"/>
      <w:r w:rsidRPr="00246949">
        <w:rPr>
          <w:rStyle w:val="tlid-translation"/>
          <w:b/>
        </w:rPr>
        <w:t>Ranse</w:t>
      </w:r>
      <w:proofErr w:type="spellEnd"/>
      <w:r w:rsidRPr="00246949">
        <w:rPr>
          <w:rStyle w:val="tlid-translation"/>
          <w:b/>
        </w:rPr>
        <w:t xml:space="preserve"> J, </w:t>
      </w:r>
      <w:proofErr w:type="spellStart"/>
      <w:r w:rsidRPr="00246949">
        <w:rPr>
          <w:rStyle w:val="tlid-translation"/>
          <w:b/>
        </w:rPr>
        <w:t>Hutton</w:t>
      </w:r>
      <w:proofErr w:type="spellEnd"/>
      <w:r w:rsidRPr="00246949">
        <w:rPr>
          <w:rStyle w:val="tlid-translation"/>
          <w:b/>
        </w:rPr>
        <w:t xml:space="preserve"> Α. </w:t>
      </w:r>
      <w:proofErr w:type="spellStart"/>
      <w:r w:rsidRPr="00246949">
        <w:rPr>
          <w:rStyle w:val="tlid-translation"/>
          <w:b/>
        </w:rPr>
        <w:t>Prehosp</w:t>
      </w:r>
      <w:proofErr w:type="spellEnd"/>
      <w:r w:rsidRPr="00246949">
        <w:rPr>
          <w:rStyle w:val="tlid-translation"/>
          <w:b/>
        </w:rPr>
        <w:t xml:space="preserve"> </w:t>
      </w:r>
      <w:proofErr w:type="spellStart"/>
      <w:r w:rsidRPr="00246949">
        <w:rPr>
          <w:rStyle w:val="tlid-translation"/>
          <w:b/>
        </w:rPr>
        <w:t>Disaster</w:t>
      </w:r>
      <w:proofErr w:type="spellEnd"/>
      <w:r w:rsidRPr="00246949">
        <w:rPr>
          <w:rStyle w:val="tlid-translation"/>
          <w:b/>
        </w:rPr>
        <w:t xml:space="preserve"> </w:t>
      </w:r>
      <w:proofErr w:type="spellStart"/>
      <w:r w:rsidRPr="00246949">
        <w:rPr>
          <w:rStyle w:val="tlid-translation"/>
          <w:b/>
        </w:rPr>
        <w:t>Med</w:t>
      </w:r>
      <w:proofErr w:type="spellEnd"/>
      <w:r w:rsidRPr="00246949">
        <w:rPr>
          <w:rStyle w:val="tlid-translation"/>
          <w:b/>
        </w:rPr>
        <w:t>. 2017, 33: 539-542.</w:t>
      </w:r>
    </w:p>
    <w:p w:rsidR="006471DB" w:rsidRPr="006471DB" w:rsidRDefault="006471DB" w:rsidP="006471DB">
      <w:pPr>
        <w:pStyle w:val="a7"/>
        <w:numPr>
          <w:ilvl w:val="0"/>
          <w:numId w:val="1"/>
        </w:numPr>
        <w:rPr>
          <w:rStyle w:val="tlid-translation"/>
          <w:rFonts w:cstheme="minorHAnsi"/>
        </w:rPr>
      </w:pPr>
      <w:r w:rsidRPr="006471DB">
        <w:rPr>
          <w:rStyle w:val="tlid-translation"/>
          <w:rFonts w:cstheme="minorHAnsi"/>
          <w:b/>
        </w:rPr>
        <w:t xml:space="preserve">Μια τυχαιοποιημένη μελέτη της </w:t>
      </w:r>
      <w:proofErr w:type="spellStart"/>
      <w:r w:rsidRPr="006471DB">
        <w:rPr>
          <w:rStyle w:val="tlid-translation"/>
          <w:rFonts w:cstheme="minorHAnsi"/>
          <w:b/>
        </w:rPr>
        <w:t>επινεφρίνης</w:t>
      </w:r>
      <w:proofErr w:type="spellEnd"/>
      <w:r w:rsidRPr="006471DB">
        <w:rPr>
          <w:rStyle w:val="tlid-translation"/>
          <w:rFonts w:cstheme="minorHAnsi"/>
          <w:b/>
        </w:rPr>
        <w:t xml:space="preserve"> στην εκτός νοσοκομείου καρδιακή ανακοπή</w:t>
      </w:r>
    </w:p>
    <w:p w:rsidR="00EF2FF7" w:rsidRPr="006471DB" w:rsidRDefault="00EF2FF7" w:rsidP="006471DB">
      <w:pPr>
        <w:pStyle w:val="a7"/>
        <w:rPr>
          <w:rFonts w:ascii="Calibri" w:hAnsi="Calibri"/>
        </w:rPr>
      </w:pPr>
    </w:p>
    <w:p w:rsidR="00EF2FF7" w:rsidRPr="006471DB" w:rsidRDefault="00EF2FF7">
      <w:pPr>
        <w:rPr>
          <w:rFonts w:ascii="Calibri" w:hAnsi="Calibri"/>
        </w:rPr>
      </w:pPr>
    </w:p>
    <w:p w:rsidR="00EF2FF7" w:rsidRPr="006471DB" w:rsidRDefault="00EF2FF7">
      <w:pPr>
        <w:rPr>
          <w:rFonts w:ascii="Calibri" w:hAnsi="Calibri"/>
        </w:rPr>
      </w:pPr>
    </w:p>
    <w:p w:rsidR="00EF2FF7" w:rsidRPr="0063747F" w:rsidRDefault="00667C40">
      <w:pPr>
        <w:pStyle w:val="a7"/>
        <w:numPr>
          <w:ilvl w:val="0"/>
          <w:numId w:val="2"/>
        </w:numPr>
        <w:rPr>
          <w:rFonts w:ascii="Calibri" w:hAnsi="Calibri"/>
          <w:lang w:val="en-US"/>
        </w:rPr>
      </w:pPr>
      <w:r>
        <w:rPr>
          <w:rFonts w:ascii="Calibri" w:hAnsi="Calibri"/>
          <w:b/>
        </w:rPr>
        <w:t xml:space="preserve">Αδυναμία ενδοφλέβιας πρόσβασης; Κανένα πρόβλημα: η </w:t>
      </w:r>
      <w:proofErr w:type="spellStart"/>
      <w:r>
        <w:rPr>
          <w:rFonts w:ascii="Calibri" w:hAnsi="Calibri"/>
          <w:b/>
        </w:rPr>
        <w:t>ενδο</w:t>
      </w:r>
      <w:proofErr w:type="spellEnd"/>
      <w:r>
        <w:rPr>
          <w:rFonts w:ascii="Calibri" w:hAnsi="Calibri"/>
          <w:b/>
        </w:rPr>
        <w:t xml:space="preserve">-οστική χορήγηση </w:t>
      </w:r>
      <w:proofErr w:type="spellStart"/>
      <w:r>
        <w:rPr>
          <w:rFonts w:ascii="Calibri" w:hAnsi="Calibri"/>
          <w:b/>
        </w:rPr>
        <w:t>τρανεξαμικού</w:t>
      </w:r>
      <w:proofErr w:type="spellEnd"/>
      <w:r>
        <w:rPr>
          <w:rFonts w:ascii="Calibri" w:hAnsi="Calibri"/>
          <w:b/>
        </w:rPr>
        <w:t xml:space="preserve"> οξέος είναι τόσο αποτελεσματική όσο και η ενδοφλέβια χορήγηση σε αιμορραγίες χοιρινών μοντέλων</w:t>
      </w:r>
      <w:r>
        <w:rPr>
          <w:rFonts w:ascii="Calibri" w:hAnsi="Calibri"/>
        </w:rPr>
        <w:t xml:space="preserve">. </w:t>
      </w:r>
      <w:proofErr w:type="spellStart"/>
      <w:r>
        <w:rPr>
          <w:rFonts w:ascii="Calibri" w:hAnsi="Calibri" w:cstheme="minorHAnsi"/>
          <w:lang w:val="en-US"/>
        </w:rPr>
        <w:t>Lallemand</w:t>
      </w:r>
      <w:proofErr w:type="spellEnd"/>
      <w:r w:rsidRPr="0063747F">
        <w:rPr>
          <w:rFonts w:ascii="Calibri" w:hAnsi="Calibri" w:cstheme="minorHAnsi"/>
          <w:lang w:val="en-US"/>
        </w:rPr>
        <w:t xml:space="preserve"> </w:t>
      </w:r>
      <w:r>
        <w:rPr>
          <w:rFonts w:ascii="Calibri" w:hAnsi="Calibri" w:cstheme="minorHAnsi"/>
          <w:lang w:val="en-US"/>
        </w:rPr>
        <w:t>MS</w:t>
      </w:r>
      <w:r w:rsidRPr="0063747F">
        <w:rPr>
          <w:rFonts w:ascii="Calibri" w:hAnsi="Calibri" w:cstheme="minorHAnsi"/>
          <w:lang w:val="en-US"/>
        </w:rPr>
        <w:t xml:space="preserve">, </w:t>
      </w:r>
      <w:r>
        <w:rPr>
          <w:rFonts w:ascii="Calibri" w:hAnsi="Calibri" w:cstheme="minorHAnsi"/>
          <w:lang w:val="en-US"/>
        </w:rPr>
        <w:t>Moe</w:t>
      </w:r>
      <w:r w:rsidRPr="0063747F">
        <w:rPr>
          <w:rFonts w:ascii="Calibri" w:hAnsi="Calibri" w:cstheme="minorHAnsi"/>
          <w:lang w:val="en-US"/>
        </w:rPr>
        <w:t xml:space="preserve"> </w:t>
      </w:r>
      <w:r>
        <w:rPr>
          <w:rFonts w:ascii="Calibri" w:hAnsi="Calibri" w:cstheme="minorHAnsi"/>
          <w:lang w:val="en-US"/>
        </w:rPr>
        <w:t>DM</w:t>
      </w:r>
      <w:r w:rsidRPr="0063747F">
        <w:rPr>
          <w:rFonts w:ascii="Calibri" w:hAnsi="Calibri" w:cstheme="minorHAnsi"/>
          <w:lang w:val="en-US"/>
        </w:rPr>
        <w:t xml:space="preserve">, </w:t>
      </w:r>
      <w:r>
        <w:rPr>
          <w:rFonts w:ascii="Calibri" w:hAnsi="Calibri" w:cstheme="minorHAnsi"/>
          <w:lang w:val="en-US"/>
        </w:rPr>
        <w:t>McClellan</w:t>
      </w:r>
      <w:r w:rsidRPr="0063747F">
        <w:rPr>
          <w:rFonts w:ascii="Calibri" w:hAnsi="Calibri" w:cstheme="minorHAnsi"/>
          <w:lang w:val="en-US"/>
        </w:rPr>
        <w:t xml:space="preserve"> </w:t>
      </w:r>
      <w:r>
        <w:rPr>
          <w:rFonts w:ascii="Calibri" w:hAnsi="Calibri" w:cstheme="minorHAnsi"/>
          <w:lang w:val="en-US"/>
        </w:rPr>
        <w:t>JM</w:t>
      </w:r>
      <w:r w:rsidRPr="0063747F">
        <w:rPr>
          <w:rFonts w:ascii="Calibri" w:hAnsi="Calibri" w:cstheme="minorHAnsi"/>
          <w:lang w:val="en-US"/>
        </w:rPr>
        <w:t xml:space="preserve">, </w:t>
      </w:r>
      <w:r>
        <w:rPr>
          <w:rFonts w:ascii="Calibri" w:hAnsi="Calibri" w:cstheme="minorHAnsi"/>
          <w:lang w:val="en-US"/>
        </w:rPr>
        <w:t>et</w:t>
      </w:r>
      <w:r w:rsidRPr="0063747F">
        <w:rPr>
          <w:rFonts w:ascii="Calibri" w:hAnsi="Calibri" w:cstheme="minorHAnsi"/>
          <w:lang w:val="en-US"/>
        </w:rPr>
        <w:t xml:space="preserve"> </w:t>
      </w:r>
      <w:r>
        <w:rPr>
          <w:rFonts w:ascii="Calibri" w:hAnsi="Calibri" w:cstheme="minorHAnsi"/>
          <w:lang w:val="en-US"/>
        </w:rPr>
        <w:t>al</w:t>
      </w:r>
      <w:r w:rsidRPr="0063747F">
        <w:rPr>
          <w:rFonts w:ascii="Calibri" w:hAnsi="Calibri" w:cstheme="minorHAnsi"/>
          <w:lang w:val="en-US"/>
        </w:rPr>
        <w:t xml:space="preserve">. </w:t>
      </w:r>
      <w:r>
        <w:rPr>
          <w:rFonts w:ascii="Calibri" w:hAnsi="Calibri" w:cstheme="minorHAnsi"/>
          <w:i/>
          <w:lang w:val="en-US"/>
        </w:rPr>
        <w:t>J</w:t>
      </w:r>
      <w:r w:rsidRPr="0063747F">
        <w:rPr>
          <w:rFonts w:ascii="Calibri" w:hAnsi="Calibri" w:cstheme="minorHAnsi"/>
          <w:i/>
          <w:lang w:val="en-US"/>
        </w:rPr>
        <w:t xml:space="preserve"> </w:t>
      </w:r>
      <w:r>
        <w:rPr>
          <w:rFonts w:ascii="Calibri" w:hAnsi="Calibri" w:cstheme="minorHAnsi"/>
          <w:i/>
          <w:lang w:val="en-US"/>
        </w:rPr>
        <w:t>Trauma</w:t>
      </w:r>
      <w:r w:rsidRPr="0063747F">
        <w:rPr>
          <w:rFonts w:ascii="Calibri" w:hAnsi="Calibri" w:cstheme="minorHAnsi"/>
          <w:i/>
          <w:lang w:val="en-US"/>
        </w:rPr>
        <w:t xml:space="preserve"> </w:t>
      </w:r>
      <w:r>
        <w:rPr>
          <w:rFonts w:ascii="Calibri" w:hAnsi="Calibri" w:cstheme="minorHAnsi"/>
          <w:i/>
          <w:lang w:val="en-US"/>
        </w:rPr>
        <w:t>Acute</w:t>
      </w:r>
      <w:r w:rsidRPr="0063747F">
        <w:rPr>
          <w:rFonts w:ascii="Calibri" w:hAnsi="Calibri" w:cstheme="minorHAnsi"/>
          <w:i/>
          <w:lang w:val="en-US"/>
        </w:rPr>
        <w:t xml:space="preserve"> </w:t>
      </w:r>
      <w:r>
        <w:rPr>
          <w:rFonts w:ascii="Calibri" w:hAnsi="Calibri" w:cstheme="minorHAnsi"/>
          <w:i/>
          <w:lang w:val="en-US"/>
        </w:rPr>
        <w:t>Care</w:t>
      </w:r>
      <w:r w:rsidRPr="0063747F">
        <w:rPr>
          <w:rFonts w:ascii="Calibri" w:hAnsi="Calibri" w:cstheme="minorHAnsi"/>
          <w:i/>
          <w:lang w:val="en-US"/>
        </w:rPr>
        <w:t xml:space="preserve"> </w:t>
      </w:r>
      <w:r>
        <w:rPr>
          <w:rFonts w:ascii="Calibri" w:hAnsi="Calibri" w:cstheme="minorHAnsi"/>
          <w:i/>
          <w:lang w:val="en-US"/>
        </w:rPr>
        <w:t>Surg</w:t>
      </w:r>
      <w:r w:rsidRPr="0063747F">
        <w:rPr>
          <w:rFonts w:ascii="Calibri" w:hAnsi="Calibri" w:cstheme="minorHAnsi"/>
          <w:i/>
          <w:lang w:val="en-US"/>
        </w:rPr>
        <w:t xml:space="preserve">. </w:t>
      </w:r>
      <w:r w:rsidRPr="0063747F">
        <w:rPr>
          <w:rFonts w:ascii="Calibri" w:hAnsi="Calibri" w:cstheme="minorHAnsi"/>
          <w:lang w:val="en-US"/>
        </w:rPr>
        <w:t>2018</w:t>
      </w:r>
      <w:proofErr w:type="gramStart"/>
      <w:r w:rsidRPr="0063747F">
        <w:rPr>
          <w:rFonts w:ascii="Calibri" w:hAnsi="Calibri" w:cstheme="minorHAnsi"/>
          <w:lang w:val="en-US"/>
        </w:rPr>
        <w:t>;84:379</w:t>
      </w:r>
      <w:proofErr w:type="gramEnd"/>
      <w:r w:rsidRPr="0063747F">
        <w:rPr>
          <w:rFonts w:ascii="Calibri" w:hAnsi="Calibri" w:cstheme="minorHAnsi"/>
          <w:lang w:val="en-US"/>
        </w:rPr>
        <w:t>-385.</w:t>
      </w:r>
    </w:p>
    <w:p w:rsidR="00EF2FF7" w:rsidRDefault="00667C40">
      <w:pPr>
        <w:rPr>
          <w:rFonts w:ascii="Calibri" w:hAnsi="Calibri"/>
        </w:rPr>
      </w:pPr>
      <w:r>
        <w:rPr>
          <w:rFonts w:ascii="Calibri" w:hAnsi="Calibri"/>
        </w:rPr>
        <w:t xml:space="preserve">Η επαγόμενη από το τραύμα </w:t>
      </w:r>
      <w:r w:rsidR="0063747F">
        <w:rPr>
          <w:rFonts w:ascii="Calibri" w:hAnsi="Calibri"/>
        </w:rPr>
        <w:t xml:space="preserve">διαταραχή της </w:t>
      </w:r>
      <w:r>
        <w:rPr>
          <w:rFonts w:ascii="Calibri" w:hAnsi="Calibri"/>
        </w:rPr>
        <w:t>πήξη</w:t>
      </w:r>
      <w:r w:rsidR="0063747F">
        <w:rPr>
          <w:rFonts w:ascii="Calibri" w:hAnsi="Calibri"/>
        </w:rPr>
        <w:t>ς</w:t>
      </w:r>
      <w:r>
        <w:rPr>
          <w:rFonts w:ascii="Calibri" w:hAnsi="Calibri"/>
        </w:rPr>
        <w:t xml:space="preserve"> του αίματος ( </w:t>
      </w:r>
      <w:r>
        <w:rPr>
          <w:rFonts w:ascii="Calibri" w:hAnsi="Calibri"/>
          <w:lang w:val="en-US"/>
        </w:rPr>
        <w:t>Trauma</w:t>
      </w:r>
      <w:r>
        <w:rPr>
          <w:rFonts w:ascii="Calibri" w:hAnsi="Calibri"/>
        </w:rPr>
        <w:t xml:space="preserve"> </w:t>
      </w:r>
      <w:r>
        <w:rPr>
          <w:rFonts w:ascii="Calibri" w:hAnsi="Calibri"/>
          <w:lang w:val="en-US"/>
        </w:rPr>
        <w:t>induced</w:t>
      </w:r>
      <w:r>
        <w:rPr>
          <w:rFonts w:ascii="Calibri" w:hAnsi="Calibri"/>
        </w:rPr>
        <w:t xml:space="preserve"> </w:t>
      </w:r>
      <w:proofErr w:type="spellStart"/>
      <w:r>
        <w:rPr>
          <w:rFonts w:ascii="Calibri" w:hAnsi="Calibri"/>
          <w:lang w:val="en-US"/>
        </w:rPr>
        <w:t>coagulopathy</w:t>
      </w:r>
      <w:proofErr w:type="spellEnd"/>
      <w:r>
        <w:rPr>
          <w:rFonts w:ascii="Calibri" w:hAnsi="Calibri"/>
        </w:rPr>
        <w:t xml:space="preserve">- </w:t>
      </w:r>
      <w:r>
        <w:rPr>
          <w:rFonts w:ascii="Calibri" w:hAnsi="Calibri"/>
          <w:lang w:val="en-US"/>
        </w:rPr>
        <w:t>TIC</w:t>
      </w:r>
      <w:r>
        <w:rPr>
          <w:rFonts w:ascii="Calibri" w:hAnsi="Calibri"/>
        </w:rPr>
        <w:t xml:space="preserve">) συναντάται στα σοβαρά τραυματισμένα θύματα, τα οποία έχουν χάσει σημαντικό όγκο αίματος λόγω οξείας αιμορραγίας. </w:t>
      </w:r>
      <w:proofErr w:type="gramStart"/>
      <w:r>
        <w:rPr>
          <w:rFonts w:ascii="Calibri" w:hAnsi="Calibri"/>
          <w:lang w:val="en-US"/>
        </w:rPr>
        <w:t>H</w:t>
      </w:r>
      <w:r>
        <w:rPr>
          <w:rFonts w:ascii="Calibri" w:hAnsi="Calibri"/>
        </w:rPr>
        <w:t xml:space="preserve"> </w:t>
      </w:r>
      <w:r>
        <w:rPr>
          <w:rFonts w:ascii="Calibri" w:hAnsi="Calibri"/>
          <w:lang w:val="en-US"/>
        </w:rPr>
        <w:t>TIC</w:t>
      </w:r>
      <w:r>
        <w:rPr>
          <w:rFonts w:ascii="Calibri" w:hAnsi="Calibri"/>
        </w:rPr>
        <w:t xml:space="preserve"> είναι μία </w:t>
      </w:r>
      <w:proofErr w:type="spellStart"/>
      <w:r>
        <w:rPr>
          <w:rFonts w:ascii="Calibri" w:hAnsi="Calibri"/>
        </w:rPr>
        <w:t>πολυπαραγοντική</w:t>
      </w:r>
      <w:proofErr w:type="spellEnd"/>
      <w:r>
        <w:rPr>
          <w:rFonts w:ascii="Calibri" w:hAnsi="Calibri"/>
        </w:rPr>
        <w:t xml:space="preserve"> κατάσταση.</w:t>
      </w:r>
      <w:proofErr w:type="gramEnd"/>
      <w:r>
        <w:rPr>
          <w:rFonts w:ascii="Calibri" w:hAnsi="Calibri"/>
        </w:rPr>
        <w:t xml:space="preserve"> Η ανάπτυξη της </w:t>
      </w:r>
      <w:r>
        <w:rPr>
          <w:rFonts w:ascii="Calibri" w:hAnsi="Calibri"/>
          <w:lang w:val="en-US"/>
        </w:rPr>
        <w:t>TIC</w:t>
      </w:r>
      <w:r>
        <w:rPr>
          <w:rFonts w:ascii="Calibri" w:hAnsi="Calibri"/>
        </w:rPr>
        <w:t xml:space="preserve">  σε σοβαρά τραυματισμένους ασθενείς, συσχετίζεται με αυξημένες ανάγκες για μετάγγιση αίματος, με μεγαλύτερη παραμονή στη μονάδα εντατικής </w:t>
      </w:r>
      <w:r>
        <w:rPr>
          <w:rFonts w:ascii="Calibri" w:hAnsi="Calibri"/>
        </w:rPr>
        <w:lastRenderedPageBreak/>
        <w:t xml:space="preserve">θεραπείας, με περισσότερες μέρες στο μηχανικό αερισμό, με μεγαλύτερου βαθμού οργανική ανεπάρκεια και με αυξημένο κίνδυνο θανάτου. </w:t>
      </w:r>
    </w:p>
    <w:p w:rsidR="00EF2FF7" w:rsidRDefault="00667C40">
      <w:pPr>
        <w:rPr>
          <w:rFonts w:ascii="Calibri" w:hAnsi="Calibri"/>
        </w:rPr>
      </w:pPr>
      <w:r>
        <w:rPr>
          <w:rFonts w:ascii="Calibri" w:hAnsi="Calibri"/>
        </w:rPr>
        <w:t xml:space="preserve">Το </w:t>
      </w:r>
      <w:proofErr w:type="spellStart"/>
      <w:r>
        <w:rPr>
          <w:rFonts w:ascii="Calibri" w:hAnsi="Calibri"/>
        </w:rPr>
        <w:t>τρανεξαμικό</w:t>
      </w:r>
      <w:proofErr w:type="spellEnd"/>
      <w:r>
        <w:rPr>
          <w:rFonts w:ascii="Calibri" w:hAnsi="Calibri"/>
        </w:rPr>
        <w:t xml:space="preserve"> οξύ (</w:t>
      </w:r>
      <w:proofErr w:type="spellStart"/>
      <w:r>
        <w:rPr>
          <w:rFonts w:ascii="Calibri" w:hAnsi="Calibri"/>
          <w:lang w:val="en-US"/>
        </w:rPr>
        <w:t>Tranexamic</w:t>
      </w:r>
      <w:proofErr w:type="spellEnd"/>
      <w:r>
        <w:rPr>
          <w:rFonts w:ascii="Calibri" w:hAnsi="Calibri"/>
        </w:rPr>
        <w:t xml:space="preserve"> </w:t>
      </w:r>
      <w:r>
        <w:rPr>
          <w:rFonts w:ascii="Calibri" w:hAnsi="Calibri"/>
          <w:lang w:val="en-US"/>
        </w:rPr>
        <w:t>acid</w:t>
      </w:r>
      <w:r>
        <w:rPr>
          <w:rFonts w:ascii="Calibri" w:hAnsi="Calibri"/>
        </w:rPr>
        <w:t>-</w:t>
      </w:r>
      <w:r>
        <w:rPr>
          <w:rFonts w:ascii="Calibri" w:hAnsi="Calibri"/>
          <w:lang w:val="en-US"/>
        </w:rPr>
        <w:t>TXA</w:t>
      </w:r>
      <w:r>
        <w:rPr>
          <w:rFonts w:ascii="Calibri" w:hAnsi="Calibri"/>
        </w:rPr>
        <w:t xml:space="preserve">) είναι ένα </w:t>
      </w:r>
      <w:proofErr w:type="spellStart"/>
      <w:r>
        <w:rPr>
          <w:rFonts w:ascii="Calibri" w:hAnsi="Calibri"/>
        </w:rPr>
        <w:t>αντι</w:t>
      </w:r>
      <w:proofErr w:type="spellEnd"/>
      <w:r>
        <w:rPr>
          <w:rFonts w:ascii="Calibri" w:hAnsi="Calibri"/>
        </w:rPr>
        <w:t>-</w:t>
      </w:r>
      <w:proofErr w:type="spellStart"/>
      <w:r>
        <w:rPr>
          <w:rFonts w:ascii="Calibri" w:hAnsi="Calibri"/>
        </w:rPr>
        <w:t>ινοδολυτικό</w:t>
      </w:r>
      <w:proofErr w:type="spellEnd"/>
      <w:r>
        <w:rPr>
          <w:rFonts w:ascii="Calibri" w:hAnsi="Calibri"/>
        </w:rPr>
        <w:t xml:space="preserve"> φάρμακο, που χρησιμοποιείται ευρέως στα καρδιολογικά, ορθοπεδικά και γυναικολογικά χειρουργεία. Το </w:t>
      </w:r>
      <w:r>
        <w:rPr>
          <w:rFonts w:ascii="Calibri" w:hAnsi="Calibri"/>
          <w:lang w:val="en-US"/>
        </w:rPr>
        <w:t>TXA</w:t>
      </w:r>
      <w:r>
        <w:rPr>
          <w:rFonts w:ascii="Calibri" w:hAnsi="Calibri"/>
        </w:rPr>
        <w:t xml:space="preserve"> εμποδίζει την καταστροφή του θρόμβου που σχηματίζεται από το σώμα. Παλαιότερη έρευνα έδειξε όφελος επιβίωσης των βαριά τραυματισμένων ασθενών με την χορήγηση του </w:t>
      </w:r>
      <w:r>
        <w:rPr>
          <w:rFonts w:ascii="Calibri" w:hAnsi="Calibri"/>
          <w:lang w:val="en-US"/>
        </w:rPr>
        <w:t>TXA</w:t>
      </w:r>
      <w:r>
        <w:rPr>
          <w:rFonts w:ascii="Calibri" w:hAnsi="Calibri"/>
        </w:rPr>
        <w:t xml:space="preserve"> μέσα στις 3 πρώτες ώρες από τον τ</w:t>
      </w:r>
      <w:r w:rsidR="0063747F">
        <w:rPr>
          <w:rFonts w:ascii="Calibri" w:hAnsi="Calibri"/>
        </w:rPr>
        <w:t xml:space="preserve">ραυματισμό.  Το Αμερικάνικο </w:t>
      </w:r>
      <w:proofErr w:type="spellStart"/>
      <w:r w:rsidR="0063747F">
        <w:rPr>
          <w:rFonts w:ascii="Calibri" w:hAnsi="Calibri"/>
        </w:rPr>
        <w:t>προνοσοκομειακό</w:t>
      </w:r>
      <w:proofErr w:type="spellEnd"/>
      <w:r w:rsidR="0063747F">
        <w:rPr>
          <w:rFonts w:ascii="Calibri" w:hAnsi="Calibri"/>
        </w:rPr>
        <w:t xml:space="preserve"> σύστημα</w:t>
      </w:r>
      <w:r>
        <w:rPr>
          <w:rFonts w:ascii="Calibri" w:hAnsi="Calibri"/>
        </w:rPr>
        <w:t xml:space="preserve"> (</w:t>
      </w:r>
      <w:r>
        <w:rPr>
          <w:rFonts w:ascii="Calibri" w:hAnsi="Calibri"/>
          <w:lang w:val="en-US"/>
        </w:rPr>
        <w:t>EMS</w:t>
      </w:r>
      <w:r w:rsidRPr="00667C40">
        <w:rPr>
          <w:rFonts w:ascii="Calibri" w:hAnsi="Calibri"/>
        </w:rPr>
        <w:t>)</w:t>
      </w:r>
      <w:r w:rsidR="0063747F">
        <w:rPr>
          <w:rFonts w:ascii="Calibri" w:hAnsi="Calibri"/>
        </w:rPr>
        <w:t xml:space="preserve">, χρησιμοποιεί </w:t>
      </w:r>
      <w:r>
        <w:rPr>
          <w:rFonts w:ascii="Calibri" w:hAnsi="Calibri"/>
        </w:rPr>
        <w:t xml:space="preserve">πλέον το ΤΧΑ στον </w:t>
      </w:r>
      <w:proofErr w:type="spellStart"/>
      <w:r>
        <w:rPr>
          <w:rFonts w:ascii="Calibri" w:hAnsi="Calibri"/>
        </w:rPr>
        <w:t>προνοσοκομειακό</w:t>
      </w:r>
      <w:proofErr w:type="spellEnd"/>
      <w:r>
        <w:rPr>
          <w:rFonts w:ascii="Calibri" w:hAnsi="Calibri"/>
        </w:rPr>
        <w:t xml:space="preserve"> χώρο. Παραδοσιακά, το </w:t>
      </w:r>
      <w:r>
        <w:rPr>
          <w:rFonts w:ascii="Calibri" w:hAnsi="Calibri"/>
          <w:lang w:val="en-US"/>
        </w:rPr>
        <w:t>TXA</w:t>
      </w:r>
      <w:r w:rsidRPr="00667C40">
        <w:rPr>
          <w:rFonts w:ascii="Calibri" w:hAnsi="Calibri"/>
        </w:rPr>
        <w:t xml:space="preserve"> </w:t>
      </w:r>
      <w:r>
        <w:rPr>
          <w:rFonts w:ascii="Calibri" w:hAnsi="Calibri"/>
        </w:rPr>
        <w:t>χορηγείται ενδοφλεβίως</w:t>
      </w:r>
      <w:r w:rsidRPr="00667C40">
        <w:rPr>
          <w:rFonts w:ascii="Calibri" w:hAnsi="Calibri"/>
        </w:rPr>
        <w:t>(</w:t>
      </w:r>
      <w:r>
        <w:rPr>
          <w:rFonts w:ascii="Calibri" w:hAnsi="Calibri"/>
          <w:lang w:val="en-US"/>
        </w:rPr>
        <w:t>IV</w:t>
      </w:r>
      <w:r w:rsidRPr="00667C40">
        <w:rPr>
          <w:rFonts w:ascii="Calibri" w:hAnsi="Calibri"/>
        </w:rPr>
        <w:t xml:space="preserve">). </w:t>
      </w:r>
      <w:r>
        <w:rPr>
          <w:rFonts w:ascii="Calibri" w:hAnsi="Calibri"/>
        </w:rPr>
        <w:t xml:space="preserve">Η χορήγηση του </w:t>
      </w:r>
      <w:r>
        <w:rPr>
          <w:rFonts w:ascii="Calibri" w:hAnsi="Calibri"/>
          <w:lang w:val="en-US"/>
        </w:rPr>
        <w:t>TXA</w:t>
      </w:r>
      <w:r w:rsidRPr="00667C40">
        <w:rPr>
          <w:rFonts w:ascii="Calibri" w:hAnsi="Calibri"/>
        </w:rPr>
        <w:t xml:space="preserve"> </w:t>
      </w:r>
      <w:r>
        <w:rPr>
          <w:rFonts w:ascii="Calibri" w:hAnsi="Calibri"/>
        </w:rPr>
        <w:t xml:space="preserve">μπορεί να  φανεί δύσκολη στον πολιτικό και στρατιωτικό </w:t>
      </w:r>
      <w:proofErr w:type="spellStart"/>
      <w:r>
        <w:rPr>
          <w:rFonts w:ascii="Calibri" w:hAnsi="Calibri"/>
        </w:rPr>
        <w:t>προνοσοκομειακό</w:t>
      </w:r>
      <w:proofErr w:type="spellEnd"/>
      <w:r>
        <w:rPr>
          <w:rFonts w:ascii="Calibri" w:hAnsi="Calibri"/>
        </w:rPr>
        <w:t xml:space="preserve"> χώρο, δεδομένου ότι η ενδοφλέβια πρόσβαση μπορεί να είναι δύσκολη σε </w:t>
      </w:r>
      <w:proofErr w:type="spellStart"/>
      <w:r>
        <w:rPr>
          <w:rFonts w:ascii="Calibri" w:hAnsi="Calibri"/>
        </w:rPr>
        <w:t>υποογκαιμικούς</w:t>
      </w:r>
      <w:proofErr w:type="spellEnd"/>
      <w:r>
        <w:rPr>
          <w:rFonts w:ascii="Calibri" w:hAnsi="Calibri"/>
        </w:rPr>
        <w:t xml:space="preserve"> ασθενείς. Επιπροσθέτως, πολλά τραύματα συντριπτικού τύπου προκαλού</w:t>
      </w:r>
      <w:r w:rsidR="0063747F">
        <w:rPr>
          <w:rFonts w:ascii="Calibri" w:hAnsi="Calibri"/>
        </w:rPr>
        <w:t>ν</w:t>
      </w:r>
      <w:r>
        <w:rPr>
          <w:rFonts w:ascii="Calibri" w:hAnsi="Calibri"/>
        </w:rPr>
        <w:t xml:space="preserve"> σημαντική βλάβη σε πολλαπλά άκρα καθιστώντας την </w:t>
      </w:r>
      <w:r>
        <w:rPr>
          <w:rFonts w:ascii="Calibri" w:hAnsi="Calibri"/>
          <w:lang w:val="en-US"/>
        </w:rPr>
        <w:t>IV</w:t>
      </w:r>
      <w:r w:rsidRPr="00667C40">
        <w:rPr>
          <w:rFonts w:ascii="Calibri" w:hAnsi="Calibri"/>
        </w:rPr>
        <w:t xml:space="preserve"> </w:t>
      </w:r>
      <w:r>
        <w:rPr>
          <w:rFonts w:ascii="Calibri" w:hAnsi="Calibri"/>
        </w:rPr>
        <w:t xml:space="preserve">πρόσβαση δύσκολη, αν όχι αδύνατη. Το 2013, το τμήμα ειδικής άμυνας αναγνώρισε μείζονα “κενά” στο κομμάτι της έρευνας του </w:t>
      </w:r>
      <w:r>
        <w:rPr>
          <w:rFonts w:ascii="Calibri" w:hAnsi="Calibri"/>
          <w:lang w:val="en-US"/>
        </w:rPr>
        <w:t>TXA</w:t>
      </w:r>
      <w:r w:rsidRPr="00667C40">
        <w:rPr>
          <w:rFonts w:ascii="Calibri" w:hAnsi="Calibri"/>
        </w:rPr>
        <w:t>.</w:t>
      </w:r>
      <w:r>
        <w:rPr>
          <w:rFonts w:ascii="Calibri" w:hAnsi="Calibri"/>
        </w:rPr>
        <w:t xml:space="preserve"> Ένα κενό που επιβεβαίωσαν, ήταν η έλλειψη δεδομένων που αφορούν τη φαρμακολογία και την αποτελεσματικότητα  του </w:t>
      </w:r>
      <w:r>
        <w:rPr>
          <w:rFonts w:ascii="Calibri" w:hAnsi="Calibri"/>
          <w:lang w:val="en-US"/>
        </w:rPr>
        <w:t>TXA</w:t>
      </w:r>
      <w:r w:rsidRPr="00667C40">
        <w:rPr>
          <w:rFonts w:ascii="Calibri" w:hAnsi="Calibri"/>
        </w:rPr>
        <w:t xml:space="preserve"> </w:t>
      </w:r>
      <w:r>
        <w:rPr>
          <w:rFonts w:ascii="Calibri" w:hAnsi="Calibri"/>
        </w:rPr>
        <w:t xml:space="preserve">χορηγούμενου μέσω της </w:t>
      </w:r>
      <w:proofErr w:type="spellStart"/>
      <w:r>
        <w:rPr>
          <w:rFonts w:ascii="Calibri" w:hAnsi="Calibri"/>
        </w:rPr>
        <w:t>ενδοοστικής</w:t>
      </w:r>
      <w:proofErr w:type="spellEnd"/>
      <w:r>
        <w:rPr>
          <w:rFonts w:ascii="Calibri" w:hAnsi="Calibri"/>
        </w:rPr>
        <w:t xml:space="preserve"> οδού( </w:t>
      </w:r>
      <w:proofErr w:type="spellStart"/>
      <w:r>
        <w:rPr>
          <w:rFonts w:ascii="Calibri" w:hAnsi="Calibri"/>
          <w:lang w:val="en-US"/>
        </w:rPr>
        <w:t>intraosseous</w:t>
      </w:r>
      <w:proofErr w:type="spellEnd"/>
      <w:r w:rsidRPr="00667C40">
        <w:rPr>
          <w:rFonts w:ascii="Calibri" w:hAnsi="Calibri"/>
        </w:rPr>
        <w:t>-</w:t>
      </w:r>
      <w:r>
        <w:rPr>
          <w:rFonts w:ascii="Calibri" w:hAnsi="Calibri"/>
          <w:lang w:val="en-US"/>
        </w:rPr>
        <w:t>IO</w:t>
      </w:r>
      <w:r w:rsidRPr="00667C40">
        <w:rPr>
          <w:rFonts w:ascii="Calibri" w:hAnsi="Calibri"/>
        </w:rPr>
        <w:t xml:space="preserve">). </w:t>
      </w:r>
      <w:r>
        <w:rPr>
          <w:rFonts w:ascii="Calibri" w:hAnsi="Calibri"/>
        </w:rPr>
        <w:t xml:space="preserve">Ο σκοπός αυτής της μελέτης ήταν να εκτιμήσει τη φαρμακοδυναμική και την αποτελεσματικότητα του ΤΧΑ μέσω </w:t>
      </w:r>
      <w:r>
        <w:rPr>
          <w:rFonts w:ascii="Calibri" w:hAnsi="Calibri"/>
          <w:lang w:val="en-US"/>
        </w:rPr>
        <w:t>IO</w:t>
      </w:r>
      <w:r w:rsidRPr="00667C40">
        <w:rPr>
          <w:rFonts w:ascii="Calibri" w:hAnsi="Calibri"/>
        </w:rPr>
        <w:t xml:space="preserve">  </w:t>
      </w:r>
      <w:r>
        <w:rPr>
          <w:rFonts w:ascii="Calibri" w:hAnsi="Calibri"/>
        </w:rPr>
        <w:t xml:space="preserve">οδού, έναντι της </w:t>
      </w:r>
      <w:r>
        <w:rPr>
          <w:rFonts w:ascii="Calibri" w:hAnsi="Calibri"/>
          <w:lang w:val="en-US"/>
        </w:rPr>
        <w:t>IV</w:t>
      </w:r>
      <w:r w:rsidRPr="00667C40">
        <w:rPr>
          <w:rFonts w:ascii="Calibri" w:hAnsi="Calibri"/>
        </w:rPr>
        <w:t xml:space="preserve"> </w:t>
      </w:r>
      <w:r>
        <w:rPr>
          <w:rFonts w:ascii="Calibri" w:hAnsi="Calibri"/>
        </w:rPr>
        <w:t xml:space="preserve">οδού, χρησιμοποιώντας μοντέλα ζώων με αιμορραγικό σοκ.  </w:t>
      </w:r>
    </w:p>
    <w:p w:rsidR="00EF2FF7" w:rsidRDefault="00667C40">
      <w:pPr>
        <w:rPr>
          <w:rFonts w:ascii="Calibri" w:hAnsi="Calibri"/>
        </w:rPr>
      </w:pPr>
      <w:r>
        <w:rPr>
          <w:rFonts w:ascii="Calibri" w:hAnsi="Calibri"/>
        </w:rPr>
        <w:t>Δεκαοχτώ ενήλικοι χοίροι  χρησιμοποιήθηκαν στη μελέτη. Γ</w:t>
      </w:r>
      <w:r w:rsidR="0063747F">
        <w:rPr>
          <w:rFonts w:ascii="Calibri" w:hAnsi="Calibri"/>
        </w:rPr>
        <w:t>ια να μιμη</w:t>
      </w:r>
      <w:r>
        <w:rPr>
          <w:rFonts w:ascii="Calibri" w:hAnsi="Calibri"/>
        </w:rPr>
        <w:t xml:space="preserve">θούν </w:t>
      </w:r>
      <w:proofErr w:type="spellStart"/>
      <w:r>
        <w:rPr>
          <w:rFonts w:ascii="Calibri" w:hAnsi="Calibri"/>
        </w:rPr>
        <w:t>υπογκαιμικό</w:t>
      </w:r>
      <w:proofErr w:type="spellEnd"/>
      <w:r>
        <w:rPr>
          <w:rFonts w:ascii="Calibri" w:hAnsi="Calibri"/>
        </w:rPr>
        <w:t xml:space="preserve"> σοκ, κάθε χοίρος αναισθητοποιήθηκε, υποβλήθηκε σε ελεγχόμενη αιμορραγία( απώλεια 35% όγκου αίματος) και διατηρήθηκε σε μία μέση αρτηριακή πίεση των 40</w:t>
      </w:r>
      <w:r>
        <w:rPr>
          <w:rFonts w:ascii="Calibri" w:hAnsi="Calibri"/>
          <w:lang w:val="en-US"/>
        </w:rPr>
        <w:t>mmHg</w:t>
      </w:r>
      <w:r w:rsidRPr="00667C40">
        <w:rPr>
          <w:rFonts w:ascii="Calibri" w:hAnsi="Calibri"/>
        </w:rPr>
        <w:t>.</w:t>
      </w:r>
      <w:r>
        <w:rPr>
          <w:rFonts w:ascii="Calibri" w:hAnsi="Calibri"/>
        </w:rPr>
        <w:t xml:space="preserve">Επιπλέον, χορηγήθηκε ο </w:t>
      </w:r>
      <w:proofErr w:type="spellStart"/>
      <w:r>
        <w:rPr>
          <w:rFonts w:ascii="Calibri" w:hAnsi="Calibri"/>
        </w:rPr>
        <w:t>ενεργοποιητής</w:t>
      </w:r>
      <w:proofErr w:type="spellEnd"/>
      <w:r>
        <w:rPr>
          <w:rFonts w:ascii="Calibri" w:hAnsi="Calibri"/>
        </w:rPr>
        <w:t xml:space="preserve"> του </w:t>
      </w:r>
      <w:proofErr w:type="spellStart"/>
      <w:r>
        <w:rPr>
          <w:rFonts w:ascii="Calibri" w:hAnsi="Calibri"/>
        </w:rPr>
        <w:t>πλασμινογόνου</w:t>
      </w:r>
      <w:proofErr w:type="spellEnd"/>
      <w:r>
        <w:rPr>
          <w:rFonts w:ascii="Calibri" w:hAnsi="Calibri"/>
        </w:rPr>
        <w:t xml:space="preserve"> (</w:t>
      </w:r>
      <w:r>
        <w:rPr>
          <w:rFonts w:ascii="Calibri" w:hAnsi="Calibri"/>
          <w:lang w:val="en-US"/>
        </w:rPr>
        <w:t>tissue</w:t>
      </w:r>
      <w:r w:rsidRPr="00667C40">
        <w:rPr>
          <w:rFonts w:ascii="Calibri" w:hAnsi="Calibri"/>
        </w:rPr>
        <w:t>-</w:t>
      </w:r>
      <w:proofErr w:type="spellStart"/>
      <w:r>
        <w:rPr>
          <w:rFonts w:ascii="Calibri" w:hAnsi="Calibri"/>
          <w:lang w:val="en-US"/>
        </w:rPr>
        <w:t>plasminogen</w:t>
      </w:r>
      <w:proofErr w:type="spellEnd"/>
      <w:r w:rsidRPr="00667C40">
        <w:rPr>
          <w:rFonts w:ascii="Calibri" w:hAnsi="Calibri"/>
        </w:rPr>
        <w:t xml:space="preserve"> </w:t>
      </w:r>
      <w:r>
        <w:rPr>
          <w:rFonts w:ascii="Calibri" w:hAnsi="Calibri"/>
          <w:lang w:val="en-US"/>
        </w:rPr>
        <w:t>activator</w:t>
      </w:r>
      <w:r w:rsidRPr="00667C40">
        <w:rPr>
          <w:rFonts w:ascii="Calibri" w:hAnsi="Calibri"/>
        </w:rPr>
        <w:t>-</w:t>
      </w:r>
      <w:proofErr w:type="spellStart"/>
      <w:r>
        <w:rPr>
          <w:rFonts w:ascii="Calibri" w:hAnsi="Calibri"/>
          <w:lang w:val="en-US"/>
        </w:rPr>
        <w:t>tPA</w:t>
      </w:r>
      <w:proofErr w:type="spellEnd"/>
      <w:r w:rsidRPr="00667C40">
        <w:rPr>
          <w:rFonts w:ascii="Calibri" w:hAnsi="Calibri"/>
        </w:rPr>
        <w:t xml:space="preserve">) </w:t>
      </w:r>
      <w:r>
        <w:rPr>
          <w:rFonts w:ascii="Calibri" w:hAnsi="Calibri"/>
        </w:rPr>
        <w:t xml:space="preserve">ώστε να </w:t>
      </w:r>
      <w:r w:rsidR="0063747F">
        <w:rPr>
          <w:rFonts w:ascii="Calibri" w:hAnsi="Calibri"/>
        </w:rPr>
        <w:t xml:space="preserve">προκληθεί </w:t>
      </w:r>
      <w:proofErr w:type="spellStart"/>
      <w:r>
        <w:rPr>
          <w:rFonts w:ascii="Calibri" w:hAnsi="Calibri"/>
        </w:rPr>
        <w:t>υπερ</w:t>
      </w:r>
      <w:proofErr w:type="spellEnd"/>
      <w:r>
        <w:rPr>
          <w:rFonts w:ascii="Calibri" w:hAnsi="Calibri"/>
        </w:rPr>
        <w:t>-</w:t>
      </w:r>
      <w:proofErr w:type="spellStart"/>
      <w:r>
        <w:rPr>
          <w:rFonts w:ascii="Calibri" w:hAnsi="Calibri"/>
        </w:rPr>
        <w:t>ινοδολυτική</w:t>
      </w:r>
      <w:proofErr w:type="spellEnd"/>
      <w:r>
        <w:rPr>
          <w:rFonts w:ascii="Calibri" w:hAnsi="Calibri"/>
        </w:rPr>
        <w:t xml:space="preserve"> κατάσταση, παρόμοια με αυτή που παρατηρείται στους ασθενείς με αιμορραγικό σοκ. Το αίμα των χοίρων αναλύθηκε για να επιβεβαιωθεί σε ποιο σημείο της </w:t>
      </w:r>
      <w:proofErr w:type="spellStart"/>
      <w:r>
        <w:rPr>
          <w:rFonts w:ascii="Calibri" w:hAnsi="Calibri"/>
        </w:rPr>
        <w:t>υπερ</w:t>
      </w:r>
      <w:proofErr w:type="spellEnd"/>
      <w:r>
        <w:rPr>
          <w:rFonts w:ascii="Calibri" w:hAnsi="Calibri"/>
        </w:rPr>
        <w:t>-</w:t>
      </w:r>
      <w:proofErr w:type="spellStart"/>
      <w:r>
        <w:rPr>
          <w:rFonts w:ascii="Calibri" w:hAnsi="Calibri"/>
        </w:rPr>
        <w:t>ιδονολυτικής</w:t>
      </w:r>
      <w:proofErr w:type="spellEnd"/>
      <w:r>
        <w:rPr>
          <w:rFonts w:ascii="Calibri" w:hAnsi="Calibri"/>
        </w:rPr>
        <w:t xml:space="preserve"> κατάστασης χορηγήθηκε το ΤΧΑ, με οδό χορήγησης (είτε ΙΟ είτε</w:t>
      </w:r>
      <w:r w:rsidRPr="00667C40">
        <w:rPr>
          <w:rFonts w:ascii="Calibri" w:hAnsi="Calibri"/>
        </w:rPr>
        <w:t xml:space="preserve"> </w:t>
      </w:r>
      <w:r>
        <w:rPr>
          <w:rFonts w:ascii="Calibri" w:hAnsi="Calibri"/>
          <w:lang w:val="en-US"/>
        </w:rPr>
        <w:t>IV</w:t>
      </w:r>
      <w:r w:rsidRPr="00667C40">
        <w:rPr>
          <w:rFonts w:ascii="Calibri" w:hAnsi="Calibri"/>
        </w:rPr>
        <w:t xml:space="preserve">) </w:t>
      </w:r>
      <w:r>
        <w:rPr>
          <w:rFonts w:ascii="Calibri" w:hAnsi="Calibri"/>
        </w:rPr>
        <w:t xml:space="preserve">τυχαία επιλεγμένη. Επίσης, το αίμα των χοίρων αναλύθηκε εκτιμώντας τους δείκτες πηκτικότητας μετά την χορήγηση της </w:t>
      </w:r>
      <w:r>
        <w:rPr>
          <w:rFonts w:ascii="Calibri" w:hAnsi="Calibri"/>
          <w:lang w:val="en-US"/>
        </w:rPr>
        <w:t>TXA</w:t>
      </w:r>
      <w:r>
        <w:rPr>
          <w:rFonts w:ascii="Calibri" w:hAnsi="Calibri"/>
        </w:rPr>
        <w:t xml:space="preserve">.       </w:t>
      </w:r>
    </w:p>
    <w:p w:rsidR="00EF2FF7" w:rsidRDefault="00667C40">
      <w:pPr>
        <w:rPr>
          <w:rFonts w:ascii="Calibri" w:hAnsi="Calibri"/>
        </w:rPr>
      </w:pPr>
      <w:r>
        <w:rPr>
          <w:rFonts w:ascii="Calibri" w:hAnsi="Calibri"/>
        </w:rPr>
        <w:t xml:space="preserve">Οι συγγραφείς, βρήκαν ότι η χορήγηση του </w:t>
      </w:r>
      <w:r>
        <w:rPr>
          <w:rFonts w:ascii="Calibri" w:hAnsi="Calibri"/>
          <w:lang w:val="en-US"/>
        </w:rPr>
        <w:t>TXA</w:t>
      </w:r>
      <w:r w:rsidRPr="00667C40">
        <w:rPr>
          <w:rFonts w:ascii="Calibri" w:hAnsi="Calibri"/>
        </w:rPr>
        <w:t xml:space="preserve"> </w:t>
      </w:r>
      <w:r>
        <w:rPr>
          <w:rFonts w:ascii="Calibri" w:hAnsi="Calibri"/>
        </w:rPr>
        <w:t xml:space="preserve">μέσω της ΙΟ οδού πέτυχε συγκέντρωση της ουσίας στον ορρό του αίματος αρκετά υψηλή ώστε να αναταχτεί η </w:t>
      </w:r>
      <w:proofErr w:type="spellStart"/>
      <w:r>
        <w:rPr>
          <w:rFonts w:ascii="Calibri" w:hAnsi="Calibri"/>
        </w:rPr>
        <w:t>υπερ</w:t>
      </w:r>
      <w:proofErr w:type="spellEnd"/>
      <w:r>
        <w:rPr>
          <w:rFonts w:ascii="Calibri" w:hAnsi="Calibri"/>
        </w:rPr>
        <w:t>-</w:t>
      </w:r>
      <w:proofErr w:type="spellStart"/>
      <w:r>
        <w:rPr>
          <w:rFonts w:ascii="Calibri" w:hAnsi="Calibri"/>
        </w:rPr>
        <w:t>ινοδόλυση</w:t>
      </w:r>
      <w:proofErr w:type="spellEnd"/>
      <w:r>
        <w:rPr>
          <w:rFonts w:ascii="Calibri" w:hAnsi="Calibri"/>
        </w:rPr>
        <w:t xml:space="preserve">, ακόμα και σε κατάσταση αιμορραγικού σοκ. Το γκρουπ </w:t>
      </w:r>
      <w:r>
        <w:rPr>
          <w:rFonts w:ascii="Calibri" w:hAnsi="Calibri"/>
          <w:lang w:val="en-US"/>
        </w:rPr>
        <w:t>IV</w:t>
      </w:r>
      <w:r w:rsidRPr="00667C40">
        <w:rPr>
          <w:rFonts w:ascii="Calibri" w:hAnsi="Calibri"/>
        </w:rPr>
        <w:t xml:space="preserve"> </w:t>
      </w:r>
      <w:r>
        <w:rPr>
          <w:rFonts w:ascii="Calibri" w:hAnsi="Calibri"/>
        </w:rPr>
        <w:t xml:space="preserve">χορήγησης είχε ελαφρύτερα αυξημένη τη “μέγιστη συγκέντρωση” της ουσίας στον ορρό, πιθανώς λόγω της μειωμένης ροής αίματος στο οστό που παρατηρείται κατά τη διάρκεια του σοκ. Ωστόσο, η χορήγηση του ΤΧΑ μέσω οποιασδήποτε των δύο οδών επέφερε άρση της </w:t>
      </w:r>
      <w:proofErr w:type="spellStart"/>
      <w:r>
        <w:rPr>
          <w:rFonts w:ascii="Calibri" w:hAnsi="Calibri"/>
        </w:rPr>
        <w:t>υπερ</w:t>
      </w:r>
      <w:proofErr w:type="spellEnd"/>
      <w:r>
        <w:rPr>
          <w:rFonts w:ascii="Calibri" w:hAnsi="Calibri"/>
        </w:rPr>
        <w:t>-</w:t>
      </w:r>
      <w:proofErr w:type="spellStart"/>
      <w:r>
        <w:rPr>
          <w:rFonts w:ascii="Calibri" w:hAnsi="Calibri"/>
        </w:rPr>
        <w:t>ινοδόλυσης</w:t>
      </w:r>
      <w:proofErr w:type="spellEnd"/>
      <w:r>
        <w:rPr>
          <w:rFonts w:ascii="Calibri" w:hAnsi="Calibri"/>
        </w:rPr>
        <w:t>.</w:t>
      </w:r>
    </w:p>
    <w:p w:rsidR="00EF2FF7" w:rsidRDefault="00667C40">
      <w:pPr>
        <w:rPr>
          <w:rFonts w:ascii="Calibri" w:hAnsi="Calibri"/>
        </w:rPr>
      </w:pPr>
      <w:r>
        <w:rPr>
          <w:rFonts w:ascii="Calibri" w:hAnsi="Calibri"/>
        </w:rPr>
        <w:t xml:space="preserve">Συμπερασματικά, αυτή η έρευνα βρήκε ότι η ΙΟ χορήγηση του </w:t>
      </w:r>
      <w:r>
        <w:rPr>
          <w:rFonts w:ascii="Calibri" w:hAnsi="Calibri"/>
          <w:lang w:val="en-US"/>
        </w:rPr>
        <w:t>TXA</w:t>
      </w:r>
      <w:r w:rsidRPr="00667C40">
        <w:rPr>
          <w:rFonts w:ascii="Calibri" w:hAnsi="Calibri"/>
        </w:rPr>
        <w:t xml:space="preserve"> </w:t>
      </w:r>
      <w:r>
        <w:rPr>
          <w:rFonts w:ascii="Calibri" w:hAnsi="Calibri"/>
        </w:rPr>
        <w:t xml:space="preserve">επιφέρει παρόμοια αποτελέσματα με τη χορήγηση του </w:t>
      </w:r>
      <w:r>
        <w:rPr>
          <w:rFonts w:ascii="Calibri" w:hAnsi="Calibri"/>
          <w:lang w:val="en-US"/>
        </w:rPr>
        <w:t>TXA</w:t>
      </w:r>
      <w:r w:rsidRPr="00667C40">
        <w:rPr>
          <w:rFonts w:ascii="Calibri" w:hAnsi="Calibri"/>
        </w:rPr>
        <w:t xml:space="preserve">  </w:t>
      </w:r>
      <w:r>
        <w:rPr>
          <w:rFonts w:ascii="Calibri" w:hAnsi="Calibri"/>
        </w:rPr>
        <w:t>ενδοφλέβια στα ζωικά μοντέλα (χοίροι).</w:t>
      </w:r>
      <w:r w:rsidRPr="00667C40">
        <w:rPr>
          <w:rFonts w:ascii="Calibri" w:hAnsi="Calibri"/>
        </w:rPr>
        <w:t xml:space="preserve">  </w:t>
      </w:r>
      <w:r>
        <w:rPr>
          <w:rFonts w:ascii="Calibri" w:hAnsi="Calibri"/>
        </w:rPr>
        <w:t xml:space="preserve">Υπάρχουν εφαρμογές της </w:t>
      </w:r>
      <w:r>
        <w:rPr>
          <w:rFonts w:ascii="Calibri" w:hAnsi="Calibri"/>
          <w:lang w:val="en-US"/>
        </w:rPr>
        <w:t>IO</w:t>
      </w:r>
      <w:r w:rsidRPr="00667C40">
        <w:rPr>
          <w:rFonts w:ascii="Calibri" w:hAnsi="Calibri"/>
        </w:rPr>
        <w:t xml:space="preserve"> </w:t>
      </w:r>
      <w:r>
        <w:rPr>
          <w:rFonts w:ascii="Calibri" w:hAnsi="Calibri"/>
        </w:rPr>
        <w:t xml:space="preserve">χορήγησης του ΤΧΑ τόσο στον πολιτικό όσο και στο στρατιωτικό </w:t>
      </w:r>
      <w:proofErr w:type="spellStart"/>
      <w:r>
        <w:rPr>
          <w:rFonts w:ascii="Calibri" w:hAnsi="Calibri"/>
        </w:rPr>
        <w:t>προνοσοκομειακό</w:t>
      </w:r>
      <w:proofErr w:type="spellEnd"/>
      <w:r>
        <w:rPr>
          <w:rFonts w:ascii="Calibri" w:hAnsi="Calibri"/>
        </w:rPr>
        <w:t xml:space="preserve"> χώρο.</w:t>
      </w:r>
    </w:p>
    <w:p w:rsidR="0063747F" w:rsidRDefault="0063747F">
      <w:pPr>
        <w:rPr>
          <w:rFonts w:ascii="Calibri" w:hAnsi="Calibri"/>
        </w:rPr>
      </w:pPr>
    </w:p>
    <w:p w:rsidR="00EF2FF7" w:rsidRPr="0063747F" w:rsidRDefault="00667C40">
      <w:pPr>
        <w:rPr>
          <w:rFonts w:ascii="Calibri" w:hAnsi="Calibri"/>
        </w:rPr>
      </w:pPr>
      <w:r w:rsidRPr="00667C40">
        <w:rPr>
          <w:rFonts w:ascii="Calibri" w:hAnsi="Calibri"/>
        </w:rPr>
        <w:t>2.</w:t>
      </w:r>
      <w:r w:rsidRPr="00667C40">
        <w:rPr>
          <w:rFonts w:ascii="Calibri" w:hAnsi="Calibri"/>
          <w:b/>
        </w:rPr>
        <w:t>Ακινητοποίηση σπονδυλικής στήλης στον τραυματία- Περιγραφή μίας κοινής τοποθέτησης του τραυματία</w:t>
      </w:r>
      <w:r w:rsidRPr="00667C40">
        <w:rPr>
          <w:rFonts w:ascii="Calibri" w:hAnsi="Calibri"/>
        </w:rPr>
        <w:t>.</w:t>
      </w:r>
      <w:r w:rsidRPr="00667C40">
        <w:rPr>
          <w:rFonts w:ascii="Calibri" w:hAnsi="Calibri"/>
          <w:b/>
        </w:rPr>
        <w:t xml:space="preserve"> .  </w:t>
      </w:r>
      <w:r>
        <w:rPr>
          <w:rFonts w:ascii="Calibri" w:hAnsi="Calibri"/>
          <w:lang w:val="en-US"/>
        </w:rPr>
        <w:t>Fischer</w:t>
      </w:r>
      <w:r w:rsidRPr="0063747F">
        <w:rPr>
          <w:rFonts w:ascii="Calibri" w:hAnsi="Calibri"/>
        </w:rPr>
        <w:t xml:space="preserve"> </w:t>
      </w:r>
      <w:r>
        <w:rPr>
          <w:rFonts w:ascii="Calibri" w:hAnsi="Calibri"/>
          <w:lang w:val="en-US"/>
        </w:rPr>
        <w:t>PE</w:t>
      </w:r>
      <w:r w:rsidRPr="0063747F">
        <w:rPr>
          <w:rFonts w:ascii="Calibri" w:hAnsi="Calibri"/>
        </w:rPr>
        <w:t xml:space="preserve">, </w:t>
      </w:r>
      <w:proofErr w:type="spellStart"/>
      <w:r>
        <w:rPr>
          <w:rFonts w:ascii="Calibri" w:hAnsi="Calibri"/>
          <w:lang w:val="en-US"/>
        </w:rPr>
        <w:t>Perina</w:t>
      </w:r>
      <w:proofErr w:type="spellEnd"/>
      <w:r w:rsidRPr="0063747F">
        <w:rPr>
          <w:rFonts w:ascii="Calibri" w:hAnsi="Calibri"/>
        </w:rPr>
        <w:t xml:space="preserve"> </w:t>
      </w:r>
      <w:r>
        <w:rPr>
          <w:rFonts w:ascii="Calibri" w:hAnsi="Calibri"/>
          <w:lang w:val="en-US"/>
        </w:rPr>
        <w:t>D</w:t>
      </w:r>
      <w:r w:rsidRPr="0063747F">
        <w:rPr>
          <w:rFonts w:ascii="Calibri" w:hAnsi="Calibri"/>
        </w:rPr>
        <w:t xml:space="preserve">, </w:t>
      </w:r>
      <w:proofErr w:type="spellStart"/>
      <w:r>
        <w:rPr>
          <w:rFonts w:ascii="Calibri" w:hAnsi="Calibri"/>
          <w:lang w:val="en-US"/>
        </w:rPr>
        <w:t>DelbridgeTR</w:t>
      </w:r>
      <w:proofErr w:type="spellEnd"/>
      <w:r w:rsidRPr="0063747F">
        <w:rPr>
          <w:rFonts w:ascii="Calibri" w:hAnsi="Calibri"/>
        </w:rPr>
        <w:t xml:space="preserve">, </w:t>
      </w:r>
      <w:r>
        <w:rPr>
          <w:rFonts w:ascii="Calibri" w:hAnsi="Calibri"/>
          <w:lang w:val="en-US"/>
        </w:rPr>
        <w:t>et</w:t>
      </w:r>
      <w:r w:rsidRPr="0063747F">
        <w:rPr>
          <w:rFonts w:ascii="Calibri" w:hAnsi="Calibri"/>
        </w:rPr>
        <w:t xml:space="preserve"> </w:t>
      </w:r>
      <w:r>
        <w:rPr>
          <w:rFonts w:ascii="Calibri" w:hAnsi="Calibri"/>
          <w:lang w:val="en-US"/>
        </w:rPr>
        <w:t>al</w:t>
      </w:r>
      <w:r w:rsidRPr="0063747F">
        <w:rPr>
          <w:rFonts w:ascii="Calibri" w:hAnsi="Calibri"/>
        </w:rPr>
        <w:t xml:space="preserve">. </w:t>
      </w:r>
      <w:proofErr w:type="spellStart"/>
      <w:r>
        <w:rPr>
          <w:rFonts w:ascii="Calibri" w:hAnsi="Calibri"/>
          <w:lang w:val="en-US"/>
        </w:rPr>
        <w:t>PrehospEmerg</w:t>
      </w:r>
      <w:proofErr w:type="spellEnd"/>
      <w:r w:rsidRPr="0063747F">
        <w:rPr>
          <w:rFonts w:ascii="Calibri" w:hAnsi="Calibri"/>
        </w:rPr>
        <w:t xml:space="preserve"> </w:t>
      </w:r>
      <w:r>
        <w:rPr>
          <w:rFonts w:ascii="Calibri" w:hAnsi="Calibri"/>
          <w:lang w:val="en-US"/>
        </w:rPr>
        <w:t>Care</w:t>
      </w:r>
      <w:r w:rsidRPr="0063747F">
        <w:rPr>
          <w:rFonts w:ascii="Calibri" w:hAnsi="Calibri"/>
        </w:rPr>
        <w:t xml:space="preserve"> </w:t>
      </w:r>
      <w:r w:rsidRPr="0063747F">
        <w:rPr>
          <w:rFonts w:ascii="Calibri" w:hAnsi="Calibri"/>
        </w:rPr>
        <w:lastRenderedPageBreak/>
        <w:t>2018</w:t>
      </w:r>
      <w:proofErr w:type="gramStart"/>
      <w:r w:rsidRPr="0063747F">
        <w:rPr>
          <w:rFonts w:ascii="Calibri" w:hAnsi="Calibri"/>
        </w:rPr>
        <w:t>;22:659</w:t>
      </w:r>
      <w:proofErr w:type="gramEnd"/>
      <w:r w:rsidRPr="0063747F">
        <w:rPr>
          <w:rFonts w:ascii="Calibri" w:hAnsi="Calibri"/>
        </w:rPr>
        <w:t>-661.</w:t>
      </w:r>
      <w:r w:rsidRPr="0063747F">
        <w:rPr>
          <w:rFonts w:ascii="Calibri" w:hAnsi="Calibri"/>
        </w:rPr>
        <w:br/>
      </w:r>
    </w:p>
    <w:p w:rsidR="00EF2FF7" w:rsidRDefault="00667C40">
      <w:pPr>
        <w:rPr>
          <w:rFonts w:ascii="Calibri" w:hAnsi="Calibri"/>
        </w:rPr>
      </w:pPr>
      <w:r>
        <w:rPr>
          <w:rFonts w:ascii="Calibri" w:hAnsi="Calibri"/>
        </w:rPr>
        <w:t xml:space="preserve">Στο παρελθόν το </w:t>
      </w:r>
      <w:r>
        <w:rPr>
          <w:rFonts w:ascii="Calibri" w:hAnsi="Calibri"/>
          <w:lang w:val="en-US"/>
        </w:rPr>
        <w:t>American</w:t>
      </w:r>
      <w:r w:rsidRPr="00667C40">
        <w:rPr>
          <w:rFonts w:ascii="Calibri" w:hAnsi="Calibri"/>
        </w:rPr>
        <w:t xml:space="preserve"> </w:t>
      </w:r>
      <w:r>
        <w:rPr>
          <w:rFonts w:ascii="Calibri" w:hAnsi="Calibri"/>
          <w:lang w:val="en-US"/>
        </w:rPr>
        <w:t>College</w:t>
      </w:r>
      <w:r w:rsidRPr="00667C40">
        <w:rPr>
          <w:rFonts w:ascii="Calibri" w:hAnsi="Calibri"/>
        </w:rPr>
        <w:t xml:space="preserve"> </w:t>
      </w:r>
      <w:r>
        <w:rPr>
          <w:rFonts w:ascii="Calibri" w:hAnsi="Calibri"/>
          <w:lang w:val="en-US"/>
        </w:rPr>
        <w:t>of</w:t>
      </w:r>
      <w:r w:rsidRPr="00667C40">
        <w:rPr>
          <w:rFonts w:ascii="Calibri" w:hAnsi="Calibri"/>
        </w:rPr>
        <w:t xml:space="preserve"> </w:t>
      </w:r>
      <w:r>
        <w:rPr>
          <w:rFonts w:ascii="Calibri" w:hAnsi="Calibri"/>
          <w:lang w:val="en-US"/>
        </w:rPr>
        <w:t>Surgeons</w:t>
      </w:r>
      <w:r w:rsidRPr="00667C40">
        <w:rPr>
          <w:rFonts w:ascii="Calibri" w:hAnsi="Calibri"/>
        </w:rPr>
        <w:t xml:space="preserve"> </w:t>
      </w:r>
      <w:r>
        <w:rPr>
          <w:rFonts w:ascii="Calibri" w:hAnsi="Calibri"/>
          <w:lang w:val="en-US"/>
        </w:rPr>
        <w:t>Committee</w:t>
      </w:r>
      <w:r w:rsidRPr="00667C40">
        <w:rPr>
          <w:rFonts w:ascii="Calibri" w:hAnsi="Calibri"/>
        </w:rPr>
        <w:t xml:space="preserve"> </w:t>
      </w:r>
      <w:r>
        <w:rPr>
          <w:rFonts w:ascii="Calibri" w:hAnsi="Calibri"/>
          <w:lang w:val="en-US"/>
        </w:rPr>
        <w:t>on</w:t>
      </w:r>
      <w:r w:rsidRPr="00667C40">
        <w:rPr>
          <w:rFonts w:ascii="Calibri" w:hAnsi="Calibri"/>
        </w:rPr>
        <w:t xml:space="preserve"> </w:t>
      </w:r>
      <w:r>
        <w:rPr>
          <w:rFonts w:ascii="Calibri" w:hAnsi="Calibri"/>
          <w:lang w:val="en-US"/>
        </w:rPr>
        <w:t>Trauma</w:t>
      </w:r>
      <w:r w:rsidRPr="00667C40">
        <w:rPr>
          <w:rFonts w:ascii="Calibri" w:hAnsi="Calibri"/>
        </w:rPr>
        <w:t xml:space="preserve">( </w:t>
      </w:r>
      <w:r>
        <w:rPr>
          <w:rFonts w:ascii="Calibri" w:hAnsi="Calibri"/>
          <w:lang w:val="en-US"/>
        </w:rPr>
        <w:t>ACS</w:t>
      </w:r>
      <w:r w:rsidRPr="00667C40">
        <w:rPr>
          <w:rFonts w:ascii="Calibri" w:hAnsi="Calibri"/>
        </w:rPr>
        <w:t>-</w:t>
      </w:r>
      <w:r>
        <w:rPr>
          <w:rFonts w:ascii="Calibri" w:hAnsi="Calibri"/>
          <w:lang w:val="en-US"/>
        </w:rPr>
        <w:t>COT</w:t>
      </w:r>
      <w:r w:rsidRPr="00667C40">
        <w:rPr>
          <w:rFonts w:ascii="Calibri" w:hAnsi="Calibri"/>
        </w:rPr>
        <w:t xml:space="preserve">), </w:t>
      </w:r>
      <w:r>
        <w:rPr>
          <w:rFonts w:ascii="Calibri" w:hAnsi="Calibri"/>
        </w:rPr>
        <w:t xml:space="preserve">το </w:t>
      </w:r>
      <w:r>
        <w:rPr>
          <w:rFonts w:ascii="Calibri" w:hAnsi="Calibri"/>
          <w:lang w:val="en-US"/>
        </w:rPr>
        <w:t>American</w:t>
      </w:r>
      <w:r w:rsidRPr="00667C40">
        <w:rPr>
          <w:rFonts w:ascii="Calibri" w:hAnsi="Calibri"/>
        </w:rPr>
        <w:t xml:space="preserve"> </w:t>
      </w:r>
      <w:r>
        <w:rPr>
          <w:rFonts w:ascii="Calibri" w:hAnsi="Calibri"/>
          <w:lang w:val="en-US"/>
        </w:rPr>
        <w:t>College</w:t>
      </w:r>
      <w:r w:rsidRPr="00667C40">
        <w:rPr>
          <w:rFonts w:ascii="Calibri" w:hAnsi="Calibri"/>
        </w:rPr>
        <w:t xml:space="preserve"> </w:t>
      </w:r>
      <w:r>
        <w:rPr>
          <w:rFonts w:ascii="Calibri" w:hAnsi="Calibri"/>
          <w:lang w:val="en-US"/>
        </w:rPr>
        <w:t>of</w:t>
      </w:r>
      <w:r w:rsidRPr="00667C40">
        <w:rPr>
          <w:rFonts w:ascii="Calibri" w:hAnsi="Calibri"/>
        </w:rPr>
        <w:t xml:space="preserve"> </w:t>
      </w:r>
      <w:r>
        <w:rPr>
          <w:rFonts w:ascii="Calibri" w:hAnsi="Calibri"/>
          <w:lang w:val="en-US"/>
        </w:rPr>
        <w:t>Emergency</w:t>
      </w:r>
      <w:r w:rsidRPr="00667C40">
        <w:rPr>
          <w:rFonts w:ascii="Calibri" w:hAnsi="Calibri"/>
        </w:rPr>
        <w:t xml:space="preserve"> </w:t>
      </w:r>
      <w:r>
        <w:rPr>
          <w:rFonts w:ascii="Calibri" w:hAnsi="Calibri"/>
          <w:lang w:val="en-US"/>
        </w:rPr>
        <w:t>Physicians</w:t>
      </w:r>
      <w:r w:rsidRPr="00667C40">
        <w:rPr>
          <w:rFonts w:ascii="Calibri" w:hAnsi="Calibri"/>
        </w:rPr>
        <w:t xml:space="preserve">( </w:t>
      </w:r>
      <w:r>
        <w:rPr>
          <w:rFonts w:ascii="Calibri" w:hAnsi="Calibri"/>
          <w:lang w:val="en-US"/>
        </w:rPr>
        <w:t>ACEP</w:t>
      </w:r>
      <w:r w:rsidRPr="00667C40">
        <w:rPr>
          <w:rFonts w:ascii="Calibri" w:hAnsi="Calibri"/>
        </w:rPr>
        <w:t xml:space="preserve">) </w:t>
      </w:r>
      <w:r>
        <w:rPr>
          <w:rFonts w:ascii="Calibri" w:hAnsi="Calibri"/>
        </w:rPr>
        <w:t xml:space="preserve">και το  </w:t>
      </w:r>
      <w:r>
        <w:rPr>
          <w:rFonts w:ascii="Calibri" w:hAnsi="Calibri"/>
          <w:lang w:val="en-US"/>
        </w:rPr>
        <w:t>National</w:t>
      </w:r>
      <w:r w:rsidRPr="00667C40">
        <w:rPr>
          <w:rFonts w:ascii="Calibri" w:hAnsi="Calibri"/>
        </w:rPr>
        <w:t xml:space="preserve"> </w:t>
      </w:r>
      <w:r>
        <w:rPr>
          <w:rFonts w:ascii="Calibri" w:hAnsi="Calibri"/>
          <w:lang w:val="en-US"/>
        </w:rPr>
        <w:t>Association</w:t>
      </w:r>
      <w:r w:rsidRPr="00667C40">
        <w:rPr>
          <w:rFonts w:ascii="Calibri" w:hAnsi="Calibri"/>
        </w:rPr>
        <w:t xml:space="preserve"> </w:t>
      </w:r>
      <w:r>
        <w:rPr>
          <w:rFonts w:ascii="Calibri" w:hAnsi="Calibri"/>
          <w:lang w:val="en-US"/>
        </w:rPr>
        <w:t>of</w:t>
      </w:r>
      <w:r w:rsidRPr="00667C40">
        <w:rPr>
          <w:rFonts w:ascii="Calibri" w:hAnsi="Calibri"/>
        </w:rPr>
        <w:t xml:space="preserve"> </w:t>
      </w:r>
      <w:r>
        <w:rPr>
          <w:rFonts w:ascii="Calibri" w:hAnsi="Calibri"/>
          <w:lang w:val="en-US"/>
        </w:rPr>
        <w:t>EMS</w:t>
      </w:r>
      <w:r w:rsidRPr="00667C40">
        <w:rPr>
          <w:rFonts w:ascii="Calibri" w:hAnsi="Calibri"/>
        </w:rPr>
        <w:t xml:space="preserve"> </w:t>
      </w:r>
      <w:r>
        <w:rPr>
          <w:rFonts w:ascii="Calibri" w:hAnsi="Calibri"/>
          <w:lang w:val="en-US"/>
        </w:rPr>
        <w:t>Physicians</w:t>
      </w:r>
      <w:r w:rsidRPr="00667C40">
        <w:rPr>
          <w:rFonts w:ascii="Calibri" w:hAnsi="Calibri"/>
        </w:rPr>
        <w:t>(</w:t>
      </w:r>
      <w:r>
        <w:rPr>
          <w:rFonts w:ascii="Calibri" w:hAnsi="Calibri"/>
          <w:lang w:val="en-US"/>
        </w:rPr>
        <w:t>NAEMSP</w:t>
      </w:r>
      <w:r w:rsidRPr="00667C40">
        <w:rPr>
          <w:rFonts w:ascii="Calibri" w:hAnsi="Calibri"/>
        </w:rPr>
        <w:t xml:space="preserve">) </w:t>
      </w:r>
      <w:r>
        <w:rPr>
          <w:rFonts w:ascii="Calibri" w:hAnsi="Calibri"/>
        </w:rPr>
        <w:t>έχουν ,μεμονωμένα αλλά και σε συνεργασία,</w:t>
      </w:r>
      <w:bookmarkStart w:id="1" w:name="tw-target-text"/>
      <w:bookmarkEnd w:id="1"/>
      <w:r>
        <w:rPr>
          <w:rFonts w:ascii="Calibri" w:hAnsi="Calibri"/>
        </w:rPr>
        <w:t xml:space="preserve"> </w:t>
      </w:r>
      <w:r>
        <w:rPr>
          <w:rFonts w:ascii="Calibri" w:hAnsi="Calibri"/>
          <w:color w:val="212121"/>
        </w:rPr>
        <w:t xml:space="preserve">παράσχει τις συστάσεις και τις οδηγίες τους σχετικά με την ακινητοποίηση της σπονδυλικής στήλης </w:t>
      </w:r>
      <w:proofErr w:type="spellStart"/>
      <w:r>
        <w:rPr>
          <w:rFonts w:ascii="Calibri" w:hAnsi="Calibri"/>
          <w:color w:val="212121"/>
        </w:rPr>
        <w:t>προνοσοκομειακά</w:t>
      </w:r>
      <w:proofErr w:type="spellEnd"/>
      <w:r>
        <w:rPr>
          <w:rFonts w:ascii="Calibri" w:hAnsi="Calibri"/>
          <w:color w:val="212121"/>
        </w:rPr>
        <w:t xml:space="preserve"> και τις διαδικασίες και τα εργαλεία που χρησιμοποιούνται για την επίτευξη αυτού του στόχου.</w:t>
      </w:r>
      <w:bookmarkStart w:id="2" w:name="tw-target-text1"/>
      <w:bookmarkEnd w:id="2"/>
      <w:r>
        <w:rPr>
          <w:rFonts w:ascii="Calibri" w:hAnsi="Calibri"/>
          <w:color w:val="212121"/>
        </w:rPr>
        <w:t xml:space="preserve"> Σε μια προσπάθεια να υπάρξει κάποια ομοιομορφία στις διάφορες συστάσεις, οι τρεις οργανισμοί συγκάλεσαν μια ομάδα ειδικών για να αναθεωρήσουν τα διαθέσιμα αποδεικτικά στοιχεία, σε συνδυασμό με τη γνώμη των εμπειρογνωμόνων, για να προετοιμάσουν μία από κοινού πρόταση. Τα ακόλουθα συνοψίζουν τις συστάσεις τους:</w:t>
      </w:r>
    </w:p>
    <w:p w:rsidR="00EF2FF7" w:rsidRDefault="00667C40">
      <w:pPr>
        <w:rPr>
          <w:rFonts w:ascii="Calibri" w:hAnsi="Calibri"/>
        </w:rPr>
      </w:pPr>
      <w:r>
        <w:rPr>
          <w:rFonts w:ascii="Calibri" w:hAnsi="Calibri"/>
          <w:color w:val="212121"/>
        </w:rPr>
        <w:t xml:space="preserve">1. Με υπερβολική κίνηση της σπονδυλικής στήλης (ΣΣ), τα τραύματα της ΣΣ μπορούν να </w:t>
      </w:r>
      <w:proofErr w:type="spellStart"/>
      <w:r>
        <w:rPr>
          <w:rFonts w:ascii="Calibri" w:hAnsi="Calibri"/>
          <w:color w:val="212121"/>
        </w:rPr>
        <w:t>επιπλεχθούν</w:t>
      </w:r>
      <w:proofErr w:type="spellEnd"/>
      <w:r>
        <w:rPr>
          <w:rFonts w:ascii="Calibri" w:hAnsi="Calibri"/>
          <w:color w:val="212121"/>
        </w:rPr>
        <w:t xml:space="preserve"> σε σοβαρά νευρολογικά τραύματα.</w:t>
      </w:r>
    </w:p>
    <w:p w:rsidR="00EF2FF7" w:rsidRDefault="00667C40">
      <w:pPr>
        <w:rPr>
          <w:rFonts w:ascii="Calibri" w:hAnsi="Calibri"/>
        </w:rPr>
      </w:pPr>
      <w:r>
        <w:rPr>
          <w:rFonts w:ascii="Calibri" w:hAnsi="Calibri"/>
          <w:color w:val="212121"/>
        </w:rPr>
        <w:t xml:space="preserve">2. </w:t>
      </w:r>
      <w:bookmarkStart w:id="3" w:name="tw-target-text2"/>
      <w:bookmarkEnd w:id="3"/>
      <w:r>
        <w:rPr>
          <w:rFonts w:ascii="Calibri" w:hAnsi="Calibri"/>
          <w:color w:val="212121"/>
        </w:rPr>
        <w:t xml:space="preserve"> Οι τρέχουσες τεχνικές που χρησιμοποιούνται για τον περιορισμό της κίνησης της σπονδυλικής στήλης δεν "ακινητοποιούν" τη σπονδυλική στήλη και επομένως είναι προτιμητέα η χρήση του όρου “περιορισμός της κίνησης της σπονδυλικής στήλης” ή “SMR” (</w:t>
      </w:r>
      <w:r>
        <w:rPr>
          <w:rFonts w:ascii="Calibri" w:hAnsi="Calibri"/>
          <w:color w:val="212121"/>
          <w:lang w:val="en-US"/>
        </w:rPr>
        <w:t>Spinal</w:t>
      </w:r>
      <w:r w:rsidRPr="00667C40">
        <w:rPr>
          <w:rFonts w:ascii="Calibri" w:hAnsi="Calibri"/>
          <w:color w:val="212121"/>
        </w:rPr>
        <w:t xml:space="preserve"> </w:t>
      </w:r>
      <w:r>
        <w:rPr>
          <w:rFonts w:ascii="Calibri" w:hAnsi="Calibri"/>
          <w:color w:val="212121"/>
          <w:lang w:val="en-US"/>
        </w:rPr>
        <w:t>Motion</w:t>
      </w:r>
      <w:r w:rsidRPr="00667C40">
        <w:rPr>
          <w:rFonts w:ascii="Calibri" w:hAnsi="Calibri"/>
          <w:color w:val="212121"/>
        </w:rPr>
        <w:t xml:space="preserve"> </w:t>
      </w:r>
      <w:r>
        <w:rPr>
          <w:rFonts w:ascii="Calibri" w:hAnsi="Calibri"/>
          <w:color w:val="212121"/>
          <w:lang w:val="en-US"/>
        </w:rPr>
        <w:t>Restriction</w:t>
      </w:r>
      <w:r w:rsidRPr="00667C40">
        <w:rPr>
          <w:rFonts w:ascii="Calibri" w:hAnsi="Calibri"/>
          <w:color w:val="212121"/>
        </w:rPr>
        <w:t>)</w:t>
      </w:r>
      <w:r>
        <w:rPr>
          <w:rFonts w:ascii="Calibri" w:hAnsi="Calibri"/>
          <w:color w:val="212121"/>
        </w:rPr>
        <w:t>.</w:t>
      </w:r>
    </w:p>
    <w:p w:rsidR="00EF2FF7" w:rsidRPr="00667C40" w:rsidRDefault="00667C40">
      <w:pPr>
        <w:rPr>
          <w:rFonts w:ascii="Calibri" w:hAnsi="Calibri"/>
        </w:rPr>
      </w:pPr>
      <w:r w:rsidRPr="00667C40">
        <w:rPr>
          <w:rFonts w:ascii="Calibri" w:hAnsi="Calibri"/>
          <w:color w:val="212121"/>
        </w:rPr>
        <w:t xml:space="preserve">3. </w:t>
      </w:r>
      <w:r>
        <w:rPr>
          <w:rFonts w:ascii="Calibri" w:hAnsi="Calibri"/>
          <w:color w:val="212121"/>
        </w:rPr>
        <w:t>Εκτός από τα φορεία</w:t>
      </w:r>
      <w:r w:rsidRPr="00667C40">
        <w:rPr>
          <w:rFonts w:ascii="Calibri" w:hAnsi="Calibri"/>
          <w:color w:val="212121"/>
        </w:rPr>
        <w:t xml:space="preserve">, </w:t>
      </w:r>
      <w:r>
        <w:rPr>
          <w:rFonts w:ascii="Calibri" w:hAnsi="Calibri"/>
          <w:color w:val="212121"/>
          <w:lang w:val="en-US"/>
        </w:rPr>
        <w:t>scoop</w:t>
      </w:r>
      <w:r w:rsidRPr="00667C40">
        <w:rPr>
          <w:rFonts w:ascii="Calibri" w:hAnsi="Calibri"/>
          <w:color w:val="212121"/>
        </w:rPr>
        <w:t xml:space="preserve"> </w:t>
      </w:r>
      <w:r>
        <w:rPr>
          <w:rFonts w:ascii="Calibri" w:hAnsi="Calibri"/>
          <w:color w:val="212121"/>
          <w:lang w:val="en-US"/>
        </w:rPr>
        <w:t>stretchers</w:t>
      </w:r>
      <w:r w:rsidR="008D36FF">
        <w:rPr>
          <w:rFonts w:ascii="Calibri" w:hAnsi="Calibri"/>
          <w:color w:val="212121"/>
        </w:rPr>
        <w:t xml:space="preserve"> (διαιρούμενα – «σκούπες»)</w:t>
      </w:r>
      <w:r w:rsidRPr="00667C40">
        <w:rPr>
          <w:rFonts w:ascii="Calibri" w:hAnsi="Calibri"/>
          <w:color w:val="212121"/>
        </w:rPr>
        <w:t xml:space="preserve">, </w:t>
      </w:r>
      <w:r>
        <w:rPr>
          <w:rFonts w:ascii="Calibri" w:hAnsi="Calibri"/>
          <w:color w:val="212121"/>
          <w:lang w:val="en-US"/>
        </w:rPr>
        <w:t>vacuum</w:t>
      </w:r>
      <w:r w:rsidRPr="00667C40">
        <w:rPr>
          <w:rFonts w:ascii="Calibri" w:hAnsi="Calibri"/>
          <w:color w:val="212121"/>
        </w:rPr>
        <w:t xml:space="preserve"> </w:t>
      </w:r>
      <w:r>
        <w:rPr>
          <w:rFonts w:ascii="Calibri" w:hAnsi="Calibri"/>
          <w:color w:val="212121"/>
          <w:lang w:val="en-US"/>
        </w:rPr>
        <w:t>splints</w:t>
      </w:r>
      <w:r w:rsidR="008D36FF">
        <w:rPr>
          <w:rFonts w:ascii="Calibri" w:hAnsi="Calibri"/>
          <w:color w:val="212121"/>
        </w:rPr>
        <w:t xml:space="preserve"> (στρώματα και νάρθηκες κενού)</w:t>
      </w:r>
      <w:r w:rsidRPr="00667C40">
        <w:rPr>
          <w:rFonts w:ascii="Calibri" w:hAnsi="Calibri"/>
          <w:color w:val="212121"/>
        </w:rPr>
        <w:t xml:space="preserve"> </w:t>
      </w:r>
      <w:r>
        <w:rPr>
          <w:rFonts w:ascii="Calibri" w:hAnsi="Calibri"/>
          <w:color w:val="212121"/>
        </w:rPr>
        <w:t xml:space="preserve">και άλλες συσκευές μπορούν να χρησιμοποιηθούν για να επιτυγχάνεται </w:t>
      </w:r>
      <w:r>
        <w:rPr>
          <w:rFonts w:ascii="Calibri" w:hAnsi="Calibri"/>
          <w:color w:val="212121"/>
          <w:lang w:val="en-US"/>
        </w:rPr>
        <w:t>SMR</w:t>
      </w:r>
      <w:r w:rsidRPr="00667C40">
        <w:rPr>
          <w:rFonts w:ascii="Calibri" w:hAnsi="Calibri"/>
          <w:color w:val="212121"/>
        </w:rPr>
        <w:t>.</w:t>
      </w:r>
    </w:p>
    <w:p w:rsidR="00EF2FF7" w:rsidRPr="00667C40" w:rsidRDefault="00667C40">
      <w:pPr>
        <w:rPr>
          <w:rFonts w:ascii="Calibri" w:hAnsi="Calibri"/>
        </w:rPr>
      </w:pPr>
      <w:r w:rsidRPr="00667C40">
        <w:rPr>
          <w:rFonts w:ascii="Calibri" w:hAnsi="Calibri"/>
          <w:color w:val="212121"/>
        </w:rPr>
        <w:t xml:space="preserve">4. </w:t>
      </w:r>
      <w:r>
        <w:rPr>
          <w:rFonts w:ascii="Calibri" w:hAnsi="Calibri"/>
          <w:color w:val="212121"/>
        </w:rPr>
        <w:t xml:space="preserve">Οι ενδείξεις για </w:t>
      </w:r>
      <w:r>
        <w:rPr>
          <w:rFonts w:ascii="Calibri" w:hAnsi="Calibri"/>
          <w:color w:val="212121"/>
          <w:lang w:val="en-US"/>
        </w:rPr>
        <w:t>SMR</w:t>
      </w:r>
      <w:r w:rsidRPr="00667C40">
        <w:rPr>
          <w:rFonts w:ascii="Calibri" w:hAnsi="Calibri"/>
          <w:color w:val="212121"/>
        </w:rPr>
        <w:t xml:space="preserve"> </w:t>
      </w:r>
      <w:r>
        <w:rPr>
          <w:rFonts w:ascii="Calibri" w:hAnsi="Calibri"/>
          <w:color w:val="212121"/>
        </w:rPr>
        <w:t>περιλαμβάνουν:</w:t>
      </w:r>
    </w:p>
    <w:p w:rsidR="00EF2FF7" w:rsidRPr="008D36FF" w:rsidRDefault="00667C40">
      <w:pPr>
        <w:rPr>
          <w:rFonts w:ascii="Calibri" w:hAnsi="Calibri"/>
        </w:rPr>
      </w:pPr>
      <w:r>
        <w:rPr>
          <w:rFonts w:ascii="Calibri" w:hAnsi="Calibri"/>
          <w:color w:val="212121"/>
        </w:rPr>
        <w:t xml:space="preserve"> </w:t>
      </w:r>
      <w:r>
        <w:rPr>
          <w:rFonts w:ascii="Calibri" w:hAnsi="Calibri"/>
          <w:color w:val="212121"/>
        </w:rPr>
        <w:tab/>
        <w:t xml:space="preserve">α. τροποποιημένο </w:t>
      </w:r>
      <w:r>
        <w:rPr>
          <w:rFonts w:ascii="Calibri" w:hAnsi="Calibri"/>
          <w:color w:val="212121"/>
          <w:lang w:val="en-US"/>
        </w:rPr>
        <w:t>LOC</w:t>
      </w:r>
      <w:r w:rsidR="008D36FF">
        <w:rPr>
          <w:rFonts w:ascii="Calibri" w:hAnsi="Calibri"/>
          <w:color w:val="212121"/>
        </w:rPr>
        <w:t xml:space="preserve"> (επίπεδο συνείδησης)</w:t>
      </w:r>
    </w:p>
    <w:p w:rsidR="00EF2FF7" w:rsidRDefault="00667C40">
      <w:pPr>
        <w:rPr>
          <w:rFonts w:ascii="Calibri" w:hAnsi="Calibri"/>
        </w:rPr>
      </w:pPr>
      <w:r w:rsidRPr="00667C40">
        <w:rPr>
          <w:rFonts w:ascii="Calibri" w:hAnsi="Calibri"/>
          <w:color w:val="212121"/>
        </w:rPr>
        <w:tab/>
        <w:t xml:space="preserve"> </w:t>
      </w:r>
      <w:r>
        <w:rPr>
          <w:rFonts w:ascii="Calibri" w:hAnsi="Calibri"/>
          <w:color w:val="212121"/>
        </w:rPr>
        <w:t>β.</w:t>
      </w:r>
      <w:bookmarkStart w:id="4" w:name="tw-target-text3"/>
      <w:bookmarkEnd w:id="4"/>
      <w:r>
        <w:rPr>
          <w:rFonts w:ascii="Calibri" w:hAnsi="Calibri"/>
          <w:color w:val="212121"/>
        </w:rPr>
        <w:t xml:space="preserve"> Υποκειμενικός πόνος στη μέση γραμμή του αυχένα ή της πλάτης ή αντικειμενική ευαισθησία κατά την ψηλάφηση</w:t>
      </w:r>
    </w:p>
    <w:p w:rsidR="00EF2FF7" w:rsidRPr="00667C40" w:rsidRDefault="00667C40">
      <w:pPr>
        <w:rPr>
          <w:rFonts w:ascii="Calibri" w:hAnsi="Calibri"/>
        </w:rPr>
      </w:pPr>
      <w:r>
        <w:rPr>
          <w:rFonts w:ascii="Calibri" w:hAnsi="Calibri"/>
          <w:color w:val="212121"/>
        </w:rPr>
        <w:tab/>
        <w:t>γ. Εστιακά νευρολογικά σημεία και/ή συμπτώματα όπως παραισθησίες ή παράλυση.</w:t>
      </w:r>
    </w:p>
    <w:p w:rsidR="00EF2FF7" w:rsidRPr="00667C40" w:rsidRDefault="00667C40">
      <w:pPr>
        <w:rPr>
          <w:rFonts w:ascii="Calibri" w:hAnsi="Calibri"/>
        </w:rPr>
      </w:pPr>
      <w:r>
        <w:rPr>
          <w:rFonts w:ascii="Calibri" w:hAnsi="Calibri"/>
          <w:color w:val="212121"/>
        </w:rPr>
        <w:tab/>
        <w:t>δ. Παραμόρφωση της ΣΣ</w:t>
      </w:r>
    </w:p>
    <w:p w:rsidR="00EF2FF7" w:rsidRPr="00667C40" w:rsidRDefault="00667C40">
      <w:pPr>
        <w:rPr>
          <w:rFonts w:ascii="Calibri" w:hAnsi="Calibri"/>
        </w:rPr>
      </w:pPr>
      <w:r>
        <w:rPr>
          <w:rFonts w:ascii="Calibri" w:hAnsi="Calibri"/>
          <w:color w:val="212121"/>
        </w:rPr>
        <w:tab/>
        <w:t>ε. Τραύματα που αποσπούν την προσοχή ή περιστάσεις  όπως αδυναμία συνεννόησης λόγω γλωσσικών εμποδίων.</w:t>
      </w:r>
    </w:p>
    <w:p w:rsidR="00EF2FF7" w:rsidRPr="00667C40" w:rsidRDefault="008D36FF">
      <w:pPr>
        <w:rPr>
          <w:rFonts w:ascii="Calibri" w:hAnsi="Calibri"/>
        </w:rPr>
      </w:pPr>
      <w:r>
        <w:rPr>
          <w:rFonts w:ascii="Calibri" w:hAnsi="Calibri"/>
          <w:color w:val="212121"/>
        </w:rPr>
        <w:t xml:space="preserve">5. </w:t>
      </w:r>
      <w:proofErr w:type="gramStart"/>
      <w:r w:rsidR="00667C40">
        <w:rPr>
          <w:rFonts w:ascii="Calibri" w:hAnsi="Calibri"/>
          <w:color w:val="212121"/>
          <w:lang w:val="en-US"/>
        </w:rPr>
        <w:t>SMR</w:t>
      </w:r>
      <w:r w:rsidR="00667C40">
        <w:rPr>
          <w:rFonts w:ascii="Calibri" w:hAnsi="Calibri"/>
          <w:color w:val="212121"/>
        </w:rPr>
        <w:t xml:space="preserve"> θα πρέπει να εφαρμόζεται σε ολόκληρη τη σπονδυλική στήλη και να τοποθετούν</w:t>
      </w:r>
      <w:r>
        <w:rPr>
          <w:rFonts w:ascii="Calibri" w:hAnsi="Calibri"/>
          <w:color w:val="212121"/>
        </w:rPr>
        <w:t>ται τα σωστού μεγέθους αυχενικά κολάρα</w:t>
      </w:r>
      <w:r w:rsidR="00667C40">
        <w:rPr>
          <w:rFonts w:ascii="Calibri" w:hAnsi="Calibri"/>
          <w:color w:val="212121"/>
        </w:rPr>
        <w:t xml:space="preserve"> με τον τραυματία σε ύπτια θέση.</w:t>
      </w:r>
      <w:proofErr w:type="gramEnd"/>
    </w:p>
    <w:p w:rsidR="00EF2FF7" w:rsidRDefault="00667C40">
      <w:pPr>
        <w:rPr>
          <w:rFonts w:ascii="Calibri" w:hAnsi="Calibri"/>
        </w:rPr>
      </w:pPr>
      <w:r>
        <w:rPr>
          <w:rFonts w:ascii="Calibri" w:hAnsi="Calibri"/>
          <w:color w:val="212121"/>
        </w:rPr>
        <w:t xml:space="preserve">6. </w:t>
      </w:r>
      <w:bookmarkStart w:id="5" w:name="tw-target-text5"/>
      <w:bookmarkEnd w:id="5"/>
      <w:r>
        <w:rPr>
          <w:rFonts w:ascii="Calibri" w:hAnsi="Calibri"/>
          <w:color w:val="212121"/>
        </w:rPr>
        <w:t>Ιδιαίτερη προσοχή θα πρέπει να λαμβάνεται κατά τη διάρκεια όλων των μεταφορών ασθενών. Τα φορεία</w:t>
      </w:r>
      <w:r w:rsidRPr="00667C40">
        <w:rPr>
          <w:rFonts w:ascii="Calibri" w:hAnsi="Calibri"/>
          <w:color w:val="212121"/>
        </w:rPr>
        <w:t xml:space="preserve">, </w:t>
      </w:r>
      <w:r>
        <w:rPr>
          <w:rFonts w:ascii="Calibri" w:hAnsi="Calibri"/>
          <w:color w:val="212121"/>
          <w:lang w:val="en-US"/>
        </w:rPr>
        <w:t>scoop</w:t>
      </w:r>
      <w:r w:rsidRPr="00667C40">
        <w:rPr>
          <w:rFonts w:ascii="Calibri" w:hAnsi="Calibri"/>
          <w:color w:val="212121"/>
        </w:rPr>
        <w:t xml:space="preserve"> </w:t>
      </w:r>
      <w:r>
        <w:rPr>
          <w:rFonts w:ascii="Calibri" w:hAnsi="Calibri"/>
          <w:color w:val="212121"/>
          <w:lang w:val="en-US"/>
        </w:rPr>
        <w:t>stretches</w:t>
      </w:r>
      <w:r w:rsidRPr="00667C40">
        <w:rPr>
          <w:rFonts w:ascii="Calibri" w:hAnsi="Calibri"/>
          <w:color w:val="212121"/>
        </w:rPr>
        <w:t xml:space="preserve"> </w:t>
      </w:r>
      <w:r>
        <w:rPr>
          <w:rFonts w:ascii="Calibri" w:hAnsi="Calibri"/>
          <w:color w:val="212121"/>
        </w:rPr>
        <w:t xml:space="preserve">και τα στρώματα </w:t>
      </w:r>
      <w:bookmarkStart w:id="6" w:name="tw-target-text6"/>
      <w:bookmarkEnd w:id="6"/>
      <w:r w:rsidR="008D36FF">
        <w:rPr>
          <w:rFonts w:ascii="Calibri" w:hAnsi="Calibri"/>
          <w:color w:val="212121"/>
        </w:rPr>
        <w:t xml:space="preserve">κενού </w:t>
      </w:r>
      <w:r>
        <w:rPr>
          <w:rFonts w:ascii="Calibri" w:hAnsi="Calibri"/>
          <w:color w:val="212121"/>
        </w:rPr>
        <w:t xml:space="preserve">συνιστώνται για την ελαχιστοποίηση της </w:t>
      </w:r>
      <w:r w:rsidR="008D36FF">
        <w:rPr>
          <w:rFonts w:ascii="Calibri" w:hAnsi="Calibri"/>
          <w:color w:val="212121"/>
        </w:rPr>
        <w:t xml:space="preserve">μετακίνησης </w:t>
      </w:r>
      <w:r>
        <w:rPr>
          <w:rFonts w:ascii="Calibri" w:hAnsi="Calibri"/>
          <w:color w:val="212121"/>
        </w:rPr>
        <w:t>των πιθανά τραυματισμένων σπονδύλων.</w:t>
      </w:r>
    </w:p>
    <w:p w:rsidR="00EF2FF7" w:rsidRDefault="00667C40">
      <w:pPr>
        <w:rPr>
          <w:rFonts w:ascii="Calibri" w:hAnsi="Calibri"/>
        </w:rPr>
      </w:pPr>
      <w:r>
        <w:rPr>
          <w:rFonts w:ascii="Calibri" w:hAnsi="Calibri"/>
          <w:color w:val="212121"/>
        </w:rPr>
        <w:lastRenderedPageBreak/>
        <w:t xml:space="preserve">7. </w:t>
      </w:r>
      <w:bookmarkStart w:id="7" w:name="tw-target-text7"/>
      <w:bookmarkEnd w:id="7"/>
      <w:r>
        <w:rPr>
          <w:rFonts w:ascii="Calibri" w:hAnsi="Calibri"/>
          <w:color w:val="212121"/>
        </w:rPr>
        <w:t xml:space="preserve">Ενώ μπορεί να είναι εφικτό να αφαιρεθεί ο ασθενής από μια συσκευή όπως ένα φορείο ή ένα </w:t>
      </w:r>
      <w:r>
        <w:rPr>
          <w:rFonts w:ascii="Calibri" w:hAnsi="Calibri"/>
          <w:color w:val="212121"/>
          <w:lang w:val="en-US"/>
        </w:rPr>
        <w:t>scoop</w:t>
      </w:r>
      <w:r w:rsidRPr="00667C40">
        <w:rPr>
          <w:rFonts w:ascii="Calibri" w:hAnsi="Calibri"/>
          <w:color w:val="212121"/>
        </w:rPr>
        <w:t xml:space="preserve"> </w:t>
      </w:r>
      <w:r>
        <w:rPr>
          <w:rFonts w:ascii="Calibri" w:hAnsi="Calibri"/>
          <w:color w:val="212121"/>
          <w:lang w:val="en-US"/>
        </w:rPr>
        <w:t>stretcher</w:t>
      </w:r>
      <w:r>
        <w:rPr>
          <w:rFonts w:ascii="Calibri" w:hAnsi="Calibri"/>
          <w:color w:val="212121"/>
        </w:rPr>
        <w:t xml:space="preserve"> και να μεταφορτωθεί στο κρεβάτι του ασθενοφόρου, θα πρέπει να εξετάζεται το ενδεχόμενο πρόσθετου τραυματισμού στην κάθε </w:t>
      </w:r>
      <w:r w:rsidR="008D36FF">
        <w:rPr>
          <w:rFonts w:ascii="Calibri" w:hAnsi="Calibri"/>
          <w:color w:val="212121"/>
        </w:rPr>
        <w:t xml:space="preserve">μετακίνηση </w:t>
      </w:r>
      <w:r>
        <w:rPr>
          <w:rFonts w:ascii="Calibri" w:hAnsi="Calibri"/>
          <w:color w:val="212121"/>
        </w:rPr>
        <w:t>του. Σε μία προσπάθεια να ελαχιστοποιηθεί ο αριθμός τέτοιων μεταφορτώσεων,</w:t>
      </w:r>
      <w:bookmarkStart w:id="8" w:name="tw-target-text8"/>
      <w:bookmarkEnd w:id="8"/>
      <w:r>
        <w:rPr>
          <w:rFonts w:ascii="Calibri" w:hAnsi="Calibri"/>
          <w:color w:val="212121"/>
        </w:rPr>
        <w:t xml:space="preserve"> όταν οι χρόνοι μεταφοράς στο νοσοκομείο είναι σύντομοι, οι συσκευές θα μπορούσαν να αφαιρεθούν στο νοσοκομείο και όχι στο ασθενοφόρο.</w:t>
      </w:r>
    </w:p>
    <w:p w:rsidR="00EF2FF7" w:rsidRDefault="00667C40">
      <w:pPr>
        <w:rPr>
          <w:rFonts w:ascii="Calibri" w:hAnsi="Calibri"/>
        </w:rPr>
      </w:pPr>
      <w:r>
        <w:rPr>
          <w:rFonts w:ascii="Calibri" w:hAnsi="Calibri"/>
          <w:color w:val="212121"/>
        </w:rPr>
        <w:t>8.Το νοσοκομείο θα πρέπει να είναι προετοιμασμένο να μπορεί να αφαιρέσει γρήγορα και με ασφάλεια αυτές τις συσκευές από τους ασθενείς κατά την άφιξ</w:t>
      </w:r>
      <w:r w:rsidR="008D36FF">
        <w:rPr>
          <w:rFonts w:ascii="Calibri" w:hAnsi="Calibri"/>
          <w:color w:val="212121"/>
        </w:rPr>
        <w:t>η τους και να παρέχει κατάλληλη ακινητοποίηση</w:t>
      </w:r>
      <w:r w:rsidRPr="00667C40">
        <w:rPr>
          <w:rFonts w:ascii="Calibri" w:hAnsi="Calibri"/>
          <w:color w:val="212121"/>
        </w:rPr>
        <w:t xml:space="preserve"> </w:t>
      </w:r>
      <w:r>
        <w:rPr>
          <w:rFonts w:ascii="Calibri" w:hAnsi="Calibri"/>
          <w:color w:val="212121"/>
        </w:rPr>
        <w:t>από εκείνη τη στιγμή και έπειτα.</w:t>
      </w:r>
    </w:p>
    <w:p w:rsidR="00EF2FF7" w:rsidRDefault="008D36FF">
      <w:pPr>
        <w:rPr>
          <w:rFonts w:ascii="Calibri" w:hAnsi="Calibri"/>
        </w:rPr>
      </w:pPr>
      <w:r>
        <w:rPr>
          <w:rFonts w:ascii="Calibri" w:hAnsi="Calibri"/>
          <w:color w:val="212121"/>
        </w:rPr>
        <w:t xml:space="preserve">9. </w:t>
      </w:r>
      <w:r w:rsidR="00667C40">
        <w:rPr>
          <w:rFonts w:ascii="Calibri" w:hAnsi="Calibri"/>
          <w:color w:val="212121"/>
          <w:lang w:val="en-US"/>
        </w:rPr>
        <w:t>SMR</w:t>
      </w:r>
      <w:r w:rsidR="00667C40" w:rsidRPr="00667C40">
        <w:rPr>
          <w:rFonts w:ascii="Calibri" w:hAnsi="Calibri"/>
          <w:color w:val="212121"/>
        </w:rPr>
        <w:t xml:space="preserve"> </w:t>
      </w:r>
      <w:r w:rsidR="00667C40">
        <w:rPr>
          <w:rFonts w:ascii="Calibri" w:hAnsi="Calibri"/>
          <w:color w:val="212121"/>
        </w:rPr>
        <w:t xml:space="preserve">δεν ενδείκνυται σε ασθενείς με </w:t>
      </w:r>
      <w:proofErr w:type="spellStart"/>
      <w:r w:rsidR="00667C40">
        <w:rPr>
          <w:rFonts w:ascii="Calibri" w:hAnsi="Calibri"/>
          <w:color w:val="212121"/>
        </w:rPr>
        <w:t>διατιτραίνον</w:t>
      </w:r>
      <w:proofErr w:type="spellEnd"/>
      <w:r w:rsidR="00667C40">
        <w:rPr>
          <w:rFonts w:ascii="Calibri" w:hAnsi="Calibri"/>
          <w:color w:val="212121"/>
        </w:rPr>
        <w:t xml:space="preserve"> τραύμα</w:t>
      </w:r>
    </w:p>
    <w:p w:rsidR="008D36FF" w:rsidRDefault="00667C40">
      <w:pPr>
        <w:rPr>
          <w:rFonts w:ascii="Calibri" w:hAnsi="Calibri"/>
          <w:color w:val="212121"/>
        </w:rPr>
      </w:pPr>
      <w:r>
        <w:rPr>
          <w:rFonts w:ascii="Calibri" w:hAnsi="Calibri"/>
          <w:color w:val="212121"/>
        </w:rPr>
        <w:t xml:space="preserve">10. </w:t>
      </w:r>
      <w:bookmarkStart w:id="9" w:name="tw-target-text9"/>
      <w:bookmarkEnd w:id="9"/>
      <w:r>
        <w:rPr>
          <w:rFonts w:ascii="Calibri" w:hAnsi="Calibri"/>
          <w:color w:val="212121"/>
        </w:rPr>
        <w:t>Στην περίπτωση των παιδιών, η ηλικία από μόνη της δεν αποτελεί παράγοντα</w:t>
      </w:r>
      <w:r w:rsidR="008D36FF">
        <w:rPr>
          <w:rFonts w:ascii="Calibri" w:hAnsi="Calibri"/>
          <w:color w:val="212121"/>
        </w:rPr>
        <w:t xml:space="preserve"> απόφασης ακινητοποίησης</w:t>
      </w:r>
      <w:r>
        <w:rPr>
          <w:rFonts w:ascii="Calibri" w:hAnsi="Calibri"/>
          <w:color w:val="212121"/>
        </w:rPr>
        <w:t>. Παρόλο που η επικοινωνία μπορεί να είναι δύσκολη, δεν αποτελεί ένδειξη</w:t>
      </w:r>
      <w:r w:rsidR="008D36FF">
        <w:rPr>
          <w:rFonts w:ascii="Calibri" w:hAnsi="Calibri"/>
          <w:color w:val="212121"/>
        </w:rPr>
        <w:t xml:space="preserve"> για SMR. Τα σωστά μεγέθη αυχενικού κολάρου </w:t>
      </w:r>
      <w:r>
        <w:rPr>
          <w:rFonts w:ascii="Calibri" w:hAnsi="Calibri"/>
          <w:color w:val="212121"/>
        </w:rPr>
        <w:t xml:space="preserve"> θα πρέπει να χρησιμοποιούνται σε παιδιά εάν διαμαρτύρονται για πόνο στον αυχένα, εάν παρατηρείται αφύσικη θέση ή παραμόρφωση του λαιμού, ή αν έχει αλλάξει το</w:t>
      </w:r>
      <w:r w:rsidR="008D36FF">
        <w:rPr>
          <w:rFonts w:ascii="Calibri" w:hAnsi="Calibri"/>
          <w:color w:val="212121"/>
        </w:rPr>
        <w:t xml:space="preserve"> επίπεδο συνείδησης</w:t>
      </w:r>
      <w:r>
        <w:rPr>
          <w:rFonts w:ascii="Calibri" w:hAnsi="Calibri"/>
          <w:color w:val="212121"/>
        </w:rPr>
        <w:t>.</w:t>
      </w:r>
    </w:p>
    <w:p w:rsidR="00EF2FF7" w:rsidRDefault="00667C40">
      <w:pPr>
        <w:rPr>
          <w:rFonts w:ascii="Calibri" w:hAnsi="Calibri"/>
        </w:rPr>
      </w:pPr>
      <w:r>
        <w:rPr>
          <w:rFonts w:ascii="Calibri" w:hAnsi="Calibri"/>
          <w:color w:val="212121"/>
        </w:rPr>
        <w:t xml:space="preserve"> Θα πρέπει να υπάρχει υποψία τραυματισμού της ΣΣ σε υψηλού κινδύνου τροχαία, σε τραυματισμούς κατά την κατάδυση και σε σημαντικούς τραυματισμούς στον κορμό.</w:t>
      </w:r>
    </w:p>
    <w:p w:rsidR="00EF2FF7" w:rsidRDefault="00667C40">
      <w:pPr>
        <w:pStyle w:val="a8"/>
        <w:rPr>
          <w:rFonts w:ascii="Calibri" w:hAnsi="Calibri"/>
          <w:color w:val="212121"/>
          <w:sz w:val="22"/>
          <w:szCs w:val="22"/>
        </w:rPr>
      </w:pPr>
      <w:bookmarkStart w:id="10" w:name="tw-target-text10"/>
      <w:bookmarkEnd w:id="10"/>
      <w:r>
        <w:rPr>
          <w:rFonts w:ascii="Calibri" w:hAnsi="Calibri"/>
          <w:color w:val="212121"/>
          <w:sz w:val="22"/>
          <w:szCs w:val="22"/>
        </w:rPr>
        <w:t>Αυτή η από κοινού πρόταση, έχει εγκριθεί από ένα μεγάλο αριθμό εθνικών οργανισμών (παρακαλούμε δείτε τον πλήρη κατάλογο).</w:t>
      </w:r>
    </w:p>
    <w:p w:rsidR="00EF2FF7" w:rsidRDefault="00667C40">
      <w:pPr>
        <w:pStyle w:val="a8"/>
        <w:rPr>
          <w:rFonts w:ascii="Calibri" w:hAnsi="Calibri"/>
          <w:sz w:val="22"/>
          <w:szCs w:val="22"/>
        </w:rPr>
      </w:pPr>
      <w:bookmarkStart w:id="11" w:name="tw-target-text11"/>
      <w:bookmarkEnd w:id="11"/>
      <w:r>
        <w:rPr>
          <w:rFonts w:ascii="Calibri" w:hAnsi="Calibri"/>
          <w:color w:val="212121"/>
          <w:sz w:val="22"/>
          <w:szCs w:val="22"/>
        </w:rPr>
        <w:t xml:space="preserve">Το ζήτημα του περιορισμού της κίνησης της ΣΣ και οι καλύτερες μέθοδοι για την επίτευξη αυτού του στόχου ήταν ένα θέμα σημαντικής συζήτησης και αντιπαράθεσης, με μερικούς να συνιστούν να μην χρησιμοποιείται πλέον. Αυτό το έγγραφο δίνει προτάσεις, για να βεβαιωθούμε ότι τουλάχιστον δε θα </w:t>
      </w:r>
      <w:r w:rsidR="008D36FF">
        <w:rPr>
          <w:rFonts w:ascii="Calibri" w:hAnsi="Calibri"/>
          <w:color w:val="212121"/>
          <w:sz w:val="22"/>
          <w:szCs w:val="22"/>
        </w:rPr>
        <w:t xml:space="preserve">προκαλέσουμε </w:t>
      </w:r>
      <w:r>
        <w:rPr>
          <w:rFonts w:ascii="Calibri" w:hAnsi="Calibri"/>
          <w:color w:val="212121"/>
          <w:sz w:val="22"/>
          <w:szCs w:val="22"/>
        </w:rPr>
        <w:t xml:space="preserve">περαιτέρω βλάβη σε έναν ασθενή που έχει υποστεί τραύμα και για να προσπαθήσουμε να προστατεύσουμε τους ασθενείς μας από τον πρόσθετο ακούσιο τραυματισμό που θα προκληθεί από την υπερβολική κινητοποίηση και τις πολλαπλές απροστάτευτες μεταφορτώσεις. Όλο το προσωπικό του </w:t>
      </w:r>
      <w:r w:rsidR="008D36FF">
        <w:rPr>
          <w:rFonts w:ascii="Calibri" w:hAnsi="Calibri"/>
          <w:color w:val="212121"/>
          <w:sz w:val="22"/>
          <w:szCs w:val="22"/>
          <w:lang w:val="en-US"/>
        </w:rPr>
        <w:t>EMS</w:t>
      </w:r>
      <w:r w:rsidR="008D36FF" w:rsidRPr="008D36FF">
        <w:rPr>
          <w:rFonts w:ascii="Calibri" w:hAnsi="Calibri"/>
          <w:color w:val="212121"/>
          <w:sz w:val="22"/>
          <w:szCs w:val="22"/>
        </w:rPr>
        <w:t xml:space="preserve"> </w:t>
      </w:r>
      <w:r>
        <w:rPr>
          <w:rFonts w:ascii="Calibri" w:hAnsi="Calibri"/>
          <w:color w:val="212121"/>
          <w:sz w:val="22"/>
          <w:szCs w:val="22"/>
        </w:rPr>
        <w:t>και οι ιατρικοί επόπτες πρέπει να διαβάσουν και να κατανοήσουν τις διαμορφωμένες από κοινού συστάσεις μας.</w:t>
      </w:r>
    </w:p>
    <w:p w:rsidR="00EF2FF7" w:rsidRDefault="00667C40">
      <w:pPr>
        <w:rPr>
          <w:rFonts w:ascii="Calibri" w:hAnsi="Calibri"/>
        </w:rPr>
      </w:pPr>
      <w:r>
        <w:rPr>
          <w:rFonts w:ascii="Calibri" w:hAnsi="Calibri"/>
          <w:color w:val="212121"/>
        </w:rPr>
        <w:t xml:space="preserve"> </w:t>
      </w:r>
    </w:p>
    <w:p w:rsidR="00EF2FF7" w:rsidRDefault="00EF2FF7">
      <w:pPr>
        <w:rPr>
          <w:color w:val="212121"/>
        </w:rPr>
      </w:pPr>
    </w:p>
    <w:p w:rsidR="00EF2FF7" w:rsidRDefault="00EF2FF7">
      <w:pPr>
        <w:rPr>
          <w:color w:val="212121"/>
        </w:rPr>
      </w:pPr>
    </w:p>
    <w:p w:rsidR="003649E9" w:rsidRPr="00C47B26" w:rsidRDefault="003649E9" w:rsidP="003649E9">
      <w:pPr>
        <w:pStyle w:val="aa"/>
        <w:ind w:firstLine="360"/>
        <w:rPr>
          <w:lang w:val="el-GR"/>
        </w:rPr>
      </w:pPr>
      <w:r w:rsidRPr="003649E9">
        <w:rPr>
          <w:rStyle w:val="aa"/>
          <w:b/>
          <w:lang w:val="el-GR"/>
        </w:rPr>
        <w:t xml:space="preserve"> </w:t>
      </w:r>
      <w:proofErr w:type="spellStart"/>
      <w:r w:rsidRPr="00246949">
        <w:rPr>
          <w:rStyle w:val="tlid-translation"/>
          <w:b/>
          <w:lang w:val="el-GR"/>
        </w:rPr>
        <w:t>3</w:t>
      </w:r>
      <w:proofErr w:type="spellEnd"/>
      <w:r w:rsidRPr="00246949">
        <w:rPr>
          <w:rStyle w:val="tlid-translation"/>
          <w:b/>
          <w:lang w:val="el-GR"/>
        </w:rPr>
        <w:t xml:space="preserve">. Επίπτωση των ασθενών που παρουσιάζουν </w:t>
      </w:r>
      <w:proofErr w:type="spellStart"/>
      <w:r w:rsidRPr="00246949">
        <w:rPr>
          <w:rStyle w:val="tlid-translation"/>
          <w:b/>
          <w:lang w:val="el-GR"/>
        </w:rPr>
        <w:t>τοξίκωση</w:t>
      </w:r>
      <w:proofErr w:type="spellEnd"/>
      <w:r w:rsidRPr="00246949">
        <w:rPr>
          <w:rStyle w:val="tlid-translation"/>
          <w:b/>
          <w:lang w:val="el-GR"/>
        </w:rPr>
        <w:t xml:space="preserve"> από αλκοόλ ή / και ναρκωτικά στις υπηρεσίες υγειονομικής περίθαλψης κατά τη διάρκεια μαζικών εκδηλώσεων: Μια ολοκληρωμένη ανασκόπηση της βιβλιογραφίας. </w:t>
      </w:r>
      <w:proofErr w:type="gramStart"/>
      <w:r w:rsidRPr="00246949">
        <w:rPr>
          <w:rStyle w:val="tlid-translation"/>
          <w:b/>
        </w:rPr>
        <w:t>Bullock</w:t>
      </w:r>
      <w:r w:rsidRPr="00246949">
        <w:rPr>
          <w:rStyle w:val="tlid-translation"/>
          <w:b/>
          <w:lang w:val="el-GR"/>
        </w:rPr>
        <w:t xml:space="preserve"> Μ, </w:t>
      </w:r>
      <w:proofErr w:type="spellStart"/>
      <w:r w:rsidRPr="00246949">
        <w:rPr>
          <w:rStyle w:val="tlid-translation"/>
          <w:b/>
        </w:rPr>
        <w:t>Ranse</w:t>
      </w:r>
      <w:proofErr w:type="spellEnd"/>
      <w:r w:rsidRPr="00246949">
        <w:rPr>
          <w:rStyle w:val="tlid-translation"/>
          <w:b/>
          <w:lang w:val="el-GR"/>
        </w:rPr>
        <w:t xml:space="preserve"> </w:t>
      </w:r>
      <w:r w:rsidRPr="00246949">
        <w:rPr>
          <w:rStyle w:val="tlid-translation"/>
          <w:b/>
        </w:rPr>
        <w:t>J</w:t>
      </w:r>
      <w:r w:rsidRPr="00246949">
        <w:rPr>
          <w:rStyle w:val="tlid-translation"/>
          <w:b/>
          <w:lang w:val="el-GR"/>
        </w:rPr>
        <w:t xml:space="preserve">, </w:t>
      </w:r>
      <w:r w:rsidRPr="00246949">
        <w:rPr>
          <w:rStyle w:val="tlid-translation"/>
          <w:b/>
        </w:rPr>
        <w:t>Hutton</w:t>
      </w:r>
      <w:r w:rsidRPr="00246949">
        <w:rPr>
          <w:rStyle w:val="tlid-translation"/>
          <w:b/>
          <w:lang w:val="el-GR"/>
        </w:rPr>
        <w:t xml:space="preserve"> Α. </w:t>
      </w:r>
      <w:proofErr w:type="spellStart"/>
      <w:r w:rsidRPr="00246949">
        <w:rPr>
          <w:rStyle w:val="tlid-translation"/>
          <w:b/>
        </w:rPr>
        <w:t>Prehosp</w:t>
      </w:r>
      <w:proofErr w:type="spellEnd"/>
      <w:r w:rsidRPr="00246949">
        <w:rPr>
          <w:rStyle w:val="tlid-translation"/>
          <w:b/>
          <w:lang w:val="el-GR"/>
        </w:rPr>
        <w:t xml:space="preserve"> </w:t>
      </w:r>
      <w:r w:rsidRPr="00246949">
        <w:rPr>
          <w:rStyle w:val="tlid-translation"/>
          <w:b/>
        </w:rPr>
        <w:t>Disaster</w:t>
      </w:r>
      <w:r w:rsidRPr="00246949">
        <w:rPr>
          <w:rStyle w:val="tlid-translation"/>
          <w:b/>
          <w:lang w:val="el-GR"/>
        </w:rPr>
        <w:t xml:space="preserve"> </w:t>
      </w:r>
      <w:r w:rsidRPr="00246949">
        <w:rPr>
          <w:rStyle w:val="tlid-translation"/>
          <w:b/>
        </w:rPr>
        <w:t>Med</w:t>
      </w:r>
      <w:r w:rsidRPr="00246949">
        <w:rPr>
          <w:rStyle w:val="tlid-translation"/>
          <w:b/>
          <w:lang w:val="el-GR"/>
        </w:rPr>
        <w:t>. 2017, 33: 539-542.</w:t>
      </w:r>
      <w:proofErr w:type="gramEnd"/>
      <w:r w:rsidRPr="00246949">
        <w:rPr>
          <w:b/>
          <w:lang w:val="el-GR"/>
        </w:rPr>
        <w:br/>
      </w:r>
      <w:r w:rsidRPr="00C47B26">
        <w:rPr>
          <w:rStyle w:val="tlid-translation"/>
          <w:lang w:val="el-GR"/>
        </w:rPr>
        <w:t xml:space="preserve">Οι μαζικές συγκεντρώσεις, είτε σε εσωτερικούς είτε σε εξωτερικούς χώρους, με θέμα τη μουσική, </w:t>
      </w:r>
      <w:r>
        <w:rPr>
          <w:rStyle w:val="tlid-translation"/>
          <w:lang w:val="el-GR"/>
        </w:rPr>
        <w:t xml:space="preserve">καθώς και </w:t>
      </w:r>
      <w:r w:rsidRPr="00C47B26">
        <w:rPr>
          <w:rStyle w:val="tlid-translation"/>
          <w:lang w:val="el-GR"/>
        </w:rPr>
        <w:t>πολιτικές ή αθλητικές</w:t>
      </w:r>
      <w:r>
        <w:rPr>
          <w:rStyle w:val="tlid-translation"/>
          <w:lang w:val="el-GR"/>
        </w:rPr>
        <w:t xml:space="preserve"> συναντήσεις αποτελούν</w:t>
      </w:r>
      <w:r w:rsidRPr="00C47B26">
        <w:rPr>
          <w:rStyle w:val="tlid-translation"/>
          <w:lang w:val="el-GR"/>
        </w:rPr>
        <w:t xml:space="preserve"> πρόκληση για την κοινότητα</w:t>
      </w:r>
      <w:r>
        <w:rPr>
          <w:rStyle w:val="tlid-translation"/>
          <w:lang w:val="el-GR"/>
        </w:rPr>
        <w:t xml:space="preserve"> που τις φιλοξενεί</w:t>
      </w:r>
      <w:r w:rsidRPr="00C47B26">
        <w:rPr>
          <w:rStyle w:val="tlid-translation"/>
          <w:lang w:val="el-GR"/>
        </w:rPr>
        <w:t xml:space="preserve">. Οι συγκεντρώσεις μαζών μπορούν να οριστούν ως γεγονότα που έχουν την ικανότητα να ασκήσουν πίεση στους πόρους προγραμματισμού και αντίδρασης μιας κοινότητας ή μιας χώρας, λόγω της προβλεπόμενης </w:t>
      </w:r>
      <w:r>
        <w:rPr>
          <w:rStyle w:val="tlid-translation"/>
          <w:lang w:val="el-GR"/>
        </w:rPr>
        <w:t xml:space="preserve">μεγάλης </w:t>
      </w:r>
      <w:r w:rsidRPr="00C47B26">
        <w:rPr>
          <w:rStyle w:val="tlid-translation"/>
          <w:lang w:val="el-GR"/>
        </w:rPr>
        <w:t xml:space="preserve">συμμετοχής εντός συγκεκριμένου </w:t>
      </w:r>
      <w:r>
        <w:rPr>
          <w:rStyle w:val="tlid-translation"/>
          <w:lang w:val="el-GR"/>
        </w:rPr>
        <w:t xml:space="preserve">μικρού </w:t>
      </w:r>
      <w:r w:rsidRPr="00C47B26">
        <w:rPr>
          <w:rStyle w:val="tlid-translation"/>
          <w:lang w:val="el-GR"/>
        </w:rPr>
        <w:t xml:space="preserve">χρονικού πλαισίου. </w:t>
      </w:r>
      <w:r>
        <w:rPr>
          <w:rStyle w:val="tlid-translation"/>
          <w:lang w:val="el-GR"/>
        </w:rPr>
        <w:t>Το ερώτημα είναι αν η</w:t>
      </w:r>
      <w:r w:rsidRPr="00C47B26">
        <w:rPr>
          <w:rStyle w:val="tlid-translation"/>
          <w:lang w:val="el-GR"/>
        </w:rPr>
        <w:t xml:space="preserve"> χρήση ναρκωτικών </w:t>
      </w:r>
      <w:r w:rsidRPr="00C47B26">
        <w:rPr>
          <w:rStyle w:val="tlid-translation"/>
          <w:lang w:val="el-GR"/>
        </w:rPr>
        <w:lastRenderedPageBreak/>
        <w:t xml:space="preserve">και αλκοόλ από τους συμμετέχοντες σε εκδηλώσεις μαζικής συγκέντρωσης έχει αντίκτυπο στις </w:t>
      </w:r>
      <w:r>
        <w:rPr>
          <w:rStyle w:val="tlid-translation"/>
          <w:lang w:val="el-GR"/>
        </w:rPr>
        <w:t xml:space="preserve">υπηρεσίες υγείας που καλύπτουν </w:t>
      </w:r>
      <w:r w:rsidRPr="00C47B26">
        <w:rPr>
          <w:rStyle w:val="tlid-translation"/>
          <w:lang w:val="el-GR"/>
        </w:rPr>
        <w:t>την εκδ</w:t>
      </w:r>
      <w:r>
        <w:rPr>
          <w:rStyle w:val="tlid-translation"/>
          <w:lang w:val="el-GR"/>
        </w:rPr>
        <w:t>ήλωση και στην τοπική κοινότητα.</w:t>
      </w:r>
      <w:r w:rsidRPr="00C47B26">
        <w:rPr>
          <w:rStyle w:val="tlid-translation"/>
          <w:lang w:val="el-GR"/>
        </w:rPr>
        <w:t xml:space="preserve"> Η καλύτερη κατανόηση αυτού του πληθυσμού ασθενών και ο αντίκτυπος στις υπηρεσίες υγειονομικής περίθαλψης θα αποτελέσουν ένα πολύτιμο βήμα στη διαχείριση των ανθρώπινων και φυσικών πόρων για μελλοντικές εκδηλώσεις μαζικής συγκέντρωσης.</w:t>
      </w:r>
      <w:r w:rsidRPr="00C47B26">
        <w:rPr>
          <w:lang w:val="el-GR"/>
        </w:rPr>
        <w:br/>
      </w:r>
      <w:r w:rsidRPr="00C47B26">
        <w:rPr>
          <w:rStyle w:val="tlid-translation"/>
          <w:lang w:val="el-GR"/>
        </w:rPr>
        <w:t xml:space="preserve">Ο </w:t>
      </w:r>
      <w:r>
        <w:rPr>
          <w:rStyle w:val="tlid-translation"/>
        </w:rPr>
        <w:t>Bullock</w:t>
      </w:r>
      <w:r w:rsidRPr="00C47B26">
        <w:rPr>
          <w:rStyle w:val="tlid-translation"/>
          <w:lang w:val="el-GR"/>
        </w:rPr>
        <w:t xml:space="preserve"> και οι συνάδελφοί του πραγματοποίησαν μια θεματική, δεκαετή βιβλιογραφική ανασκόπηση των εκδηλώσεων μαζικής συγκέντρωσης και των παραγόντων που επηρεάζουν τις υπηρεσίες υγείας επί τόπου. Συγκεκριμένα θέματα εντοπίστηκαν και α</w:t>
      </w:r>
      <w:r>
        <w:rPr>
          <w:rStyle w:val="tlid-translation"/>
          <w:lang w:val="el-GR"/>
        </w:rPr>
        <w:t>νασκοπήθηκαν και συμπεριελάμβαναν</w:t>
      </w:r>
      <w:r w:rsidRPr="00C47B26">
        <w:rPr>
          <w:rStyle w:val="tlid-translation"/>
          <w:lang w:val="el-GR"/>
        </w:rPr>
        <w:t xml:space="preserve"> τη φύση του συμβάντος, τα δημογραφικά στοιχεία των ασθενών που παρουσιάζονται στις υ</w:t>
      </w:r>
      <w:r>
        <w:rPr>
          <w:rStyle w:val="tlid-translation"/>
          <w:lang w:val="el-GR"/>
        </w:rPr>
        <w:t>πηρεσίες υγείας</w:t>
      </w:r>
      <w:r w:rsidRPr="00C47B26">
        <w:rPr>
          <w:rStyle w:val="tlid-translation"/>
          <w:lang w:val="el-GR"/>
        </w:rPr>
        <w:t>, την κατανάλωση οινοπνεύματος και ναρκωτικών και περιβαλλοντικούς παράγοντες όπως εσωτερικοί ή εξωτερικοί χώροι και θερμοκρασία και θερμοκρασία περιβάλλοντος.</w:t>
      </w:r>
      <w:r w:rsidRPr="00C47B26">
        <w:rPr>
          <w:lang w:val="el-GR"/>
        </w:rPr>
        <w:br/>
      </w:r>
      <w:r w:rsidRPr="00C47B26">
        <w:rPr>
          <w:rStyle w:val="tlid-translation"/>
          <w:lang w:val="el-GR"/>
        </w:rPr>
        <w:t xml:space="preserve">Οι συγγραφείς ανέφεραν ότι πολλά άρθρα έδειξαν ότι η θερμότητα και η αφυδάτωση τείνουν να συμβαδίζουν με </w:t>
      </w:r>
      <w:r>
        <w:rPr>
          <w:rStyle w:val="tlid-translation"/>
          <w:lang w:val="el-GR"/>
        </w:rPr>
        <w:t>τον αριθμό των ασθενών</w:t>
      </w:r>
      <w:r w:rsidRPr="00C47B26">
        <w:rPr>
          <w:rStyle w:val="tlid-translation"/>
          <w:lang w:val="el-GR"/>
        </w:rPr>
        <w:t xml:space="preserve"> που παρουσιάζονται σε υπηρεσίες υγείας σε μουσικά φεστιβάλ. Η ηλικία και το αλκοόλ συνδέονται με την </w:t>
      </w:r>
      <w:r>
        <w:rPr>
          <w:rStyle w:val="tlid-translation"/>
          <w:lang w:val="el-GR"/>
        </w:rPr>
        <w:t xml:space="preserve">συχνότητα </w:t>
      </w:r>
      <w:r w:rsidRPr="00C47B26">
        <w:rPr>
          <w:rStyle w:val="tlid-translation"/>
          <w:lang w:val="el-GR"/>
        </w:rPr>
        <w:t xml:space="preserve">των </w:t>
      </w:r>
      <w:r>
        <w:rPr>
          <w:rStyle w:val="tlid-translation"/>
          <w:lang w:val="el-GR"/>
        </w:rPr>
        <w:t xml:space="preserve">εξετάσεων </w:t>
      </w:r>
      <w:r w:rsidRPr="00C47B26">
        <w:rPr>
          <w:rStyle w:val="tlid-translation"/>
          <w:lang w:val="el-GR"/>
        </w:rPr>
        <w:t xml:space="preserve">των ασθενών. Αν το πλήθος </w:t>
      </w:r>
      <w:r>
        <w:rPr>
          <w:rStyle w:val="tlid-translation"/>
          <w:lang w:val="el-GR"/>
        </w:rPr>
        <w:t>που συμμετείχε είχε δημογραφικά νεότερη ηλικία, αν</w:t>
      </w:r>
      <w:r w:rsidRPr="00C47B26">
        <w:rPr>
          <w:rStyle w:val="tlid-translation"/>
          <w:lang w:val="el-GR"/>
        </w:rPr>
        <w:t xml:space="preserve"> ήταν σε εξωτερικούς χώρους και  σερβίρεται</w:t>
      </w:r>
      <w:r>
        <w:rPr>
          <w:rStyle w:val="tlid-translation"/>
          <w:lang w:val="el-GR"/>
        </w:rPr>
        <w:t xml:space="preserve"> αλκοόλ, ο αριθμός</w:t>
      </w:r>
      <w:r w:rsidRPr="00C47B26">
        <w:rPr>
          <w:rStyle w:val="tlid-translation"/>
          <w:lang w:val="el-GR"/>
        </w:rPr>
        <w:t xml:space="preserve"> ασ</w:t>
      </w:r>
      <w:r>
        <w:rPr>
          <w:rStyle w:val="tlid-translation"/>
          <w:lang w:val="el-GR"/>
        </w:rPr>
        <w:t>θενών φάνηκε να αυξάνε</w:t>
      </w:r>
      <w:r w:rsidRPr="00C47B26">
        <w:rPr>
          <w:rStyle w:val="tlid-translation"/>
          <w:lang w:val="el-GR"/>
        </w:rPr>
        <w:t xml:space="preserve">ται και να </w:t>
      </w:r>
      <w:r>
        <w:rPr>
          <w:rStyle w:val="tlid-translation"/>
          <w:lang w:val="el-GR"/>
        </w:rPr>
        <w:t xml:space="preserve">υπάρχει </w:t>
      </w:r>
      <w:r w:rsidRPr="00C47B26">
        <w:rPr>
          <w:rStyle w:val="tlid-translation"/>
          <w:lang w:val="el-GR"/>
        </w:rPr>
        <w:t>μεγαλύτερο</w:t>
      </w:r>
      <w:r>
        <w:rPr>
          <w:rStyle w:val="tlid-translation"/>
          <w:lang w:val="el-GR"/>
        </w:rPr>
        <w:t>ς</w:t>
      </w:r>
      <w:r w:rsidRPr="00C47B26">
        <w:rPr>
          <w:rStyle w:val="tlid-translation"/>
          <w:lang w:val="el-GR"/>
        </w:rPr>
        <w:t xml:space="preserve"> αριθμό</w:t>
      </w:r>
      <w:r>
        <w:rPr>
          <w:rStyle w:val="tlid-translation"/>
          <w:lang w:val="el-GR"/>
        </w:rPr>
        <w:t>ς</w:t>
      </w:r>
      <w:r w:rsidRPr="00C47B26">
        <w:rPr>
          <w:rStyle w:val="tlid-translation"/>
          <w:lang w:val="el-GR"/>
        </w:rPr>
        <w:t xml:space="preserve"> θεμάτων σχετικών με την ουσία. Το επίπεδο περίθαλψης που παρέχεται στις υπηρεσίες υγείας κατά τη διάρκεια της εκδήλωσης είχε άμεσο αντίκτυπο στην κοινότητα. Η ύπαρξη ενός συνδυασμού δεξιοτήτων επαγγελματιών υγείας υψηλότερης ποιότητας οδηγεί σε μείωση σχεδόν κατά 73% των ποσοστών μεταφοράς </w:t>
      </w:r>
      <w:r>
        <w:rPr>
          <w:rStyle w:val="tlid-translation"/>
          <w:lang w:val="el-GR"/>
        </w:rPr>
        <w:t xml:space="preserve">σε νοσοκομεία </w:t>
      </w:r>
      <w:r w:rsidRPr="00C47B26">
        <w:rPr>
          <w:rStyle w:val="tlid-translation"/>
          <w:lang w:val="el-GR"/>
        </w:rPr>
        <w:t xml:space="preserve">σε σύγκριση με τις </w:t>
      </w:r>
      <w:r>
        <w:rPr>
          <w:rStyle w:val="tlid-translation"/>
          <w:lang w:val="el-GR"/>
        </w:rPr>
        <w:t xml:space="preserve">απλές </w:t>
      </w:r>
      <w:r w:rsidRPr="00C47B26">
        <w:rPr>
          <w:rStyle w:val="tlid-translation"/>
          <w:lang w:val="el-GR"/>
        </w:rPr>
        <w:t xml:space="preserve">εθελοντικές υπηρεσίες </w:t>
      </w:r>
      <w:r>
        <w:rPr>
          <w:rStyle w:val="tlid-translation"/>
          <w:lang w:val="el-GR"/>
        </w:rPr>
        <w:t xml:space="preserve">πρώτων βοηθειών </w:t>
      </w:r>
      <w:r w:rsidRPr="00C47B26">
        <w:rPr>
          <w:rStyle w:val="tlid-translation"/>
          <w:lang w:val="el-GR"/>
        </w:rPr>
        <w:t>που πραγματοποιούνται επί τόπου.</w:t>
      </w:r>
      <w:r w:rsidRPr="00C47B26">
        <w:rPr>
          <w:lang w:val="el-GR"/>
        </w:rPr>
        <w:br/>
      </w:r>
      <w:r>
        <w:rPr>
          <w:rStyle w:val="tlid-translation"/>
          <w:lang w:val="el-GR"/>
        </w:rPr>
        <w:t>Οι εκδηλώσεις</w:t>
      </w:r>
      <w:r w:rsidRPr="00C47B26">
        <w:rPr>
          <w:rStyle w:val="tlid-translation"/>
          <w:lang w:val="el-GR"/>
        </w:rPr>
        <w:t xml:space="preserve"> που σχετίζονται με μουσική</w:t>
      </w:r>
      <w:r>
        <w:rPr>
          <w:rStyle w:val="tlid-translation"/>
          <w:lang w:val="el-GR"/>
        </w:rPr>
        <w:t xml:space="preserve"> ήταν τα πιο επηρεασμένες</w:t>
      </w:r>
      <w:r w:rsidRPr="00C47B26">
        <w:rPr>
          <w:rStyle w:val="tlid-translation"/>
          <w:lang w:val="el-GR"/>
        </w:rPr>
        <w:t xml:space="preserve"> από τη δηλητηρίαση με ουσίες ή / και οινοπνευματώδη, με υψηλά ποσοστά </w:t>
      </w:r>
      <w:r>
        <w:rPr>
          <w:rStyle w:val="tlid-translation"/>
          <w:lang w:val="el-GR"/>
        </w:rPr>
        <w:t xml:space="preserve">εξετάσεων ασθενών </w:t>
      </w:r>
      <w:r w:rsidRPr="00C47B26">
        <w:rPr>
          <w:rStyle w:val="tlid-translation"/>
          <w:lang w:val="el-GR"/>
        </w:rPr>
        <w:t xml:space="preserve">και διάρκεια παραμονής. Οι νέοι ενήλικες, ηλικίας μικρότερης των 25 ετών, διατρέχουν μεγαλύτερο κίνδυνο για θέματα σχετικά με την κατάχρηση ουσιών. Είναι ενδιαφέρον ότι οι συγγραφείς διαπίστωσαν επίσης ότι, όταν σημειώθηκε αύξηση των </w:t>
      </w:r>
      <w:r>
        <w:rPr>
          <w:rStyle w:val="tlid-translation"/>
          <w:lang w:val="el-GR"/>
        </w:rPr>
        <w:t>περιστατικών που σχετίζονται με ουσίες</w:t>
      </w:r>
      <w:r w:rsidRPr="00C47B26">
        <w:rPr>
          <w:rStyle w:val="tlid-translation"/>
          <w:lang w:val="el-GR"/>
        </w:rPr>
        <w:t>, η διάρκεια της παραμονής στην ιατρική εγκατάσταση αυξήθηκε (κατά μέσο όρο 90 λεπτά) ενώ παρατηρήθηκε μείωση στις μεταφορές σε νοσοκομείο (ενδεχομένως σχετιζόμενες με υψηλό επίπεδο ιατρικού προσωπικού) .</w:t>
      </w:r>
      <w:r w:rsidRPr="00C47B26">
        <w:rPr>
          <w:lang w:val="el-GR"/>
        </w:rPr>
        <w:br/>
      </w:r>
      <w:r w:rsidRPr="00C47B26">
        <w:rPr>
          <w:rStyle w:val="tlid-translation"/>
          <w:lang w:val="el-GR"/>
        </w:rPr>
        <w:t xml:space="preserve">Εκτός από την αναμενόμενη δημογραφία των αναμενόμενων παρευρισκομένων και την πρόσβασή τους στο αλκοόλ και τα ναρκωτικά, οι ιατροί </w:t>
      </w:r>
      <w:r>
        <w:rPr>
          <w:rStyle w:val="tlid-translation"/>
          <w:lang w:val="el-GR"/>
        </w:rPr>
        <w:t xml:space="preserve">που αναλαμβάνουν υγειονομική κάλυψη </w:t>
      </w:r>
      <w:r w:rsidRPr="00C47B26">
        <w:rPr>
          <w:rStyle w:val="tlid-translation"/>
          <w:lang w:val="el-GR"/>
        </w:rPr>
        <w:t xml:space="preserve">για εκδηλώσεις μαζικής συγκέντρωσης θα </w:t>
      </w:r>
      <w:r>
        <w:rPr>
          <w:rStyle w:val="tlid-translation"/>
          <w:lang w:val="el-GR"/>
        </w:rPr>
        <w:t>πρέπει να εξετάζ</w:t>
      </w:r>
      <w:r w:rsidRPr="00C47B26">
        <w:rPr>
          <w:rStyle w:val="tlid-translation"/>
          <w:lang w:val="el-GR"/>
        </w:rPr>
        <w:t xml:space="preserve">ουν </w:t>
      </w:r>
      <w:r>
        <w:rPr>
          <w:rStyle w:val="tlid-translation"/>
          <w:lang w:val="el-GR"/>
        </w:rPr>
        <w:t xml:space="preserve">και </w:t>
      </w:r>
      <w:r w:rsidRPr="00C47B26">
        <w:rPr>
          <w:rStyle w:val="tlid-translation"/>
          <w:lang w:val="el-GR"/>
        </w:rPr>
        <w:t xml:space="preserve">το επίπεδο της υγειονομικής περίθαλψης που </w:t>
      </w:r>
      <w:r>
        <w:rPr>
          <w:rStyle w:val="tlid-translation"/>
          <w:lang w:val="el-GR"/>
        </w:rPr>
        <w:t xml:space="preserve">μπορούν να αναπτύξουν </w:t>
      </w:r>
      <w:r w:rsidRPr="00C47B26">
        <w:rPr>
          <w:rStyle w:val="tlid-translation"/>
          <w:lang w:val="el-GR"/>
        </w:rPr>
        <w:t>στην εκδήλωση. Άλλοι παράγοντες που πρέπει να ληφθούν υπόψη περιλαμβάνουν τη θέση του γεγονότος, σε εσωτερικούς και εξωτερικούς χώρους, και τον αναμενόμενο καιρό κατά τη διάρκεια του γεγονότος.</w:t>
      </w:r>
    </w:p>
    <w:p w:rsidR="00EF2FF7" w:rsidRPr="00667C40" w:rsidRDefault="00EF2FF7">
      <w:pPr>
        <w:rPr>
          <w:rFonts w:ascii="Calibri" w:hAnsi="Calibri"/>
        </w:rPr>
      </w:pPr>
    </w:p>
    <w:p w:rsidR="00540133" w:rsidRPr="006471DB" w:rsidRDefault="00540133" w:rsidP="006471DB">
      <w:pPr>
        <w:pStyle w:val="a7"/>
        <w:numPr>
          <w:ilvl w:val="0"/>
          <w:numId w:val="6"/>
        </w:numPr>
        <w:rPr>
          <w:rStyle w:val="tlid-translation"/>
          <w:rFonts w:cstheme="minorHAnsi"/>
        </w:rPr>
      </w:pPr>
      <w:r w:rsidRPr="006471DB">
        <w:rPr>
          <w:rStyle w:val="tlid-translation"/>
          <w:rFonts w:cstheme="minorHAnsi"/>
          <w:b/>
        </w:rPr>
        <w:t xml:space="preserve"> Μια τυχαιοποιημένη μελέτη </w:t>
      </w:r>
      <w:r w:rsidR="006D4753" w:rsidRPr="006471DB">
        <w:rPr>
          <w:rStyle w:val="tlid-translation"/>
          <w:rFonts w:cstheme="minorHAnsi"/>
          <w:b/>
        </w:rPr>
        <w:t xml:space="preserve">της </w:t>
      </w:r>
      <w:proofErr w:type="spellStart"/>
      <w:r w:rsidR="006D4753" w:rsidRPr="006471DB">
        <w:rPr>
          <w:rStyle w:val="tlid-translation"/>
          <w:rFonts w:cstheme="minorHAnsi"/>
          <w:b/>
        </w:rPr>
        <w:t>επινεφρίνης</w:t>
      </w:r>
      <w:proofErr w:type="spellEnd"/>
      <w:r w:rsidR="006D4753" w:rsidRPr="006471DB">
        <w:rPr>
          <w:rStyle w:val="tlid-translation"/>
          <w:rFonts w:cstheme="minorHAnsi"/>
          <w:b/>
        </w:rPr>
        <w:t xml:space="preserve"> στην ε</w:t>
      </w:r>
      <w:r w:rsidRPr="006471DB">
        <w:rPr>
          <w:rStyle w:val="tlid-translation"/>
          <w:rFonts w:cstheme="minorHAnsi"/>
          <w:b/>
        </w:rPr>
        <w:t>κτός νοσοκομείου καρδιακή ανακοπή</w:t>
      </w:r>
    </w:p>
    <w:p w:rsidR="00EF2FF7" w:rsidRPr="006D4753" w:rsidRDefault="006D4753">
      <w:pPr>
        <w:pStyle w:val="-HTML"/>
        <w:shd w:val="clear" w:color="auto" w:fill="FFFFFF"/>
        <w:rPr>
          <w:rFonts w:asciiTheme="minorHAnsi" w:hAnsiTheme="minorHAnsi" w:cstheme="minorHAnsi"/>
          <w:sz w:val="22"/>
          <w:szCs w:val="22"/>
        </w:rPr>
      </w:pPr>
      <w:r w:rsidRPr="006471DB">
        <w:rPr>
          <w:rStyle w:val="tlid-translation"/>
          <w:rFonts w:asciiTheme="minorHAnsi" w:hAnsiTheme="minorHAnsi" w:cstheme="minorHAnsi"/>
          <w:b/>
        </w:rPr>
        <w:t xml:space="preserve">. </w:t>
      </w:r>
      <w:proofErr w:type="spellStart"/>
      <w:r w:rsidRPr="006471DB">
        <w:rPr>
          <w:rStyle w:val="tlid-translation"/>
          <w:rFonts w:asciiTheme="minorHAnsi" w:hAnsiTheme="minorHAnsi" w:cstheme="minorHAnsi"/>
          <w:b/>
        </w:rPr>
        <w:t>Perkins</w:t>
      </w:r>
      <w:proofErr w:type="spellEnd"/>
      <w:r w:rsidRPr="006471DB">
        <w:rPr>
          <w:rStyle w:val="tlid-translation"/>
          <w:rFonts w:asciiTheme="minorHAnsi" w:hAnsiTheme="minorHAnsi" w:cstheme="minorHAnsi"/>
          <w:b/>
        </w:rPr>
        <w:t xml:space="preserve">, G, </w:t>
      </w:r>
      <w:proofErr w:type="spellStart"/>
      <w:r w:rsidRPr="006471DB">
        <w:rPr>
          <w:rStyle w:val="tlid-translation"/>
          <w:rFonts w:asciiTheme="minorHAnsi" w:hAnsiTheme="minorHAnsi" w:cstheme="minorHAnsi"/>
          <w:b/>
        </w:rPr>
        <w:t>Ji</w:t>
      </w:r>
      <w:proofErr w:type="spellEnd"/>
      <w:r w:rsidRPr="006471DB">
        <w:rPr>
          <w:rStyle w:val="tlid-translation"/>
          <w:rFonts w:asciiTheme="minorHAnsi" w:hAnsiTheme="minorHAnsi" w:cstheme="minorHAnsi"/>
          <w:b/>
        </w:rPr>
        <w:t xml:space="preserve">, C, </w:t>
      </w:r>
      <w:proofErr w:type="spellStart"/>
      <w:r w:rsidRPr="006471DB">
        <w:rPr>
          <w:rStyle w:val="tlid-translation"/>
          <w:rFonts w:asciiTheme="minorHAnsi" w:hAnsiTheme="minorHAnsi" w:cstheme="minorHAnsi"/>
          <w:b/>
        </w:rPr>
        <w:t>Deakin</w:t>
      </w:r>
      <w:proofErr w:type="spellEnd"/>
      <w:r w:rsidRPr="006471DB">
        <w:rPr>
          <w:rStyle w:val="tlid-translation"/>
          <w:rFonts w:asciiTheme="minorHAnsi" w:hAnsiTheme="minorHAnsi" w:cstheme="minorHAnsi"/>
          <w:b/>
        </w:rPr>
        <w:t xml:space="preserve">, CD, </w:t>
      </w:r>
      <w:proofErr w:type="spellStart"/>
      <w:r w:rsidRPr="006471DB">
        <w:rPr>
          <w:rStyle w:val="tlid-translation"/>
          <w:rFonts w:asciiTheme="minorHAnsi" w:hAnsiTheme="minorHAnsi" w:cstheme="minorHAnsi"/>
          <w:b/>
        </w:rPr>
        <w:t>et</w:t>
      </w:r>
      <w:proofErr w:type="spellEnd"/>
      <w:r w:rsidRPr="006471DB">
        <w:rPr>
          <w:rStyle w:val="tlid-translation"/>
          <w:rFonts w:asciiTheme="minorHAnsi" w:hAnsiTheme="minorHAnsi" w:cstheme="minorHAnsi"/>
          <w:b/>
        </w:rPr>
        <w:t xml:space="preserve"> αϊ. NEJM 2018, 379: 711-721.</w:t>
      </w:r>
      <w:r w:rsidRPr="006471DB">
        <w:rPr>
          <w:rFonts w:asciiTheme="minorHAnsi" w:hAnsiTheme="minorHAnsi" w:cstheme="minorHAnsi"/>
          <w:b/>
        </w:rPr>
        <w:br/>
      </w:r>
      <w:r w:rsidRPr="006D4753">
        <w:rPr>
          <w:rFonts w:asciiTheme="minorHAnsi" w:hAnsiTheme="minorHAnsi" w:cstheme="minorHAnsi"/>
        </w:rPr>
        <w:br/>
      </w:r>
      <w:r w:rsidRPr="006D4753">
        <w:rPr>
          <w:rStyle w:val="tlid-translation"/>
          <w:rFonts w:asciiTheme="minorHAnsi" w:hAnsiTheme="minorHAnsi" w:cstheme="minorHAnsi"/>
        </w:rPr>
        <w:t xml:space="preserve">Προηγούμενες μελέτες έχουν προκαλέσει ανησυχίες σχετικά με τη χρήση </w:t>
      </w:r>
      <w:proofErr w:type="spellStart"/>
      <w:r w:rsidRPr="006D4753">
        <w:rPr>
          <w:rStyle w:val="tlid-translation"/>
          <w:rFonts w:asciiTheme="minorHAnsi" w:hAnsiTheme="minorHAnsi" w:cstheme="minorHAnsi"/>
        </w:rPr>
        <w:t>επινεφρίνης</w:t>
      </w:r>
      <w:proofErr w:type="spellEnd"/>
      <w:r w:rsidR="00540133">
        <w:rPr>
          <w:rStyle w:val="tlid-translation"/>
          <w:rFonts w:asciiTheme="minorHAnsi" w:hAnsiTheme="minorHAnsi" w:cstheme="minorHAnsi"/>
        </w:rPr>
        <w:t xml:space="preserve"> στην </w:t>
      </w:r>
      <w:r w:rsidRPr="006D4753">
        <w:rPr>
          <w:rStyle w:val="tlid-translation"/>
          <w:rFonts w:asciiTheme="minorHAnsi" w:hAnsiTheme="minorHAnsi" w:cstheme="minorHAnsi"/>
        </w:rPr>
        <w:t xml:space="preserve"> </w:t>
      </w:r>
      <w:proofErr w:type="spellStart"/>
      <w:r w:rsidRPr="006D4753">
        <w:rPr>
          <w:rStyle w:val="tlid-translation"/>
          <w:rFonts w:asciiTheme="minorHAnsi" w:hAnsiTheme="minorHAnsi" w:cstheme="minorHAnsi"/>
        </w:rPr>
        <w:t>εξω</w:t>
      </w:r>
      <w:proofErr w:type="spellEnd"/>
      <w:r w:rsidRPr="006D4753">
        <w:rPr>
          <w:rStyle w:val="tlid-translation"/>
          <w:rFonts w:asciiTheme="minorHAnsi" w:hAnsiTheme="minorHAnsi" w:cstheme="minorHAnsi"/>
        </w:rPr>
        <w:t xml:space="preserve">-νοσοκομειακή καρδιακή ανακοπή, και συγκεκριμένα ότι ενώ η </w:t>
      </w:r>
      <w:proofErr w:type="spellStart"/>
      <w:r w:rsidRPr="006D4753">
        <w:rPr>
          <w:rStyle w:val="tlid-translation"/>
          <w:rFonts w:asciiTheme="minorHAnsi" w:hAnsiTheme="minorHAnsi" w:cstheme="minorHAnsi"/>
        </w:rPr>
        <w:t>επινεφρίνη</w:t>
      </w:r>
      <w:proofErr w:type="spellEnd"/>
      <w:r w:rsidRPr="006D4753">
        <w:rPr>
          <w:rStyle w:val="tlid-translation"/>
          <w:rFonts w:asciiTheme="minorHAnsi" w:hAnsiTheme="minorHAnsi" w:cstheme="minorHAnsi"/>
        </w:rPr>
        <w:t xml:space="preserve"> μπορεί να οδηγήσει σε μεγαλύτερο ρυθμό επιστροφής </w:t>
      </w:r>
      <w:r w:rsidR="00540133">
        <w:rPr>
          <w:rStyle w:val="tlid-translation"/>
          <w:rFonts w:asciiTheme="minorHAnsi" w:hAnsiTheme="minorHAnsi" w:cstheme="minorHAnsi"/>
        </w:rPr>
        <w:t xml:space="preserve">αυτόματης </w:t>
      </w:r>
      <w:r w:rsidRPr="006D4753">
        <w:rPr>
          <w:rStyle w:val="tlid-translation"/>
          <w:rFonts w:asciiTheme="minorHAnsi" w:hAnsiTheme="minorHAnsi" w:cstheme="minorHAnsi"/>
        </w:rPr>
        <w:t xml:space="preserve">κυκλοφορίας, η συνολική επιβίωση δεν βελτιώνεται. </w:t>
      </w:r>
      <w:r w:rsidR="00540133">
        <w:rPr>
          <w:rStyle w:val="tlid-translation"/>
          <w:rFonts w:asciiTheme="minorHAnsi" w:hAnsiTheme="minorHAnsi" w:cstheme="minorHAnsi"/>
        </w:rPr>
        <w:t xml:space="preserve">Σαν </w:t>
      </w:r>
      <w:r w:rsidRPr="006D4753">
        <w:rPr>
          <w:rStyle w:val="tlid-translation"/>
          <w:rFonts w:asciiTheme="minorHAnsi" w:hAnsiTheme="minorHAnsi" w:cstheme="minorHAnsi"/>
        </w:rPr>
        <w:t xml:space="preserve">αποτέλεσμα, η Διεθνής Επιτροπή Συνδέσμου για την Αναζωογόνηση ζήτησε μια ελεγχόμενη με εικονικό φάρμακο δοκιμή προκειμένου να καθοριστεί εάν η χρήση της </w:t>
      </w:r>
      <w:proofErr w:type="spellStart"/>
      <w:r w:rsidRPr="006D4753">
        <w:rPr>
          <w:rStyle w:val="tlid-translation"/>
          <w:rFonts w:asciiTheme="minorHAnsi" w:hAnsiTheme="minorHAnsi" w:cstheme="minorHAnsi"/>
        </w:rPr>
        <w:t>επινεφρίνης</w:t>
      </w:r>
      <w:proofErr w:type="spellEnd"/>
      <w:r w:rsidRPr="006D4753">
        <w:rPr>
          <w:rStyle w:val="tlid-translation"/>
          <w:rFonts w:asciiTheme="minorHAnsi" w:hAnsiTheme="minorHAnsi" w:cstheme="minorHAnsi"/>
        </w:rPr>
        <w:t xml:space="preserve"> είναι ασφαλής και αποτελεσματική σε αυτούς τους ασθενείς.</w:t>
      </w:r>
      <w:r w:rsidRPr="006D4753">
        <w:rPr>
          <w:rFonts w:asciiTheme="minorHAnsi" w:hAnsiTheme="minorHAnsi" w:cstheme="minorHAnsi"/>
        </w:rPr>
        <w:br/>
      </w:r>
      <w:r w:rsidRPr="006D4753">
        <w:rPr>
          <w:rStyle w:val="tlid-translation"/>
          <w:rFonts w:asciiTheme="minorHAnsi" w:hAnsiTheme="minorHAnsi" w:cstheme="minorHAnsi"/>
        </w:rPr>
        <w:t xml:space="preserve">Μια τυχαιοποιημένη, διπλή-τυφλή </w:t>
      </w:r>
      <w:r w:rsidR="00540133">
        <w:rPr>
          <w:rStyle w:val="tlid-translation"/>
          <w:rFonts w:asciiTheme="minorHAnsi" w:hAnsiTheme="minorHAnsi" w:cstheme="minorHAnsi"/>
        </w:rPr>
        <w:t xml:space="preserve">μελέτη </w:t>
      </w:r>
      <w:r w:rsidRPr="006D4753">
        <w:rPr>
          <w:rStyle w:val="tlid-translation"/>
          <w:rFonts w:asciiTheme="minorHAnsi" w:hAnsiTheme="minorHAnsi" w:cstheme="minorHAnsi"/>
        </w:rPr>
        <w:t xml:space="preserve">που περιελάμβανε 8.014 ασθενείς με </w:t>
      </w:r>
      <w:proofErr w:type="spellStart"/>
      <w:r w:rsidRPr="006D4753">
        <w:rPr>
          <w:rStyle w:val="tlid-translation"/>
          <w:rFonts w:asciiTheme="minorHAnsi" w:hAnsiTheme="minorHAnsi" w:cstheme="minorHAnsi"/>
        </w:rPr>
        <w:t>εξω</w:t>
      </w:r>
      <w:proofErr w:type="spellEnd"/>
      <w:r w:rsidRPr="006D4753">
        <w:rPr>
          <w:rStyle w:val="tlid-translation"/>
          <w:rFonts w:asciiTheme="minorHAnsi" w:hAnsiTheme="minorHAnsi" w:cstheme="minorHAnsi"/>
        </w:rPr>
        <w:t xml:space="preserve">-νοσοκομειακή καρδιακή ανακοπή διεξήχθη στο Ηνωμένο Βασίλειο. Οι παραϊατρικοί </w:t>
      </w:r>
      <w:proofErr w:type="spellStart"/>
      <w:r w:rsidR="00540133">
        <w:rPr>
          <w:rStyle w:val="tlid-translation"/>
          <w:rFonts w:asciiTheme="minorHAnsi" w:hAnsiTheme="minorHAnsi" w:cstheme="minorHAnsi"/>
        </w:rPr>
        <w:t>διασώστες</w:t>
      </w:r>
      <w:proofErr w:type="spellEnd"/>
      <w:r w:rsidR="00540133">
        <w:rPr>
          <w:rStyle w:val="tlid-translation"/>
          <w:rFonts w:asciiTheme="minorHAnsi" w:hAnsiTheme="minorHAnsi" w:cstheme="minorHAnsi"/>
        </w:rPr>
        <w:t xml:space="preserve"> </w:t>
      </w:r>
      <w:r w:rsidRPr="006D4753">
        <w:rPr>
          <w:rStyle w:val="tlid-translation"/>
          <w:rFonts w:asciiTheme="minorHAnsi" w:hAnsiTheme="minorHAnsi" w:cstheme="minorHAnsi"/>
        </w:rPr>
        <w:t xml:space="preserve">από πέντε </w:t>
      </w:r>
      <w:r w:rsidR="00540133">
        <w:rPr>
          <w:rStyle w:val="tlid-translation"/>
          <w:rFonts w:asciiTheme="minorHAnsi" w:hAnsiTheme="minorHAnsi" w:cstheme="minorHAnsi"/>
        </w:rPr>
        <w:t xml:space="preserve">υπηρεσίες ασθενοφόρων χορήγησαν παρεντερικά </w:t>
      </w:r>
      <w:r w:rsidRPr="006D4753">
        <w:rPr>
          <w:rStyle w:val="tlid-translation"/>
          <w:rFonts w:asciiTheme="minorHAnsi" w:hAnsiTheme="minorHAnsi" w:cstheme="minorHAnsi"/>
        </w:rPr>
        <w:t xml:space="preserve"> </w:t>
      </w:r>
      <w:proofErr w:type="spellStart"/>
      <w:r w:rsidRPr="006D4753">
        <w:rPr>
          <w:rStyle w:val="tlid-translation"/>
          <w:rFonts w:asciiTheme="minorHAnsi" w:hAnsiTheme="minorHAnsi" w:cstheme="minorHAnsi"/>
        </w:rPr>
        <w:t>επινεφρίνη</w:t>
      </w:r>
      <w:proofErr w:type="spellEnd"/>
      <w:r w:rsidRPr="006D4753">
        <w:rPr>
          <w:rStyle w:val="tlid-translation"/>
          <w:rFonts w:asciiTheme="minorHAnsi" w:hAnsiTheme="minorHAnsi" w:cstheme="minorHAnsi"/>
        </w:rPr>
        <w:t xml:space="preserve"> (4.015 ασθενείς) ή αλατούχο εικονικό </w:t>
      </w:r>
      <w:r w:rsidRPr="006D4753">
        <w:rPr>
          <w:rStyle w:val="tlid-translation"/>
          <w:rFonts w:asciiTheme="minorHAnsi" w:hAnsiTheme="minorHAnsi" w:cstheme="minorHAnsi"/>
        </w:rPr>
        <w:lastRenderedPageBreak/>
        <w:t>φάρμακο (3.999 ασθενείς), μαζί με την πρότυπη περίθαλψη για καρδιακή ανακοπή. Η βασική μέτρηση αποτελέσμ</w:t>
      </w:r>
      <w:r w:rsidR="00540133">
        <w:rPr>
          <w:rStyle w:val="tlid-translation"/>
          <w:rFonts w:asciiTheme="minorHAnsi" w:hAnsiTheme="minorHAnsi" w:cstheme="minorHAnsi"/>
        </w:rPr>
        <w:t>ατος για τη μελέτη ήταν η επιβίωση</w:t>
      </w:r>
      <w:r w:rsidRPr="006D4753">
        <w:rPr>
          <w:rStyle w:val="tlid-translation"/>
          <w:rFonts w:asciiTheme="minorHAnsi" w:hAnsiTheme="minorHAnsi" w:cstheme="minorHAnsi"/>
        </w:rPr>
        <w:t xml:space="preserve"> των ασθενών στις 30 ημέρες. Μια δευτερεύουσα μέτρηση των αποτελεσμάτ</w:t>
      </w:r>
      <w:r w:rsidR="00540133">
        <w:rPr>
          <w:rStyle w:val="tlid-translation"/>
          <w:rFonts w:asciiTheme="minorHAnsi" w:hAnsiTheme="minorHAnsi" w:cstheme="minorHAnsi"/>
        </w:rPr>
        <w:t>ων βασίστηκε στην έξοδο από το νοσοκομείο</w:t>
      </w:r>
      <w:r w:rsidRPr="006D4753">
        <w:rPr>
          <w:rStyle w:val="tlid-translation"/>
          <w:rFonts w:asciiTheme="minorHAnsi" w:hAnsiTheme="minorHAnsi" w:cstheme="minorHAnsi"/>
        </w:rPr>
        <w:t xml:space="preserve"> με ευνοϊκό νευρολογικό αποτέλεσμα.</w:t>
      </w:r>
      <w:r w:rsidRPr="006D4753">
        <w:rPr>
          <w:rFonts w:asciiTheme="minorHAnsi" w:hAnsiTheme="minorHAnsi" w:cstheme="minorHAnsi"/>
        </w:rPr>
        <w:br/>
      </w:r>
      <w:r w:rsidRPr="006D4753">
        <w:rPr>
          <w:rStyle w:val="tlid-translation"/>
          <w:rFonts w:asciiTheme="minorHAnsi" w:hAnsiTheme="minorHAnsi" w:cstheme="minorHAnsi"/>
        </w:rPr>
        <w:t xml:space="preserve">Σε ασθενείς με </w:t>
      </w:r>
      <w:proofErr w:type="spellStart"/>
      <w:r w:rsidRPr="006D4753">
        <w:rPr>
          <w:rStyle w:val="tlid-translation"/>
          <w:rFonts w:asciiTheme="minorHAnsi" w:hAnsiTheme="minorHAnsi" w:cstheme="minorHAnsi"/>
        </w:rPr>
        <w:t>εξω</w:t>
      </w:r>
      <w:proofErr w:type="spellEnd"/>
      <w:r w:rsidRPr="006D4753">
        <w:rPr>
          <w:rStyle w:val="tlid-translation"/>
          <w:rFonts w:asciiTheme="minorHAnsi" w:hAnsiTheme="minorHAnsi" w:cstheme="minorHAnsi"/>
        </w:rPr>
        <w:t xml:space="preserve">-νοσοκομειακή καρδιακή ανακοπή, η χρήση </w:t>
      </w:r>
      <w:proofErr w:type="spellStart"/>
      <w:r w:rsidRPr="006D4753">
        <w:rPr>
          <w:rStyle w:val="tlid-translation"/>
          <w:rFonts w:asciiTheme="minorHAnsi" w:hAnsiTheme="minorHAnsi" w:cstheme="minorHAnsi"/>
        </w:rPr>
        <w:t>επινεφρίνης</w:t>
      </w:r>
      <w:proofErr w:type="spellEnd"/>
      <w:r w:rsidRPr="006D4753">
        <w:rPr>
          <w:rStyle w:val="tlid-translation"/>
          <w:rFonts w:asciiTheme="minorHAnsi" w:hAnsiTheme="minorHAnsi" w:cstheme="minorHAnsi"/>
        </w:rPr>
        <w:t xml:space="preserve"> οδήγησε σε στατιστικά σημαντικά υψηλότερο ποσοστό επιβίωσης 30 ημερών (130 ασθενείς / 3,2%) από τη χρήση εικονικού φαρμάκου (94 ασθενείς / 2,4%). Ωστόσο, δεν υπήρχε διαφορά μεταξύ των δύο ομάδων στην αναλογία των ασθενών που επιβίωσαν μέχρι την έξοδο από το νοσοκομείο με ευνοϊκό νευρολογικό αποτέλεσμα (</w:t>
      </w:r>
      <w:proofErr w:type="spellStart"/>
      <w:r w:rsidRPr="006D4753">
        <w:rPr>
          <w:rStyle w:val="tlid-translation"/>
          <w:rFonts w:asciiTheme="minorHAnsi" w:hAnsiTheme="minorHAnsi" w:cstheme="minorHAnsi"/>
        </w:rPr>
        <w:t>επινεφρίνη</w:t>
      </w:r>
      <w:proofErr w:type="spellEnd"/>
      <w:r w:rsidRPr="006D4753">
        <w:rPr>
          <w:rStyle w:val="tlid-translation"/>
          <w:rFonts w:asciiTheme="minorHAnsi" w:hAnsiTheme="minorHAnsi" w:cstheme="minorHAnsi"/>
        </w:rPr>
        <w:t xml:space="preserve"> - 87 από 4007 ασθενείς / 2,2%, εικονικό φάρμακο - 74 από 3994 ασθενείς / 1,9%). Σημειωτέον ότι η σοβαρή νευρολογική βλάβη ήταν πιο συχνή στους επιζήσαντες στην ομάδα της </w:t>
      </w:r>
      <w:proofErr w:type="spellStart"/>
      <w:r w:rsidRPr="006D4753">
        <w:rPr>
          <w:rStyle w:val="tlid-translation"/>
          <w:rFonts w:asciiTheme="minorHAnsi" w:hAnsiTheme="minorHAnsi" w:cstheme="minorHAnsi"/>
        </w:rPr>
        <w:t>επινεφρίνης</w:t>
      </w:r>
      <w:proofErr w:type="spellEnd"/>
      <w:r w:rsidRPr="006D4753">
        <w:rPr>
          <w:rStyle w:val="tlid-translation"/>
          <w:rFonts w:asciiTheme="minorHAnsi" w:hAnsiTheme="minorHAnsi" w:cstheme="minorHAnsi"/>
        </w:rPr>
        <w:t xml:space="preserve"> σε σχέση με την ομάδα του εικονικού φαρμάκου (ομάδα </w:t>
      </w:r>
      <w:proofErr w:type="spellStart"/>
      <w:r w:rsidRPr="006D4753">
        <w:rPr>
          <w:rStyle w:val="tlid-translation"/>
          <w:rFonts w:asciiTheme="minorHAnsi" w:hAnsiTheme="minorHAnsi" w:cstheme="minorHAnsi"/>
        </w:rPr>
        <w:t>επινεφρίνης</w:t>
      </w:r>
      <w:proofErr w:type="spellEnd"/>
      <w:r w:rsidRPr="006D4753">
        <w:rPr>
          <w:rStyle w:val="tlid-translation"/>
          <w:rFonts w:asciiTheme="minorHAnsi" w:hAnsiTheme="minorHAnsi" w:cstheme="minorHAnsi"/>
        </w:rPr>
        <w:t xml:space="preserve"> - 39 από 126 ασθενείς / 31,0%, ομάδα εικονικού φαρμάκου - 16 από 90 ασθενείς / 17,8%).</w:t>
      </w:r>
      <w:r w:rsidRPr="006D4753">
        <w:rPr>
          <w:rFonts w:asciiTheme="minorHAnsi" w:hAnsiTheme="minorHAnsi" w:cstheme="minorHAnsi"/>
        </w:rPr>
        <w:br/>
      </w:r>
      <w:r w:rsidRPr="006D4753">
        <w:rPr>
          <w:rStyle w:val="tlid-translation"/>
          <w:rFonts w:asciiTheme="minorHAnsi" w:hAnsiTheme="minorHAnsi" w:cstheme="minorHAnsi"/>
        </w:rPr>
        <w:t xml:space="preserve">Κάποιοι περιορισμοί προσδιορίστηκαν στη μελέτη. Η νευρολογική κατάσταση του ασθενούς πριν από την καρδιακή ανακοπή δεν καταγράφηκε, αν και μάλλον οι δύο ομάδες ήταν αρκετά μεγάλες ώστε να έχουν παρόμοια δημογραφικά στοιχεία. Το πρωτόκολλο μελέτης ζητούσε δοσολογίες 1 </w:t>
      </w:r>
      <w:proofErr w:type="spellStart"/>
      <w:r w:rsidRPr="006D4753">
        <w:rPr>
          <w:rStyle w:val="tlid-translation"/>
          <w:rFonts w:asciiTheme="minorHAnsi" w:hAnsiTheme="minorHAnsi" w:cstheme="minorHAnsi"/>
        </w:rPr>
        <w:t>mg</w:t>
      </w:r>
      <w:proofErr w:type="spellEnd"/>
      <w:r w:rsidRPr="006D4753">
        <w:rPr>
          <w:rStyle w:val="tlid-translation"/>
          <w:rFonts w:asciiTheme="minorHAnsi" w:hAnsiTheme="minorHAnsi" w:cstheme="minorHAnsi"/>
        </w:rPr>
        <w:t xml:space="preserve"> ενδοφλέβιας δόσης </w:t>
      </w:r>
      <w:proofErr w:type="spellStart"/>
      <w:r w:rsidRPr="006D4753">
        <w:rPr>
          <w:rStyle w:val="tlid-translation"/>
          <w:rFonts w:asciiTheme="minorHAnsi" w:hAnsiTheme="minorHAnsi" w:cstheme="minorHAnsi"/>
        </w:rPr>
        <w:t>επινεφρίνης</w:t>
      </w:r>
      <w:proofErr w:type="spellEnd"/>
      <w:r w:rsidRPr="006D4753">
        <w:rPr>
          <w:rStyle w:val="tlid-translation"/>
          <w:rFonts w:asciiTheme="minorHAnsi" w:hAnsiTheme="minorHAnsi" w:cstheme="minorHAnsi"/>
        </w:rPr>
        <w:t>. Δεν μελετήθηκαν επιπλέον δοσολογίες ή οδοί χορήγησης.</w:t>
      </w:r>
      <w:r w:rsidRPr="006D4753">
        <w:rPr>
          <w:rFonts w:asciiTheme="minorHAnsi" w:hAnsiTheme="minorHAnsi" w:cstheme="minorHAnsi"/>
        </w:rPr>
        <w:br/>
      </w:r>
      <w:r w:rsidRPr="006D4753">
        <w:rPr>
          <w:rStyle w:val="tlid-translation"/>
          <w:rFonts w:asciiTheme="minorHAnsi" w:hAnsiTheme="minorHAnsi" w:cstheme="minorHAnsi"/>
        </w:rPr>
        <w:t xml:space="preserve">Ενώ η </w:t>
      </w:r>
      <w:proofErr w:type="spellStart"/>
      <w:r w:rsidRPr="006D4753">
        <w:rPr>
          <w:rStyle w:val="tlid-translation"/>
          <w:rFonts w:asciiTheme="minorHAnsi" w:hAnsiTheme="minorHAnsi" w:cstheme="minorHAnsi"/>
        </w:rPr>
        <w:t>επινεφρίνη</w:t>
      </w:r>
      <w:proofErr w:type="spellEnd"/>
      <w:r w:rsidRPr="006D4753">
        <w:rPr>
          <w:rStyle w:val="tlid-translation"/>
          <w:rFonts w:asciiTheme="minorHAnsi" w:hAnsiTheme="minorHAnsi" w:cstheme="minorHAnsi"/>
        </w:rPr>
        <w:t xml:space="preserve"> συνεχίζει να διατηρεί την </w:t>
      </w:r>
      <w:r w:rsidR="00540133">
        <w:rPr>
          <w:rStyle w:val="tlid-translation"/>
          <w:rFonts w:asciiTheme="minorHAnsi" w:hAnsiTheme="minorHAnsi" w:cstheme="minorHAnsi"/>
        </w:rPr>
        <w:t xml:space="preserve">θέση </w:t>
      </w:r>
      <w:r w:rsidRPr="006D4753">
        <w:rPr>
          <w:rStyle w:val="tlid-translation"/>
          <w:rFonts w:asciiTheme="minorHAnsi" w:hAnsiTheme="minorHAnsi" w:cstheme="minorHAnsi"/>
        </w:rPr>
        <w:t xml:space="preserve">της ως θεραπευτική παρέμβαση για μη τραυματική καρδιακή ανακοπή, η μελέτη αυτή </w:t>
      </w:r>
      <w:r w:rsidR="00540133">
        <w:rPr>
          <w:rStyle w:val="tlid-translation"/>
          <w:rFonts w:asciiTheme="minorHAnsi" w:hAnsiTheme="minorHAnsi" w:cstheme="minorHAnsi"/>
        </w:rPr>
        <w:t xml:space="preserve">προστίθεται </w:t>
      </w:r>
      <w:r w:rsidRPr="006D4753">
        <w:rPr>
          <w:rStyle w:val="tlid-translation"/>
          <w:rFonts w:asciiTheme="minorHAnsi" w:hAnsiTheme="minorHAnsi" w:cstheme="minorHAnsi"/>
        </w:rPr>
        <w:t xml:space="preserve">στο αυξανόμενο σύνολο στοιχείων που υποδηλώνουν ότι όταν χορηγείται </w:t>
      </w:r>
      <w:r w:rsidR="00540133">
        <w:rPr>
          <w:rStyle w:val="tlid-translation"/>
          <w:rFonts w:asciiTheme="minorHAnsi" w:hAnsiTheme="minorHAnsi" w:cstheme="minorHAnsi"/>
        </w:rPr>
        <w:t xml:space="preserve">η </w:t>
      </w:r>
      <w:proofErr w:type="spellStart"/>
      <w:r w:rsidR="00540133">
        <w:rPr>
          <w:rStyle w:val="tlid-translation"/>
          <w:rFonts w:asciiTheme="minorHAnsi" w:hAnsiTheme="minorHAnsi" w:cstheme="minorHAnsi"/>
        </w:rPr>
        <w:t>επινεφρίνη</w:t>
      </w:r>
      <w:proofErr w:type="spellEnd"/>
      <w:r w:rsidR="00540133">
        <w:rPr>
          <w:rStyle w:val="tlid-translation"/>
          <w:rFonts w:asciiTheme="minorHAnsi" w:hAnsiTheme="minorHAnsi" w:cstheme="minorHAnsi"/>
        </w:rPr>
        <w:t xml:space="preserve"> </w:t>
      </w:r>
      <w:r w:rsidRPr="006D4753">
        <w:rPr>
          <w:rStyle w:val="tlid-translation"/>
          <w:rFonts w:asciiTheme="minorHAnsi" w:hAnsiTheme="minorHAnsi" w:cstheme="minorHAnsi"/>
        </w:rPr>
        <w:t xml:space="preserve">σε θύματα καρδιακής ανακοπής, η μακροχρόνια επιβίωση με ευνοϊκό νευρολογικό αποτέλεσμα δεν βελτιώνεται αν και η επιβίωση 30 ημερών είναι καλύτερη). Ενώ ο ακριβής μηχανισμός για αυτή τη διαφορά δεν είναι ξεκάθαρος, μπορεί να οφείλεται στη </w:t>
      </w:r>
      <w:r w:rsidR="00540133">
        <w:rPr>
          <w:rStyle w:val="tlid-translation"/>
          <w:rFonts w:asciiTheme="minorHAnsi" w:hAnsiTheme="minorHAnsi" w:cstheme="minorHAnsi"/>
        </w:rPr>
        <w:t xml:space="preserve">σύσπαση </w:t>
      </w:r>
      <w:r w:rsidRPr="006D4753">
        <w:rPr>
          <w:rStyle w:val="tlid-translation"/>
          <w:rFonts w:asciiTheme="minorHAnsi" w:hAnsiTheme="minorHAnsi" w:cstheme="minorHAnsi"/>
        </w:rPr>
        <w:t xml:space="preserve">της </w:t>
      </w:r>
      <w:proofErr w:type="spellStart"/>
      <w:r w:rsidRPr="006D4753">
        <w:rPr>
          <w:rStyle w:val="tlid-translation"/>
          <w:rFonts w:asciiTheme="minorHAnsi" w:hAnsiTheme="minorHAnsi" w:cstheme="minorHAnsi"/>
        </w:rPr>
        <w:t>μικροκυκλοφορίας</w:t>
      </w:r>
      <w:proofErr w:type="spellEnd"/>
      <w:r w:rsidRPr="006D4753">
        <w:rPr>
          <w:rStyle w:val="tlid-translation"/>
          <w:rFonts w:asciiTheme="minorHAnsi" w:hAnsiTheme="minorHAnsi" w:cstheme="minorHAnsi"/>
        </w:rPr>
        <w:t xml:space="preserve"> στον εγκέφαλο που σχετίζεται με την </w:t>
      </w:r>
      <w:proofErr w:type="spellStart"/>
      <w:r w:rsidRPr="006D4753">
        <w:rPr>
          <w:rStyle w:val="tlid-translation"/>
          <w:rFonts w:asciiTheme="minorHAnsi" w:hAnsiTheme="minorHAnsi" w:cstheme="minorHAnsi"/>
        </w:rPr>
        <w:t>επινεφρίνη</w:t>
      </w:r>
      <w:proofErr w:type="spellEnd"/>
      <w:r w:rsidRPr="006D4753">
        <w:rPr>
          <w:rStyle w:val="tlid-translation"/>
          <w:rFonts w:asciiTheme="minorHAnsi" w:hAnsiTheme="minorHAnsi" w:cstheme="minorHAnsi"/>
        </w:rPr>
        <w:t xml:space="preserve">, μειώνοντας έτσι τη ροή του αίματος. Καθώς διεξάγονται επιπρόσθετες μελέτες και υπάρχουν περισσότερες ενδείξεις σχετικά με την επίδραση της </w:t>
      </w:r>
      <w:proofErr w:type="spellStart"/>
      <w:r w:rsidRPr="006D4753">
        <w:rPr>
          <w:rStyle w:val="tlid-translation"/>
          <w:rFonts w:asciiTheme="minorHAnsi" w:hAnsiTheme="minorHAnsi" w:cstheme="minorHAnsi"/>
        </w:rPr>
        <w:t>επινεφρίνης</w:t>
      </w:r>
      <w:proofErr w:type="spellEnd"/>
      <w:r w:rsidRPr="006D4753">
        <w:rPr>
          <w:rStyle w:val="tlid-translation"/>
          <w:rFonts w:asciiTheme="minorHAnsi" w:hAnsiTheme="minorHAnsi" w:cstheme="minorHAnsi"/>
        </w:rPr>
        <w:t>, μπορεί να τροποποιηθεί η χρήση της για καρδιακή ανακοπή</w:t>
      </w:r>
    </w:p>
    <w:sectPr w:rsidR="00EF2FF7" w:rsidRPr="006D4753" w:rsidSect="00EF2FF7">
      <w:pgSz w:w="11906" w:h="16838"/>
      <w:pgMar w:top="1440" w:right="1800" w:bottom="1440" w:left="180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Liberation Mono">
    <w:altName w:val="Courier New"/>
    <w:charset w:val="A1"/>
    <w:family w:val="modern"/>
    <w:pitch w:val="fixed"/>
    <w:sig w:usb0="00000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62C4E"/>
    <w:multiLevelType w:val="hybridMultilevel"/>
    <w:tmpl w:val="F4E20414"/>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A2CD9"/>
    <w:multiLevelType w:val="multilevel"/>
    <w:tmpl w:val="92289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A8A4560"/>
    <w:multiLevelType w:val="multilevel"/>
    <w:tmpl w:val="7494E6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4D627B43"/>
    <w:multiLevelType w:val="multilevel"/>
    <w:tmpl w:val="BE4C064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F6E24A6"/>
    <w:multiLevelType w:val="hybridMultilevel"/>
    <w:tmpl w:val="9216E3BC"/>
    <w:lvl w:ilvl="0" w:tplc="7D9E92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AD04764"/>
    <w:multiLevelType w:val="hybridMultilevel"/>
    <w:tmpl w:val="687A77BC"/>
    <w:lvl w:ilvl="0" w:tplc="6A3C1344">
      <w:start w:val="4"/>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EF2FF7"/>
    <w:rsid w:val="002D6116"/>
    <w:rsid w:val="003649E9"/>
    <w:rsid w:val="00540133"/>
    <w:rsid w:val="0063747F"/>
    <w:rsid w:val="006471DB"/>
    <w:rsid w:val="00667C40"/>
    <w:rsid w:val="006D4753"/>
    <w:rsid w:val="008D36FF"/>
    <w:rsid w:val="00EF2FF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93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EF2FF7"/>
    <w:rPr>
      <w:b/>
    </w:rPr>
  </w:style>
  <w:style w:type="paragraph" w:customStyle="1" w:styleId="a3">
    <w:name w:val="Επικεφαλίδα"/>
    <w:basedOn w:val="a"/>
    <w:next w:val="a4"/>
    <w:qFormat/>
    <w:rsid w:val="00EF2FF7"/>
    <w:pPr>
      <w:keepNext/>
      <w:spacing w:before="240" w:after="120"/>
    </w:pPr>
    <w:rPr>
      <w:rFonts w:ascii="Liberation Sans" w:eastAsia="Microsoft YaHei" w:hAnsi="Liberation Sans" w:cs="Arial"/>
      <w:sz w:val="28"/>
      <w:szCs w:val="28"/>
    </w:rPr>
  </w:style>
  <w:style w:type="paragraph" w:styleId="a4">
    <w:name w:val="Body Text"/>
    <w:basedOn w:val="a"/>
    <w:rsid w:val="00EF2FF7"/>
    <w:pPr>
      <w:spacing w:after="140"/>
    </w:pPr>
  </w:style>
  <w:style w:type="paragraph" w:styleId="a5">
    <w:name w:val="List"/>
    <w:basedOn w:val="a4"/>
    <w:rsid w:val="00EF2FF7"/>
    <w:rPr>
      <w:rFonts w:cs="Arial"/>
    </w:rPr>
  </w:style>
  <w:style w:type="paragraph" w:customStyle="1" w:styleId="Caption">
    <w:name w:val="Caption"/>
    <w:basedOn w:val="a"/>
    <w:qFormat/>
    <w:rsid w:val="00EF2FF7"/>
    <w:pPr>
      <w:suppressLineNumbers/>
      <w:spacing w:before="120" w:after="120"/>
    </w:pPr>
    <w:rPr>
      <w:rFonts w:cs="Arial"/>
      <w:i/>
      <w:iCs/>
      <w:sz w:val="24"/>
      <w:szCs w:val="24"/>
    </w:rPr>
  </w:style>
  <w:style w:type="paragraph" w:customStyle="1" w:styleId="a6">
    <w:name w:val="Ευρετήριο"/>
    <w:basedOn w:val="a"/>
    <w:qFormat/>
    <w:rsid w:val="00EF2FF7"/>
    <w:pPr>
      <w:suppressLineNumbers/>
    </w:pPr>
    <w:rPr>
      <w:rFonts w:cs="Arial"/>
    </w:rPr>
  </w:style>
  <w:style w:type="paragraph" w:styleId="a7">
    <w:name w:val="List Paragraph"/>
    <w:basedOn w:val="a"/>
    <w:uiPriority w:val="34"/>
    <w:qFormat/>
    <w:rsid w:val="002E3F16"/>
    <w:pPr>
      <w:ind w:left="720"/>
      <w:contextualSpacing/>
    </w:pPr>
  </w:style>
  <w:style w:type="paragraph" w:styleId="-HTML">
    <w:name w:val="HTML Preformatted"/>
    <w:basedOn w:val="a"/>
    <w:qFormat/>
    <w:rsid w:val="00EF2F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a8">
    <w:name w:val="Προμορφοποιημένο κείμενο"/>
    <w:basedOn w:val="a"/>
    <w:qFormat/>
    <w:rsid w:val="00EF2FF7"/>
    <w:pPr>
      <w:spacing w:after="0"/>
    </w:pPr>
    <w:rPr>
      <w:rFonts w:ascii="Liberation Mono" w:eastAsia="Liberation Mono" w:hAnsi="Liberation Mono" w:cs="Liberation Mono"/>
      <w:sz w:val="20"/>
      <w:szCs w:val="20"/>
    </w:rPr>
  </w:style>
  <w:style w:type="paragraph" w:styleId="a9">
    <w:name w:val="Balloon Text"/>
    <w:basedOn w:val="a"/>
    <w:link w:val="Char"/>
    <w:uiPriority w:val="99"/>
    <w:semiHidden/>
    <w:unhideWhenUsed/>
    <w:rsid w:val="0063747F"/>
    <w:pPr>
      <w:spacing w:after="0" w:line="240" w:lineRule="auto"/>
    </w:pPr>
    <w:rPr>
      <w:rFonts w:ascii="Tahoma" w:hAnsi="Tahoma" w:cs="Tahoma"/>
      <w:sz w:val="16"/>
      <w:szCs w:val="16"/>
    </w:rPr>
  </w:style>
  <w:style w:type="character" w:customStyle="1" w:styleId="Char">
    <w:name w:val="Κείμενο πλαισίου Char"/>
    <w:basedOn w:val="a0"/>
    <w:link w:val="a9"/>
    <w:uiPriority w:val="99"/>
    <w:semiHidden/>
    <w:rsid w:val="0063747F"/>
    <w:rPr>
      <w:rFonts w:ascii="Tahoma" w:hAnsi="Tahoma" w:cs="Tahoma"/>
      <w:sz w:val="16"/>
      <w:szCs w:val="16"/>
    </w:rPr>
  </w:style>
  <w:style w:type="paragraph" w:styleId="aa">
    <w:name w:val="No Spacing"/>
    <w:uiPriority w:val="1"/>
    <w:qFormat/>
    <w:rsid w:val="003649E9"/>
    <w:rPr>
      <w:rFonts w:eastAsiaTheme="minorHAnsi"/>
      <w:lang w:val="en-US" w:eastAsia="en-US"/>
    </w:rPr>
  </w:style>
  <w:style w:type="character" w:customStyle="1" w:styleId="tlid-translation">
    <w:name w:val="tlid-translation"/>
    <w:basedOn w:val="a0"/>
    <w:rsid w:val="003649E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2447</Words>
  <Characters>13215</Characters>
  <Application>Microsoft Office Word</Application>
  <DocSecurity>0</DocSecurity>
  <Lines>110</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Manolis</cp:lastModifiedBy>
  <cp:revision>7</cp:revision>
  <dcterms:created xsi:type="dcterms:W3CDTF">2019-05-30T15:58:00Z</dcterms:created>
  <dcterms:modified xsi:type="dcterms:W3CDTF">2019-05-31T09:17:00Z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