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7074" w14:textId="77777777" w:rsidR="00D27263" w:rsidRDefault="00C627AA" w:rsidP="00D27263">
      <w:pPr>
        <w:rPr>
          <w:sz w:val="48"/>
        </w:rPr>
      </w:pPr>
      <w:r>
        <w:rPr>
          <w:b/>
          <w:noProof/>
        </w:rPr>
        <w:drawing>
          <wp:inline distT="0" distB="0" distL="0" distR="0" wp14:anchorId="7DAEC0B0" wp14:editId="3423138E">
            <wp:extent cx="956945" cy="9569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pic:spPr>
                </pic:pic>
              </a:graphicData>
            </a:graphic>
          </wp:inline>
        </w:drawing>
      </w:r>
      <w:r w:rsidR="00D27263">
        <w:rPr>
          <w:b/>
        </w:rPr>
        <w:t xml:space="preserve">        </w:t>
      </w:r>
      <w:r w:rsidR="00D27263">
        <w:rPr>
          <w:sz w:val="40"/>
        </w:rPr>
        <w:t xml:space="preserve">IPHMI </w:t>
      </w:r>
      <w:r w:rsidR="00D27263" w:rsidRPr="00323738">
        <w:rPr>
          <w:sz w:val="40"/>
        </w:rPr>
        <w:t xml:space="preserve">Literature Review   </w:t>
      </w:r>
      <w:r w:rsidR="00D27263">
        <w:rPr>
          <w:b/>
          <w:noProof/>
        </w:rPr>
        <w:drawing>
          <wp:inline distT="0" distB="0" distL="0" distR="0" wp14:anchorId="40B1EC8D" wp14:editId="04CCBF62">
            <wp:extent cx="1402080" cy="881243"/>
            <wp:effectExtent l="19050" t="19050" r="26670"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rnlCoversS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3989" cy="901298"/>
                    </a:xfrm>
                    <a:prstGeom prst="rect">
                      <a:avLst/>
                    </a:prstGeom>
                    <a:ln w="25400">
                      <a:solidFill>
                        <a:schemeClr val="tx1"/>
                      </a:solidFill>
                    </a:ln>
                  </pic:spPr>
                </pic:pic>
              </a:graphicData>
            </a:graphic>
          </wp:inline>
        </w:drawing>
      </w:r>
    </w:p>
    <w:p w14:paraId="58BCD5BA" w14:textId="2AF7040E" w:rsidR="00D27263" w:rsidRPr="00323738" w:rsidRDefault="00D27263" w:rsidP="00D27263">
      <w:pPr>
        <w:jc w:val="center"/>
        <w:rPr>
          <w:sz w:val="28"/>
          <w:szCs w:val="28"/>
        </w:rPr>
      </w:pPr>
      <w:r>
        <w:rPr>
          <w:sz w:val="28"/>
          <w:szCs w:val="28"/>
        </w:rPr>
        <w:t xml:space="preserve">Keeping You Up </w:t>
      </w:r>
      <w:r w:rsidR="001F470D">
        <w:rPr>
          <w:sz w:val="28"/>
          <w:szCs w:val="28"/>
        </w:rPr>
        <w:t>to</w:t>
      </w:r>
      <w:r>
        <w:rPr>
          <w:sz w:val="28"/>
          <w:szCs w:val="28"/>
        </w:rPr>
        <w:t xml:space="preserve"> Date with Current EMS Literature and Studies</w:t>
      </w:r>
    </w:p>
    <w:p w14:paraId="5F601443" w14:textId="6FF2CB3C" w:rsidR="00D27263" w:rsidRDefault="00332A7D" w:rsidP="00332A7D">
      <w:pPr>
        <w:ind w:left="2160" w:firstLine="720"/>
        <w:rPr>
          <w:sz w:val="40"/>
          <w:szCs w:val="40"/>
        </w:rPr>
      </w:pPr>
      <w:r>
        <w:rPr>
          <w:sz w:val="40"/>
          <w:szCs w:val="40"/>
        </w:rPr>
        <w:t xml:space="preserve">    </w:t>
      </w:r>
      <w:r w:rsidR="00046471" w:rsidRPr="00193BAE">
        <w:rPr>
          <w:sz w:val="40"/>
          <w:szCs w:val="40"/>
        </w:rPr>
        <w:t>V</w:t>
      </w:r>
      <w:r w:rsidR="00E06170" w:rsidRPr="00193BAE">
        <w:rPr>
          <w:sz w:val="40"/>
          <w:szCs w:val="40"/>
        </w:rPr>
        <w:t>ol</w:t>
      </w:r>
      <w:r w:rsidR="00046471" w:rsidRPr="00193BAE">
        <w:rPr>
          <w:sz w:val="40"/>
          <w:szCs w:val="40"/>
        </w:rPr>
        <w:t xml:space="preserve">. </w:t>
      </w:r>
      <w:r w:rsidR="00BE1F02">
        <w:rPr>
          <w:sz w:val="40"/>
          <w:szCs w:val="40"/>
        </w:rPr>
        <w:t>8</w:t>
      </w:r>
      <w:r w:rsidR="00E35014">
        <w:rPr>
          <w:sz w:val="40"/>
          <w:szCs w:val="40"/>
        </w:rPr>
        <w:t>.</w:t>
      </w:r>
      <w:r w:rsidR="00687147">
        <w:rPr>
          <w:sz w:val="40"/>
          <w:szCs w:val="40"/>
        </w:rPr>
        <w:t>1</w:t>
      </w:r>
      <w:r w:rsidR="00CE7AAE">
        <w:rPr>
          <w:sz w:val="40"/>
          <w:szCs w:val="40"/>
        </w:rPr>
        <w:t>1</w:t>
      </w:r>
    </w:p>
    <w:p w14:paraId="0DE2D581" w14:textId="77777777" w:rsidR="00692F42" w:rsidRPr="00CD6CCC" w:rsidRDefault="00692F42" w:rsidP="00CD6CCC">
      <w:pPr>
        <w:ind w:firstLine="0"/>
        <w:rPr>
          <w:rFonts w:cstheme="minorHAnsi"/>
        </w:rPr>
      </w:pPr>
      <w:bookmarkStart w:id="0" w:name="_Hlk94267765"/>
      <w:bookmarkStart w:id="1" w:name="_Hlk99358131"/>
      <w:bookmarkStart w:id="2" w:name="_Hlk91327920"/>
    </w:p>
    <w:p w14:paraId="342CE0BC" w14:textId="5F992E88" w:rsidR="007D1A55" w:rsidRPr="00212F3C" w:rsidRDefault="00212F3C" w:rsidP="007D1A55">
      <w:pPr>
        <w:pStyle w:val="ListParagraph"/>
        <w:numPr>
          <w:ilvl w:val="0"/>
          <w:numId w:val="1"/>
        </w:numPr>
        <w:autoSpaceDE w:val="0"/>
        <w:autoSpaceDN w:val="0"/>
        <w:adjustRightInd w:val="0"/>
        <w:spacing w:before="100" w:beforeAutospacing="1" w:after="100" w:afterAutospacing="1"/>
        <w:rPr>
          <w:rFonts w:ascii="Calibri" w:hAnsi="Calibri" w:cs="Calibri"/>
          <w:lang w:val="es-ES"/>
        </w:rPr>
      </w:pPr>
      <w:bookmarkStart w:id="3" w:name="_Hlk104805474"/>
      <w:bookmarkStart w:id="4" w:name="_Hlk109814945"/>
      <w:bookmarkStart w:id="5" w:name="_Hlk91665549"/>
      <w:bookmarkStart w:id="6" w:name="_Hlk101786252"/>
      <w:bookmarkStart w:id="7" w:name="_Hlk188787144"/>
      <w:bookmarkStart w:id="8" w:name="_Hlk203820641"/>
      <w:bookmarkStart w:id="9" w:name="_Hlk209350553"/>
      <w:bookmarkStart w:id="10" w:name="_Hlk220156538"/>
      <w:bookmarkStart w:id="11" w:name="_Hlk217123478"/>
      <w:bookmarkEnd w:id="0"/>
      <w:bookmarkEnd w:id="1"/>
      <w:bookmarkEnd w:id="2"/>
      <w:r w:rsidRPr="00212F3C">
        <w:rPr>
          <w:rFonts w:cstheme="minorHAnsi"/>
          <w:b/>
          <w:bCs/>
        </w:rPr>
        <w:t>Cervical Spine Immobilisation Following Stab Wounds to the Neck Is Unnecessary</w:t>
      </w:r>
      <w:r w:rsidR="007D3AB0" w:rsidRPr="007D1A55">
        <w:rPr>
          <w:rFonts w:cstheme="minorHAnsi"/>
          <w:b/>
          <w:bCs/>
        </w:rPr>
        <w:t xml:space="preserve">.  </w:t>
      </w:r>
      <w:bookmarkEnd w:id="3"/>
      <w:bookmarkEnd w:id="4"/>
      <w:bookmarkEnd w:id="5"/>
      <w:bookmarkEnd w:id="6"/>
      <w:bookmarkEnd w:id="7"/>
      <w:bookmarkEnd w:id="8"/>
      <w:bookmarkEnd w:id="9"/>
      <w:bookmarkEnd w:id="10"/>
      <w:bookmarkEnd w:id="11"/>
      <w:r w:rsidRPr="00212F3C">
        <w:rPr>
          <w:rFonts w:cstheme="minorHAnsi"/>
          <w:lang w:val="es-ES"/>
        </w:rPr>
        <w:t>Kong L, Kong V, Ko J, et al</w:t>
      </w:r>
      <w:r w:rsidR="007D1A55" w:rsidRPr="00212F3C">
        <w:rPr>
          <w:rFonts w:cstheme="minorHAnsi"/>
          <w:lang w:val="es-ES"/>
        </w:rPr>
        <w:t xml:space="preserve">.  </w:t>
      </w:r>
      <w:r w:rsidRPr="00212F3C">
        <w:rPr>
          <w:rFonts w:cstheme="minorHAnsi"/>
          <w:i/>
          <w:iCs/>
          <w:lang w:val="es-ES"/>
        </w:rPr>
        <w:t xml:space="preserve">Emergency Medicine Australasia, </w:t>
      </w:r>
      <w:r w:rsidRPr="00212F3C">
        <w:rPr>
          <w:rFonts w:cstheme="minorHAnsi"/>
          <w:lang w:val="es-ES"/>
        </w:rPr>
        <w:t>2026; 38:e70288 https://doi.org/10.1111/1742-6723.70288</w:t>
      </w:r>
    </w:p>
    <w:p w14:paraId="1592183E" w14:textId="77777777" w:rsidR="00212F3C" w:rsidRPr="00212F3C" w:rsidRDefault="00212F3C" w:rsidP="00212F3C">
      <w:pPr>
        <w:pStyle w:val="ListParagraph"/>
        <w:numPr>
          <w:ilvl w:val="0"/>
          <w:numId w:val="1"/>
        </w:numPr>
        <w:autoSpaceDE w:val="0"/>
        <w:autoSpaceDN w:val="0"/>
        <w:adjustRightInd w:val="0"/>
        <w:spacing w:before="100" w:beforeAutospacing="1" w:after="100" w:afterAutospacing="1"/>
        <w:rPr>
          <w:rFonts w:ascii="Calibri" w:hAnsi="Calibri" w:cs="Calibri"/>
        </w:rPr>
      </w:pPr>
      <w:r w:rsidRPr="00212F3C">
        <w:rPr>
          <w:rFonts w:ascii="Calibri" w:hAnsi="Calibri" w:cs="Calibri"/>
          <w:b/>
          <w:bCs/>
        </w:rPr>
        <w:t xml:space="preserve">The Prevalence of Adverse Events After Prehospital Neuromuscular Blockade-Assisted Airway Management.  </w:t>
      </w:r>
      <w:r w:rsidRPr="00212F3C">
        <w:rPr>
          <w:rFonts w:ascii="Calibri" w:hAnsi="Calibri" w:cs="Calibri"/>
        </w:rPr>
        <w:t xml:space="preserve">Spigner MF, Green A, Naas CJ, et al.  </w:t>
      </w:r>
      <w:r w:rsidRPr="00212F3C">
        <w:rPr>
          <w:rFonts w:ascii="Calibri" w:hAnsi="Calibri" w:cs="Calibri"/>
          <w:i/>
          <w:iCs/>
        </w:rPr>
        <w:t>Prehospital Emergency Care</w:t>
      </w:r>
      <w:r w:rsidRPr="00212F3C">
        <w:rPr>
          <w:rFonts w:ascii="Calibri" w:hAnsi="Calibri" w:cs="Calibri"/>
        </w:rPr>
        <w:t>, 2026;1–8. https://doi.org/10.1080/10903127.2026.2713128</w:t>
      </w:r>
    </w:p>
    <w:p w14:paraId="44329F6A" w14:textId="4D9C5C19" w:rsidR="006D36FB" w:rsidRPr="006D36FB" w:rsidRDefault="006D36FB" w:rsidP="006D36FB">
      <w:pPr>
        <w:pStyle w:val="ListParagraph"/>
        <w:numPr>
          <w:ilvl w:val="0"/>
          <w:numId w:val="1"/>
        </w:numPr>
        <w:autoSpaceDE w:val="0"/>
        <w:autoSpaceDN w:val="0"/>
        <w:adjustRightInd w:val="0"/>
        <w:spacing w:before="100" w:beforeAutospacing="1" w:after="100" w:afterAutospacing="1"/>
        <w:rPr>
          <w:rFonts w:ascii="Calibri" w:hAnsi="Calibri" w:cs="Calibri"/>
        </w:rPr>
      </w:pPr>
      <w:r w:rsidRPr="006D36FB">
        <w:rPr>
          <w:rFonts w:ascii="Calibri" w:hAnsi="Calibri" w:cs="Calibri"/>
          <w:b/>
          <w:bCs/>
        </w:rPr>
        <w:t>Comparison of intraosseous line placement location and rates of return of spontaneous circulation and survival to discharge among patients with out-of-hospital cardiac arrest</w:t>
      </w:r>
      <w:r w:rsidR="00EA1B39" w:rsidRPr="006D36FB">
        <w:rPr>
          <w:rFonts w:ascii="Calibri" w:hAnsi="Calibri" w:cs="Calibri"/>
          <w:b/>
          <w:bCs/>
        </w:rPr>
        <w:t>.</w:t>
      </w:r>
      <w:r w:rsidR="00EA1B39" w:rsidRPr="006D36FB">
        <w:rPr>
          <w:rFonts w:ascii="Calibri" w:hAnsi="Calibri" w:cs="Calibri"/>
        </w:rPr>
        <w:t xml:space="preserve">  </w:t>
      </w:r>
      <w:r w:rsidRPr="006D36FB">
        <w:rPr>
          <w:rFonts w:ascii="Calibri" w:hAnsi="Calibri" w:cs="Calibri"/>
        </w:rPr>
        <w:t xml:space="preserve">Witherell A, Castillo A, Samones E, et al   Resuscitation 2026  </w:t>
      </w:r>
      <w:hyperlink r:id="rId10" w:history="1">
        <w:r w:rsidRPr="006D36FB">
          <w:rPr>
            <w:rStyle w:val="Hyperlink"/>
            <w:rFonts w:ascii="Calibri" w:hAnsi="Calibri" w:cs="Calibri"/>
          </w:rPr>
          <w:t>https://doi.org/10.1016/j.resuscitation.2026.111179</w:t>
        </w:r>
      </w:hyperlink>
      <w:r w:rsidRPr="006D36FB">
        <w:rPr>
          <w:rFonts w:ascii="Calibri" w:hAnsi="Calibri" w:cs="Calibri"/>
        </w:rPr>
        <w:t xml:space="preserve">   Full text available on-line at https://www.resuscitationjournal.com/article/S0300-9572(26)00226-1/fulltext</w:t>
      </w:r>
    </w:p>
    <w:p w14:paraId="2E2BAA1E" w14:textId="63EB94C7" w:rsidR="00030CC4" w:rsidRPr="006D36FB" w:rsidRDefault="006D36FB" w:rsidP="006D36FB">
      <w:pPr>
        <w:pStyle w:val="ListParagraph"/>
        <w:numPr>
          <w:ilvl w:val="0"/>
          <w:numId w:val="1"/>
        </w:numPr>
        <w:autoSpaceDE w:val="0"/>
        <w:autoSpaceDN w:val="0"/>
        <w:adjustRightInd w:val="0"/>
        <w:spacing w:before="100" w:beforeAutospacing="1" w:after="100" w:afterAutospacing="1"/>
        <w:rPr>
          <w:rFonts w:cstheme="minorHAnsi"/>
        </w:rPr>
      </w:pPr>
      <w:r w:rsidRPr="006D36FB">
        <w:rPr>
          <w:rFonts w:ascii="Calibri" w:hAnsi="Calibri" w:cs="Calibri"/>
          <w:b/>
          <w:bCs/>
        </w:rPr>
        <w:t>“High and tight to pack and press”: Prioritization of tourniquet conversion in unconventional warfare improves outcomes</w:t>
      </w:r>
      <w:r w:rsidR="00EA1B39" w:rsidRPr="006D36FB">
        <w:rPr>
          <w:rFonts w:ascii="Calibri" w:hAnsi="Calibri" w:cs="Calibri"/>
          <w:b/>
          <w:bCs/>
        </w:rPr>
        <w:t xml:space="preserve">.  </w:t>
      </w:r>
      <w:r w:rsidRPr="006D36FB">
        <w:rPr>
          <w:rFonts w:ascii="Calibri" w:hAnsi="Calibri" w:cs="Calibri"/>
        </w:rPr>
        <w:t>Hofmann LJ, Hiles JM, Hetzler M, et al.  J Trauma Acute Care Surg. 2026;101: 291–296</w:t>
      </w:r>
      <w:r>
        <w:rPr>
          <w:rFonts w:ascii="Calibri" w:hAnsi="Calibri" w:cs="Calibri"/>
        </w:rPr>
        <w:t>.</w:t>
      </w:r>
    </w:p>
    <w:p w14:paraId="5E16C18C" w14:textId="77777777" w:rsidR="006D36FB" w:rsidRPr="006D36FB" w:rsidRDefault="006D36FB" w:rsidP="006D36FB">
      <w:pPr>
        <w:pStyle w:val="ListParagraph"/>
        <w:autoSpaceDE w:val="0"/>
        <w:autoSpaceDN w:val="0"/>
        <w:adjustRightInd w:val="0"/>
        <w:spacing w:before="100" w:beforeAutospacing="1" w:after="100" w:afterAutospacing="1"/>
        <w:ind w:left="360" w:firstLine="0"/>
        <w:rPr>
          <w:rFonts w:cstheme="minorHAnsi"/>
        </w:rPr>
      </w:pPr>
    </w:p>
    <w:p w14:paraId="4D0981DD" w14:textId="77777777" w:rsidR="00212F3C" w:rsidRPr="00212F3C" w:rsidRDefault="00212F3C" w:rsidP="00212F3C">
      <w:pPr>
        <w:pStyle w:val="ListParagraph"/>
        <w:numPr>
          <w:ilvl w:val="0"/>
          <w:numId w:val="8"/>
        </w:numPr>
        <w:autoSpaceDE w:val="0"/>
        <w:autoSpaceDN w:val="0"/>
        <w:adjustRightInd w:val="0"/>
        <w:spacing w:before="100" w:beforeAutospacing="1" w:after="100" w:afterAutospacing="1"/>
        <w:rPr>
          <w:rFonts w:ascii="Calibri" w:hAnsi="Calibri" w:cs="Calibri"/>
          <w:lang w:val="es-ES"/>
        </w:rPr>
      </w:pPr>
      <w:r w:rsidRPr="00212F3C">
        <w:rPr>
          <w:rFonts w:cstheme="minorHAnsi"/>
          <w:b/>
          <w:bCs/>
        </w:rPr>
        <w:t>Cervical Spine Immobilisation Following Stab Wounds to the Neck Is Unnecessary</w:t>
      </w:r>
      <w:r w:rsidRPr="007D1A55">
        <w:rPr>
          <w:rFonts w:cstheme="minorHAnsi"/>
          <w:b/>
          <w:bCs/>
        </w:rPr>
        <w:t xml:space="preserve">.  </w:t>
      </w:r>
      <w:r w:rsidRPr="00212F3C">
        <w:rPr>
          <w:rFonts w:cstheme="minorHAnsi"/>
          <w:lang w:val="es-ES"/>
        </w:rPr>
        <w:t xml:space="preserve">Kong L, Kong V, Ko J, et al.  </w:t>
      </w:r>
      <w:r w:rsidRPr="00212F3C">
        <w:rPr>
          <w:rFonts w:cstheme="minorHAnsi"/>
          <w:i/>
          <w:iCs/>
          <w:lang w:val="es-ES"/>
        </w:rPr>
        <w:t xml:space="preserve">Emergency Medicine Australasia, </w:t>
      </w:r>
      <w:r w:rsidRPr="00212F3C">
        <w:rPr>
          <w:rFonts w:cstheme="minorHAnsi"/>
          <w:lang w:val="es-ES"/>
        </w:rPr>
        <w:t>2026; 38:e70288 https://doi.org/10.1111/1742-6723.70288</w:t>
      </w:r>
    </w:p>
    <w:p w14:paraId="3D8CE902" w14:textId="77777777" w:rsidR="007D3AB0" w:rsidRPr="00212F3C" w:rsidRDefault="007D3AB0" w:rsidP="007D3AB0">
      <w:pPr>
        <w:pStyle w:val="ListParagraph"/>
        <w:ind w:left="360" w:firstLine="0"/>
        <w:rPr>
          <w:rFonts w:cstheme="minorHAnsi"/>
          <w:lang w:val="es-ES"/>
        </w:rPr>
      </w:pPr>
    </w:p>
    <w:p w14:paraId="3FB50C90" w14:textId="77777777" w:rsidR="00212F3C" w:rsidRPr="00C90C32" w:rsidRDefault="00212F3C" w:rsidP="00212F3C">
      <w:pPr>
        <w:rPr>
          <w:rFonts w:ascii="Calibri" w:hAnsi="Calibri" w:cs="Calibri"/>
        </w:rPr>
      </w:pPr>
      <w:r w:rsidRPr="00C90C32">
        <w:rPr>
          <w:rFonts w:ascii="Calibri" w:hAnsi="Calibri" w:cs="Calibri"/>
        </w:rPr>
        <w:t xml:space="preserve">Spinal </w:t>
      </w:r>
      <w:r>
        <w:rPr>
          <w:rFonts w:ascii="Calibri" w:hAnsi="Calibri" w:cs="Calibri"/>
        </w:rPr>
        <w:t>immobilization, now generally referred to as spinal motion restriction,</w:t>
      </w:r>
      <w:r w:rsidRPr="00C90C32">
        <w:rPr>
          <w:rFonts w:ascii="Calibri" w:hAnsi="Calibri" w:cs="Calibri"/>
        </w:rPr>
        <w:t xml:space="preserve"> has changed dramatically in the past decade. Driving this change were studies that demonstrated an increase in mortality and morbidity when immobilized on a hard device. Most </w:t>
      </w:r>
      <w:r>
        <w:rPr>
          <w:rFonts w:ascii="Calibri" w:hAnsi="Calibri" w:cs="Calibri"/>
        </w:rPr>
        <w:t xml:space="preserve">of these studies </w:t>
      </w:r>
      <w:r w:rsidRPr="00C90C32">
        <w:rPr>
          <w:rFonts w:ascii="Calibri" w:hAnsi="Calibri" w:cs="Calibri"/>
        </w:rPr>
        <w:t>concentrated on blunt trauma.    Few, however, investigated penetrating neck injury (PNI).  The authors of th</w:t>
      </w:r>
      <w:r>
        <w:rPr>
          <w:rFonts w:ascii="Calibri" w:hAnsi="Calibri" w:cs="Calibri"/>
        </w:rPr>
        <w:t>is</w:t>
      </w:r>
      <w:r w:rsidRPr="00C90C32">
        <w:rPr>
          <w:rFonts w:ascii="Calibri" w:hAnsi="Calibri" w:cs="Calibri"/>
        </w:rPr>
        <w:t xml:space="preserve"> retrospective chart review investigated penetrating trauma to the neck and cervical spine inflicted by an edged knife.  </w:t>
      </w:r>
    </w:p>
    <w:p w14:paraId="1FAFC848" w14:textId="77777777" w:rsidR="00212F3C" w:rsidRPr="00C90C32" w:rsidRDefault="00212F3C" w:rsidP="00212F3C">
      <w:pPr>
        <w:rPr>
          <w:rFonts w:ascii="Calibri" w:hAnsi="Calibri" w:cs="Calibri"/>
        </w:rPr>
      </w:pPr>
      <w:r w:rsidRPr="00C90C32">
        <w:rPr>
          <w:rFonts w:ascii="Calibri" w:hAnsi="Calibri" w:cs="Calibri"/>
        </w:rPr>
        <w:t xml:space="preserve"> The review included patients with PNI from December 2012 to December 2022 in a large metropolitan trauma center in South Africa. The review included demographics, injury patterns, affected regions, diagnostic imaging, surgical interventions, and clinical outcomes from the initial presentation. For the purposes of the study, </w:t>
      </w:r>
      <w:r>
        <w:rPr>
          <w:rFonts w:ascii="Calibri" w:hAnsi="Calibri" w:cs="Calibri"/>
        </w:rPr>
        <w:t>a</w:t>
      </w:r>
      <w:r w:rsidRPr="00C90C32">
        <w:rPr>
          <w:rFonts w:ascii="Calibri" w:hAnsi="Calibri" w:cs="Calibri"/>
        </w:rPr>
        <w:t xml:space="preserve"> PNI was defined as any penetrating injury located between the clavicle and skull base, with a focus on isolated stab wounds (SWs) to the neck.  During a span of ten years, there were 1,249 instances of PNI. Ninety percent of the patients were male, with an average age of 30 years. Among the cases, 82% (1,028 out of 1,249) were due to sharp objects, while the remaining 18% resulted from gunshot wounds</w:t>
      </w:r>
      <w:r>
        <w:rPr>
          <w:rFonts w:ascii="Calibri" w:hAnsi="Calibri" w:cs="Calibri"/>
        </w:rPr>
        <w:t xml:space="preserve"> which were excluded from the analysis</w:t>
      </w:r>
      <w:r w:rsidRPr="00C90C32">
        <w:rPr>
          <w:rFonts w:ascii="Calibri" w:hAnsi="Calibri" w:cs="Calibri"/>
        </w:rPr>
        <w:t>. A total of 844 patients underwent a CT scan, while the cervical spine was clinically assessed and cleared in 184 additional cases</w:t>
      </w:r>
      <w:r>
        <w:rPr>
          <w:rFonts w:ascii="Calibri" w:hAnsi="Calibri" w:cs="Calibri"/>
        </w:rPr>
        <w:t xml:space="preserve"> (full range of motion, no midline spine tenderness, and no focal neurological deficits)</w:t>
      </w:r>
      <w:r w:rsidRPr="00C90C32">
        <w:rPr>
          <w:rFonts w:ascii="Calibri" w:hAnsi="Calibri" w:cs="Calibri"/>
        </w:rPr>
        <w:t>. Cervical spinal injuries were identified in 82 out of 1028</w:t>
      </w:r>
      <w:r>
        <w:rPr>
          <w:rFonts w:ascii="Calibri" w:hAnsi="Calibri" w:cs="Calibri"/>
        </w:rPr>
        <w:t xml:space="preserve"> (</w:t>
      </w:r>
      <w:r w:rsidRPr="00C90C32">
        <w:rPr>
          <w:rFonts w:ascii="Calibri" w:hAnsi="Calibri" w:cs="Calibri"/>
        </w:rPr>
        <w:t>8%</w:t>
      </w:r>
      <w:r>
        <w:rPr>
          <w:rFonts w:ascii="Calibri" w:hAnsi="Calibri" w:cs="Calibri"/>
        </w:rPr>
        <w:t>)</w:t>
      </w:r>
      <w:r w:rsidRPr="00C90C32">
        <w:rPr>
          <w:rFonts w:ascii="Calibri" w:hAnsi="Calibri" w:cs="Calibri"/>
        </w:rPr>
        <w:t xml:space="preserve"> of the cases. None of the 82 CSI cases were deemed unstable, and none needed surgical stabilization.  </w:t>
      </w:r>
      <w:r>
        <w:rPr>
          <w:rFonts w:ascii="Calibri" w:hAnsi="Calibri" w:cs="Calibri"/>
        </w:rPr>
        <w:t>Spinal cord injury was present in 22 patients of the 82 with identifiable spinal injury (27%), all presented with obvious neurological deficit, and none had progression of their deficit.</w:t>
      </w:r>
    </w:p>
    <w:p w14:paraId="35A32F13" w14:textId="77777777" w:rsidR="00212F3C" w:rsidRPr="00C90C32" w:rsidRDefault="00212F3C" w:rsidP="00212F3C">
      <w:pPr>
        <w:rPr>
          <w:rFonts w:ascii="Calibri" w:hAnsi="Calibri" w:cs="Calibri"/>
        </w:rPr>
      </w:pPr>
      <w:r w:rsidRPr="00C90C32">
        <w:rPr>
          <w:rFonts w:ascii="Calibri" w:hAnsi="Calibri" w:cs="Calibri"/>
        </w:rPr>
        <w:t xml:space="preserve">The authors conclude” While there is a significant prevalence of spinal cord injury following a SW to the neck, the prevalence of cervical spine instability and the need for spinal fixation is very low. The routine application of a cervical collar in this scenario appears to be unnecessary”.  </w:t>
      </w:r>
    </w:p>
    <w:p w14:paraId="5051B93A" w14:textId="77777777" w:rsidR="00212F3C" w:rsidRPr="00C90C32" w:rsidRDefault="00212F3C" w:rsidP="00212F3C">
      <w:pPr>
        <w:rPr>
          <w:rFonts w:ascii="Calibri" w:hAnsi="Calibri" w:cs="Calibri"/>
        </w:rPr>
      </w:pPr>
      <w:r w:rsidRPr="00C90C32">
        <w:rPr>
          <w:rFonts w:ascii="Calibri" w:hAnsi="Calibri" w:cs="Calibri"/>
        </w:rPr>
        <w:t>This and other studies demonstrate that unstable cervical injury is unlikely to present in PNI caused by an edged weapon</w:t>
      </w:r>
      <w:r>
        <w:rPr>
          <w:rFonts w:ascii="Calibri" w:hAnsi="Calibri" w:cs="Calibri"/>
        </w:rPr>
        <w:t xml:space="preserve"> which are low energy and velocity and damage is limited to the wound tract</w:t>
      </w:r>
      <w:r w:rsidRPr="00C90C32">
        <w:rPr>
          <w:rFonts w:ascii="Calibri" w:hAnsi="Calibri" w:cs="Calibri"/>
        </w:rPr>
        <w:t xml:space="preserve">.  Furthermore, injuries to the neck inflicted by a knife are more likely to cause </w:t>
      </w:r>
      <w:r>
        <w:rPr>
          <w:rFonts w:ascii="Calibri" w:hAnsi="Calibri" w:cs="Calibri"/>
        </w:rPr>
        <w:t>blood vessel</w:t>
      </w:r>
      <w:r w:rsidRPr="00C90C32">
        <w:rPr>
          <w:rFonts w:ascii="Calibri" w:hAnsi="Calibri" w:cs="Calibri"/>
        </w:rPr>
        <w:t xml:space="preserve"> and airway injuries that may be hidden by the application of a cervical collar.  Careful consideration should be given by EMS medical directors as to whether cervical spinal immobilization is indicated within their system.  </w:t>
      </w:r>
    </w:p>
    <w:p w14:paraId="40C9912E" w14:textId="7492DEFF" w:rsidR="00EA1B39" w:rsidRPr="00212F3C" w:rsidRDefault="00212F3C" w:rsidP="00212F3C">
      <w:pPr>
        <w:pStyle w:val="ListParagraph"/>
        <w:numPr>
          <w:ilvl w:val="0"/>
          <w:numId w:val="9"/>
        </w:numPr>
        <w:autoSpaceDE w:val="0"/>
        <w:autoSpaceDN w:val="0"/>
        <w:adjustRightInd w:val="0"/>
        <w:spacing w:before="100" w:beforeAutospacing="1" w:after="100" w:afterAutospacing="1"/>
        <w:rPr>
          <w:rFonts w:ascii="Calibri" w:hAnsi="Calibri" w:cs="Calibri"/>
        </w:rPr>
      </w:pPr>
      <w:r w:rsidRPr="00212F3C">
        <w:rPr>
          <w:rFonts w:ascii="Calibri" w:hAnsi="Calibri" w:cs="Calibri"/>
          <w:b/>
          <w:bCs/>
        </w:rPr>
        <w:t xml:space="preserve">The Prevalence of Adverse Events After Prehospital Neuromuscular Blockade-Assisted Airway Management.  </w:t>
      </w:r>
      <w:r w:rsidRPr="00212F3C">
        <w:rPr>
          <w:rFonts w:ascii="Calibri" w:hAnsi="Calibri" w:cs="Calibri"/>
        </w:rPr>
        <w:t xml:space="preserve">Spigner MF, Green A, Naas CJ, et al.  </w:t>
      </w:r>
      <w:r w:rsidRPr="00212F3C">
        <w:rPr>
          <w:rFonts w:ascii="Calibri" w:hAnsi="Calibri" w:cs="Calibri"/>
          <w:i/>
          <w:iCs/>
        </w:rPr>
        <w:t>Prehospital Emergency Care</w:t>
      </w:r>
      <w:r w:rsidRPr="00212F3C">
        <w:rPr>
          <w:rFonts w:ascii="Calibri" w:hAnsi="Calibri" w:cs="Calibri"/>
        </w:rPr>
        <w:t>, 2026;1–8. https://doi.org/10.1080/10903127.2026.2713128</w:t>
      </w:r>
    </w:p>
    <w:p w14:paraId="5457B17D" w14:textId="77777777" w:rsidR="000403B1" w:rsidRPr="009B3196" w:rsidRDefault="000403B1" w:rsidP="000403B1">
      <w:pPr>
        <w:pStyle w:val="ListParagraph"/>
        <w:ind w:left="360" w:firstLine="0"/>
        <w:rPr>
          <w:rFonts w:cstheme="minorHAnsi"/>
          <w:b/>
        </w:rPr>
      </w:pPr>
    </w:p>
    <w:p w14:paraId="25A403CD" w14:textId="77777777" w:rsidR="006D36FB" w:rsidRPr="006D36FB" w:rsidRDefault="006D36FB" w:rsidP="006D36FB">
      <w:pPr>
        <w:rPr>
          <w:rFonts w:cstheme="minorHAnsi"/>
        </w:rPr>
      </w:pPr>
      <w:r w:rsidRPr="006D36FB">
        <w:rPr>
          <w:rFonts w:cstheme="minorHAnsi"/>
        </w:rPr>
        <w:t xml:space="preserve">The use of neuromuscular blocking agents (NMBAs) for rapid sequence intubation (RSI) is a common and necessary practice. Although these medications can improve intubation conditions and increase the likelihood of successful airway placement, they may also be associated with serious physiological problems, including hypoxemia, hypotension, bradycardia, and cardiac arrest. RSI is becoming increasingly utilized in the prehospital setting but risk of its use by medics has demonstrated mixed results. This study examines the risks associated with using NMBAs during emergency airway management in the prehospital setting and how frequently these adverse events occurred on a national level in the United States. </w:t>
      </w:r>
    </w:p>
    <w:p w14:paraId="20329E13" w14:textId="77777777" w:rsidR="006D36FB" w:rsidRPr="006D36FB" w:rsidRDefault="006D36FB" w:rsidP="006D36FB">
      <w:pPr>
        <w:rPr>
          <w:rFonts w:cstheme="minorHAnsi"/>
        </w:rPr>
      </w:pPr>
      <w:r w:rsidRPr="006D36FB">
        <w:rPr>
          <w:rFonts w:cstheme="minorHAnsi"/>
        </w:rPr>
        <w:t xml:space="preserve">The authors conducted an observational, cross-sectional study using the 2023 National Emergency Medical Services Information System (NEMSIS) Public-Release Research Dataset. The dataset included more than 54 million EMS activations from 14,369 EMS agencies across the United States and its territories. After applying the study’s inclusion and exclusion criteria, the researchers identified 11,525 adult patients who received both an NMBA and an attempt at an invasive airway. The researchers examined patients’ vital signs before and after NMBA administration, focusing primarily on adverse events occurring within the first 10 minutes. </w:t>
      </w:r>
    </w:p>
    <w:p w14:paraId="50E70722" w14:textId="77777777" w:rsidR="006D36FB" w:rsidRPr="006D36FB" w:rsidRDefault="006D36FB" w:rsidP="006D36FB">
      <w:pPr>
        <w:rPr>
          <w:rFonts w:cstheme="minorHAnsi"/>
        </w:rPr>
      </w:pPr>
      <w:r w:rsidRPr="006D36FB">
        <w:rPr>
          <w:rFonts w:cstheme="minorHAnsi"/>
        </w:rPr>
        <w:t xml:space="preserve">Endotracheal intubation was the initial airway technique in 97.5% of these cases, and the documented first-pass success rate was 80.6%. The results demonstrated that physiologic adverse events (PAEs) were relatively common following NMBA-assisted airway management. Overall, 27.5% of patients experienced at least one adverse event within 10 minutes of receiving the medication. Hypoxemia occurred in 25% of patients, hypotension in 15%, bradycardia in 2.7%, and EMS-witnessed cardiac arrest in 1.9%. The researchers also found that patients who already had abnormal vital signs before receiving the NMBA were at greater risk of experiencing similar problems afterward. For example, preexisting hypoxemia increased the odds of post-NMBA hypoxemia by approximately 9.1 times, while preexisting hypotension increased the odds of post-NMBA hypotension by approximately 16.8 times. The timing of these events was also important, with half of the hypoxemia cases occurring within six minutes and half of the hypotension cases occurring within ten minutes of NMBA administration. </w:t>
      </w:r>
    </w:p>
    <w:p w14:paraId="4A098116" w14:textId="77777777" w:rsidR="006D36FB" w:rsidRPr="006D36FB" w:rsidRDefault="006D36FB" w:rsidP="006D36FB">
      <w:pPr>
        <w:rPr>
          <w:rFonts w:cstheme="minorHAnsi"/>
        </w:rPr>
      </w:pPr>
      <w:r w:rsidRPr="006D36FB">
        <w:rPr>
          <w:rFonts w:cstheme="minorHAnsi"/>
        </w:rPr>
        <w:t xml:space="preserve">Limitations to this study include those limitations associated with an observational study of a large dataset, such as lack of accurate data, incomplete timing of cardiac arrest events (in this study), and local electronic medical record differences. The authors note their findings do not imply causal or associational relationships between prehospital-NMBA use and PAEs. </w:t>
      </w:r>
    </w:p>
    <w:p w14:paraId="3A82A7AA" w14:textId="0294A178" w:rsidR="006D36FB" w:rsidRPr="006D36FB" w:rsidRDefault="006D36FB" w:rsidP="006D36FB">
      <w:pPr>
        <w:rPr>
          <w:rFonts w:cstheme="minorHAnsi"/>
        </w:rPr>
      </w:pPr>
      <w:r w:rsidRPr="006D36FB">
        <w:rPr>
          <w:rFonts w:cstheme="minorHAnsi"/>
        </w:rPr>
        <w:t>The authors acknowledge that NMBA-assisted airway management can be an important emergency procedure, but it carries significant physiological risks that EMS agencies must be aware of and should actively work to reduce. Overall, the study provides important national evidence that approximately one in four patients receiving prehospital NMBA-assisted airway management experiences a physiological adverse event and highlights the need for careful preparation, monitoring, and clinical training to improve patient safety. While this study shouldn’t change practice, it definitely highlights concerns for patient safety with prehospital NMBA administration and the need for continued training</w:t>
      </w:r>
      <w:r>
        <w:rPr>
          <w:rFonts w:cstheme="minorHAnsi"/>
        </w:rPr>
        <w:t>.</w:t>
      </w:r>
    </w:p>
    <w:p w14:paraId="2500F857" w14:textId="77777777" w:rsidR="006D36FB" w:rsidRPr="006D36FB" w:rsidRDefault="006D36FB" w:rsidP="006D36FB">
      <w:pPr>
        <w:pStyle w:val="ListParagraph"/>
        <w:numPr>
          <w:ilvl w:val="0"/>
          <w:numId w:val="10"/>
        </w:numPr>
        <w:autoSpaceDE w:val="0"/>
        <w:autoSpaceDN w:val="0"/>
        <w:adjustRightInd w:val="0"/>
        <w:spacing w:before="100" w:beforeAutospacing="1" w:after="100" w:afterAutospacing="1"/>
        <w:rPr>
          <w:rFonts w:ascii="Calibri" w:hAnsi="Calibri" w:cs="Calibri"/>
        </w:rPr>
      </w:pPr>
      <w:r w:rsidRPr="006D36FB">
        <w:rPr>
          <w:rFonts w:ascii="Calibri" w:hAnsi="Calibri" w:cs="Calibri"/>
          <w:b/>
          <w:bCs/>
        </w:rPr>
        <w:t>Comparison of intraosseous line placement location and rates of return of spontaneous circulation and survival to discharge among patients with out-of-hospital cardiac arrest.</w:t>
      </w:r>
      <w:r w:rsidRPr="006D36FB">
        <w:rPr>
          <w:rFonts w:ascii="Calibri" w:hAnsi="Calibri" w:cs="Calibri"/>
        </w:rPr>
        <w:t xml:space="preserve">  Witherell A, Castillo A, Samones E, et al   Resuscitation 2026  </w:t>
      </w:r>
      <w:hyperlink r:id="rId11" w:history="1">
        <w:r w:rsidRPr="006D36FB">
          <w:rPr>
            <w:rStyle w:val="Hyperlink"/>
            <w:rFonts w:ascii="Calibri" w:hAnsi="Calibri" w:cs="Calibri"/>
          </w:rPr>
          <w:t>https://doi.org/10.1016/j.resuscitation.2026.111179</w:t>
        </w:r>
      </w:hyperlink>
      <w:r w:rsidRPr="006D36FB">
        <w:rPr>
          <w:rFonts w:ascii="Calibri" w:hAnsi="Calibri" w:cs="Calibri"/>
        </w:rPr>
        <w:t xml:space="preserve">   Full text available on-line at https://www.resuscitationjournal.com/article/S0300-9572(26)00226-1/fulltext</w:t>
      </w:r>
    </w:p>
    <w:p w14:paraId="65EA8B40" w14:textId="32A1EF15" w:rsidR="00CE5A35" w:rsidRPr="00030CC4" w:rsidRDefault="00CE5A35" w:rsidP="00030CC4">
      <w:pPr>
        <w:pStyle w:val="ListParagraph"/>
        <w:ind w:left="360" w:firstLine="0"/>
        <w:rPr>
          <w:rFonts w:eastAsia="Times New Roman" w:cstheme="minorHAnsi"/>
          <w:b/>
          <w:bCs/>
        </w:rPr>
      </w:pPr>
    </w:p>
    <w:p w14:paraId="46772880" w14:textId="2620C8B4" w:rsidR="006D36FB" w:rsidRPr="00E23298" w:rsidRDefault="006D36FB" w:rsidP="006D36FB">
      <w:pPr>
        <w:rPr>
          <w:rFonts w:asciiTheme="majorHAnsi" w:hAnsiTheme="majorHAnsi" w:cstheme="majorHAnsi"/>
        </w:rPr>
      </w:pPr>
      <w:r w:rsidRPr="00E23298">
        <w:rPr>
          <w:rFonts w:asciiTheme="majorHAnsi" w:hAnsiTheme="majorHAnsi" w:cstheme="majorHAnsi"/>
        </w:rPr>
        <w:t xml:space="preserve">The 2025 American Heart Association, Advanced Cardiac Life Support algorithm for adult cardiac arrest lists intravenous (IV) or intraosseous (IO) vascular access as the preferred routes for medication administration during an ongoing resuscitation.  With increased frequency, prehospital providers opt for IO access first, over IV access, due to ease of successful placement via drill type devices and the difficulties associated with gaining quick and successful IV access in patients suffering from venous collapse during cardiac arrest. Previous studies have not shown higher incidences of ROSC or hospital discharge rates with IV versus IO resuscitative medication administration during cardiac arrest.  </w:t>
      </w:r>
    </w:p>
    <w:p w14:paraId="0A895650" w14:textId="77777777" w:rsidR="006D36FB" w:rsidRDefault="006D36FB" w:rsidP="006D36FB">
      <w:pPr>
        <w:widowControl w:val="0"/>
        <w:autoSpaceDE w:val="0"/>
        <w:autoSpaceDN w:val="0"/>
        <w:adjustRightInd w:val="0"/>
        <w:spacing w:line="200" w:lineRule="atLeast"/>
        <w:rPr>
          <w:rFonts w:asciiTheme="majorHAnsi" w:hAnsiTheme="majorHAnsi" w:cstheme="majorHAnsi"/>
        </w:rPr>
      </w:pPr>
      <w:r w:rsidRPr="00E23298">
        <w:rPr>
          <w:rFonts w:asciiTheme="majorHAnsi" w:hAnsiTheme="majorHAnsi" w:cstheme="majorHAnsi"/>
        </w:rPr>
        <w:t>The two common sites for adult IO access are the proximal tibia and the humeral head. Sternal IOs, while once popular, tend to interrupt chest compressions during placement and may pose challenges to rescuers using automated compression devices.  The authors of this</w:t>
      </w:r>
      <w:r>
        <w:rPr>
          <w:rFonts w:ascii="MS Gothic" w:eastAsia="MS Gothic" w:hAnsi="MS Gothic" w:cs="MS Gothic"/>
          <w:color w:val="0D6C9E"/>
        </w:rPr>
        <w:t xml:space="preserve"> </w:t>
      </w:r>
      <w:r w:rsidRPr="00E23298">
        <w:rPr>
          <w:rFonts w:asciiTheme="majorHAnsi" w:hAnsiTheme="majorHAnsi" w:cstheme="majorHAnsi"/>
        </w:rPr>
        <w:t>Loma Linda University Medical Center institutional review board waived, retrospective chart review study tried to determine which common IO access site during adult out of hospital cardiac arrest (proximal tibia or humeral head) resulted in the greater incidence of return of spontaneous circulation (ROSC) and ultimately, discharge from the hospital.</w:t>
      </w:r>
    </w:p>
    <w:p w14:paraId="59FAB72D" w14:textId="390B88BC" w:rsidR="006D36FB" w:rsidRPr="00E23298" w:rsidRDefault="006D36FB" w:rsidP="006D36FB">
      <w:pPr>
        <w:widowControl w:val="0"/>
        <w:autoSpaceDE w:val="0"/>
        <w:autoSpaceDN w:val="0"/>
        <w:adjustRightInd w:val="0"/>
        <w:spacing w:line="200" w:lineRule="atLeast"/>
        <w:rPr>
          <w:rFonts w:asciiTheme="majorHAnsi" w:hAnsiTheme="majorHAnsi" w:cstheme="majorHAnsi"/>
        </w:rPr>
      </w:pPr>
      <w:r w:rsidRPr="00E23298">
        <w:rPr>
          <w:rFonts w:asciiTheme="majorHAnsi" w:hAnsiTheme="majorHAnsi" w:cstheme="majorHAnsi"/>
        </w:rPr>
        <w:t xml:space="preserve">The authors accessed data </w:t>
      </w:r>
      <w:r>
        <w:rPr>
          <w:rFonts w:asciiTheme="majorHAnsi" w:hAnsiTheme="majorHAnsi" w:cstheme="majorHAnsi"/>
        </w:rPr>
        <w:t>from</w:t>
      </w:r>
      <w:r w:rsidRPr="00E23298">
        <w:rPr>
          <w:rFonts w:asciiTheme="majorHAnsi" w:hAnsiTheme="majorHAnsi" w:cstheme="majorHAnsi"/>
        </w:rPr>
        <w:t xml:space="preserve"> the Riverside County High-Performance Resuscitation Training Cardiac Arrest Registry, their system’s repository for all adult OHCA data.  All traumatic cardiac arrests and cardiac arrests in patients less than 16 years of age were excluded.  Along with standard patient demographics, the authors looked for any incidence of ROSC documented during the resuscitation attempt, multiple co</w:t>
      </w:r>
      <w:r>
        <w:rPr>
          <w:rFonts w:asciiTheme="majorHAnsi" w:hAnsiTheme="majorHAnsi" w:cstheme="majorHAnsi"/>
        </w:rPr>
        <w:t>n</w:t>
      </w:r>
      <w:r w:rsidRPr="00E23298">
        <w:rPr>
          <w:rFonts w:asciiTheme="majorHAnsi" w:hAnsiTheme="majorHAnsi" w:cstheme="majorHAnsi"/>
        </w:rPr>
        <w:t>founders, and if available patient outcome data.  One co</w:t>
      </w:r>
      <w:r>
        <w:rPr>
          <w:rFonts w:asciiTheme="majorHAnsi" w:hAnsiTheme="majorHAnsi" w:cstheme="majorHAnsi"/>
        </w:rPr>
        <w:t>n</w:t>
      </w:r>
      <w:r w:rsidRPr="00E23298">
        <w:rPr>
          <w:rFonts w:asciiTheme="majorHAnsi" w:hAnsiTheme="majorHAnsi" w:cstheme="majorHAnsi"/>
        </w:rPr>
        <w:t>founder, which may be of significant relevance, is the incidence of bystander CPR prior to the arrival of EMS.</w:t>
      </w:r>
    </w:p>
    <w:p w14:paraId="02520E3F" w14:textId="77777777" w:rsidR="006D36FB" w:rsidRPr="00E23298" w:rsidRDefault="006D36FB" w:rsidP="006D36FB">
      <w:pPr>
        <w:widowControl w:val="0"/>
        <w:autoSpaceDE w:val="0"/>
        <w:autoSpaceDN w:val="0"/>
        <w:adjustRightInd w:val="0"/>
        <w:spacing w:line="200" w:lineRule="atLeast"/>
        <w:rPr>
          <w:rFonts w:asciiTheme="majorHAnsi" w:hAnsiTheme="majorHAnsi" w:cstheme="majorHAnsi"/>
        </w:rPr>
      </w:pPr>
      <w:r w:rsidRPr="00E23298">
        <w:rPr>
          <w:rFonts w:asciiTheme="majorHAnsi" w:hAnsiTheme="majorHAnsi" w:cstheme="majorHAnsi"/>
        </w:rPr>
        <w:t xml:space="preserve">They identified 1,920 cases where IO access was documented during the resuscitation of an adult OHCA.  There were 246 humeral head IO’s and 1,674 proximal tibia IO’s identified.  The authors identified 449 patients that experienced ROSC.  </w:t>
      </w:r>
      <w:r>
        <w:rPr>
          <w:rFonts w:asciiTheme="majorHAnsi" w:hAnsiTheme="majorHAnsi" w:cstheme="majorHAnsi"/>
        </w:rPr>
        <w:t>P</w:t>
      </w:r>
      <w:r w:rsidRPr="00E23298">
        <w:rPr>
          <w:rFonts w:asciiTheme="majorHAnsi" w:hAnsiTheme="majorHAnsi" w:cstheme="majorHAnsi"/>
        </w:rPr>
        <w:t xml:space="preserve">atients with humeral head IO access were two times more likely to achieve ROSC at some point during their resuscitation.  Of all the patients that experienced ROSC, only 49 </w:t>
      </w:r>
      <w:r>
        <w:rPr>
          <w:rFonts w:asciiTheme="majorHAnsi" w:hAnsiTheme="majorHAnsi" w:cstheme="majorHAnsi"/>
        </w:rPr>
        <w:t>survived to</w:t>
      </w:r>
      <w:r w:rsidRPr="00E23298">
        <w:rPr>
          <w:rFonts w:asciiTheme="majorHAnsi" w:hAnsiTheme="majorHAnsi" w:cstheme="majorHAnsi"/>
        </w:rPr>
        <w:t xml:space="preserve"> discharge from the hospital</w:t>
      </w:r>
      <w:r>
        <w:rPr>
          <w:rFonts w:asciiTheme="majorHAnsi" w:hAnsiTheme="majorHAnsi" w:cstheme="majorHAnsi"/>
        </w:rPr>
        <w:t>, although the sample sizes were too small to determine statistical differences in neurologic outcomes</w:t>
      </w:r>
      <w:r w:rsidRPr="00E23298">
        <w:rPr>
          <w:rFonts w:asciiTheme="majorHAnsi" w:hAnsiTheme="majorHAnsi" w:cstheme="majorHAnsi"/>
        </w:rPr>
        <w:t>.  Again, patients with humeral head IO access were twice as likely to survive to discharge.  Women with humeral head IO placement were more likely to achieve ROSC than women with proximal tibia IO access (48.19% vs. 25.32%).  In the male group, 27% experienced ROSC with a humeral head IO versus 19.71% with proximal tibia access.  The authors did identify that 62.2% of the humeral head group compared to only 52.12% of the proximal tibia group received bystander CPR prior to the arrival of EMS.  This co</w:t>
      </w:r>
      <w:r>
        <w:rPr>
          <w:rFonts w:asciiTheme="majorHAnsi" w:hAnsiTheme="majorHAnsi" w:cstheme="majorHAnsi"/>
        </w:rPr>
        <w:t>n</w:t>
      </w:r>
      <w:r w:rsidRPr="00E23298">
        <w:rPr>
          <w:rFonts w:asciiTheme="majorHAnsi" w:hAnsiTheme="majorHAnsi" w:cstheme="majorHAnsi"/>
        </w:rPr>
        <w:t xml:space="preserve">founder may have an impact on incidences of ROSC and ultimately discharge from the hospital.  </w:t>
      </w:r>
    </w:p>
    <w:p w14:paraId="20F932A6" w14:textId="77777777" w:rsidR="006D36FB" w:rsidRPr="00E23298" w:rsidRDefault="006D36FB" w:rsidP="006D36FB">
      <w:pPr>
        <w:widowControl w:val="0"/>
        <w:autoSpaceDE w:val="0"/>
        <w:autoSpaceDN w:val="0"/>
        <w:adjustRightInd w:val="0"/>
        <w:spacing w:line="200" w:lineRule="atLeast"/>
        <w:rPr>
          <w:rFonts w:asciiTheme="majorHAnsi" w:hAnsiTheme="majorHAnsi" w:cstheme="majorHAnsi"/>
        </w:rPr>
      </w:pPr>
      <w:r w:rsidRPr="00E23298">
        <w:rPr>
          <w:rFonts w:asciiTheme="majorHAnsi" w:hAnsiTheme="majorHAnsi" w:cstheme="majorHAnsi"/>
        </w:rPr>
        <w:t>The authors noted multiple limitations of their work.  This was a retrospective review of data from a regional EMS database.  There was no prospective randomization of IO access points.  The EMS providers chose where to attempt IO access.  This resulted in the study being association based not causality based.  Determinants as to why one site was chosen over the other were not examined, nor were first time success rates for IO placement.  The authors also acknowledged that humeral head IO’s may have been placed by more experienced EMS providers and that experience level might have been a factor in higher rates of ROSC during OHCA resuscitations.</w:t>
      </w:r>
    </w:p>
    <w:p w14:paraId="1318C0C8" w14:textId="77777777" w:rsidR="006D36FB" w:rsidRDefault="006D36FB" w:rsidP="006D36FB">
      <w:pPr>
        <w:widowControl w:val="0"/>
        <w:autoSpaceDE w:val="0"/>
        <w:autoSpaceDN w:val="0"/>
        <w:adjustRightInd w:val="0"/>
        <w:spacing w:line="200" w:lineRule="atLeast"/>
        <w:rPr>
          <w:rFonts w:asciiTheme="majorHAnsi" w:hAnsiTheme="majorHAnsi" w:cstheme="majorHAnsi"/>
        </w:rPr>
      </w:pPr>
      <w:r w:rsidRPr="00E23298">
        <w:rPr>
          <w:rFonts w:asciiTheme="majorHAnsi" w:hAnsiTheme="majorHAnsi" w:cstheme="majorHAnsi"/>
        </w:rPr>
        <w:t xml:space="preserve">Prehospital vascular access via the IO route is an effective and fast route </w:t>
      </w:r>
      <w:r>
        <w:rPr>
          <w:rFonts w:asciiTheme="majorHAnsi" w:hAnsiTheme="majorHAnsi" w:cstheme="majorHAnsi"/>
        </w:rPr>
        <w:t>for</w:t>
      </w:r>
      <w:r w:rsidRPr="00E23298">
        <w:rPr>
          <w:rFonts w:asciiTheme="majorHAnsi" w:hAnsiTheme="majorHAnsi" w:cstheme="majorHAnsi"/>
        </w:rPr>
        <w:t xml:space="preserve"> </w:t>
      </w:r>
      <w:r>
        <w:rPr>
          <w:rFonts w:asciiTheme="majorHAnsi" w:hAnsiTheme="majorHAnsi" w:cstheme="majorHAnsi"/>
        </w:rPr>
        <w:t>administration of</w:t>
      </w:r>
      <w:r w:rsidRPr="00E23298">
        <w:rPr>
          <w:rFonts w:asciiTheme="majorHAnsi" w:hAnsiTheme="majorHAnsi" w:cstheme="majorHAnsi"/>
        </w:rPr>
        <w:t xml:space="preserve"> resuscitation medications during an OHCA.  This study presents evidence that the humeral head IO access site had a higher incidence of ROSC and patient discharge rate from the hospital in their local EMS system.   EMS providers should be well practiced and feel comfortable in their ability to gain IO access via the proximal tibia or humeral head as allowed by local protocol and medical direction.  As seen by the higher incidence of ROSC when bystander CPR was initiated prior to the arrival of EMS, chest compressions and the basics of OHCA resuscitation should not suffer for the initiation of vascular access by any route.</w:t>
      </w:r>
    </w:p>
    <w:p w14:paraId="30C47337" w14:textId="77777777" w:rsidR="006D36FB" w:rsidRPr="006D36FB" w:rsidRDefault="006D36FB" w:rsidP="006D36FB">
      <w:pPr>
        <w:pStyle w:val="ListParagraph"/>
        <w:numPr>
          <w:ilvl w:val="0"/>
          <w:numId w:val="11"/>
        </w:numPr>
        <w:autoSpaceDE w:val="0"/>
        <w:autoSpaceDN w:val="0"/>
        <w:adjustRightInd w:val="0"/>
        <w:spacing w:before="100" w:beforeAutospacing="1" w:after="100" w:afterAutospacing="1"/>
        <w:rPr>
          <w:rFonts w:cstheme="minorHAnsi"/>
        </w:rPr>
      </w:pPr>
      <w:r w:rsidRPr="006D36FB">
        <w:rPr>
          <w:rFonts w:ascii="Calibri" w:hAnsi="Calibri" w:cs="Calibri"/>
          <w:b/>
          <w:bCs/>
        </w:rPr>
        <w:t xml:space="preserve">“High and tight to pack and press”: Prioritization of tourniquet conversion in unconventional warfare improves outcomes.  </w:t>
      </w:r>
      <w:r w:rsidRPr="006D36FB">
        <w:rPr>
          <w:rFonts w:ascii="Calibri" w:hAnsi="Calibri" w:cs="Calibri"/>
        </w:rPr>
        <w:t>Hofmann LJ, Hiles JM, Hetzler M, et al.  J Trauma Acute Care Surg. 2026;101: 291–296</w:t>
      </w:r>
      <w:r>
        <w:rPr>
          <w:rFonts w:ascii="Calibri" w:hAnsi="Calibri" w:cs="Calibri"/>
        </w:rPr>
        <w:t>.</w:t>
      </w:r>
    </w:p>
    <w:p w14:paraId="1C2301C9" w14:textId="77777777" w:rsidR="00936505" w:rsidRPr="00936505" w:rsidRDefault="00936505" w:rsidP="00936505">
      <w:pPr>
        <w:autoSpaceDE w:val="0"/>
        <w:autoSpaceDN w:val="0"/>
        <w:adjustRightInd w:val="0"/>
        <w:rPr>
          <w:rFonts w:ascii="Calibri" w:hAnsi="Calibri" w:cs="Calibri"/>
        </w:rPr>
      </w:pPr>
      <w:r w:rsidRPr="00936505">
        <w:rPr>
          <w:rFonts w:ascii="Calibri" w:hAnsi="Calibri" w:cs="Calibri"/>
        </w:rPr>
        <w:t>The US Military and allied forces are able to provide rapid surgical access and timely tourniquet (TQ) removal to personal injured in combat, thus minimizing tourniquet complications. Those injured in Unconventional War (UW) do not necessarily benefit from air superiority, firepower and high resourcing that may not allow for rapid surgical access and timely tourniquet removal. In these type of conflicts, medical support is significantly limited by the requirements of security forces and can result in delayed care and tourniquet complications.</w:t>
      </w:r>
    </w:p>
    <w:p w14:paraId="050FB5EC" w14:textId="757D5AEF" w:rsidR="00936505" w:rsidRPr="00936505" w:rsidRDefault="00936505" w:rsidP="00936505">
      <w:pPr>
        <w:autoSpaceDE w:val="0"/>
        <w:autoSpaceDN w:val="0"/>
        <w:adjustRightInd w:val="0"/>
        <w:rPr>
          <w:rFonts w:ascii="Calibri" w:hAnsi="Calibri" w:cs="Calibri"/>
        </w:rPr>
      </w:pPr>
      <w:r w:rsidRPr="00936505">
        <w:rPr>
          <w:rFonts w:ascii="Calibri" w:hAnsi="Calibri" w:cs="Calibri"/>
        </w:rPr>
        <w:t>The authors studie</w:t>
      </w:r>
      <w:r>
        <w:rPr>
          <w:rFonts w:ascii="Calibri" w:hAnsi="Calibri" w:cs="Calibri"/>
        </w:rPr>
        <w:t>d</w:t>
      </w:r>
      <w:r w:rsidRPr="00936505">
        <w:rPr>
          <w:rFonts w:ascii="Calibri" w:hAnsi="Calibri" w:cs="Calibri"/>
        </w:rPr>
        <w:t xml:space="preserve"> two mass casualty (MASCAL) events in which mobile surgical teams operated in UW environments. In these two events 91 patients were evaluated and managed. In the first event, poor outcomes were witnessed anecdotally which they attributed to a lack of planning for TQ re-evaluation. The team in the second event modified their priorities to escalate management to help minimize potential TQ injuries.</w:t>
      </w:r>
    </w:p>
    <w:p w14:paraId="04B416B3" w14:textId="65168353" w:rsidR="00936505" w:rsidRPr="00936505" w:rsidRDefault="00936505" w:rsidP="00936505">
      <w:pPr>
        <w:autoSpaceDE w:val="0"/>
        <w:autoSpaceDN w:val="0"/>
        <w:adjustRightInd w:val="0"/>
        <w:rPr>
          <w:rFonts w:ascii="Calibri" w:hAnsi="Calibri" w:cs="Calibri"/>
        </w:rPr>
      </w:pPr>
      <w:r w:rsidRPr="00936505">
        <w:rPr>
          <w:rFonts w:ascii="Calibri" w:hAnsi="Calibri" w:cs="Calibri"/>
        </w:rPr>
        <w:t xml:space="preserve">The first event was marked by sparse documentation and inconsistent data which limited reliable statistical analysis. Forty-five (45) casualties were processed in 8 hours with a high incidence of blast and fragmentation injuries and numerous patients had tourniquets applied by frontline resistance forces that were trained in First Aid and a version of Tactical Combat Casualty Care. The rear hospital was four hours away and when evaluated the following day many patients required fasciotomy and one died from severe metabolic derangements likely due to prolonged TQ use. </w:t>
      </w:r>
    </w:p>
    <w:p w14:paraId="638AB6FC" w14:textId="2BB8F4C6" w:rsidR="00936505" w:rsidRPr="00936505" w:rsidRDefault="00936505" w:rsidP="00936505">
      <w:pPr>
        <w:autoSpaceDE w:val="0"/>
        <w:autoSpaceDN w:val="0"/>
        <w:adjustRightInd w:val="0"/>
        <w:rPr>
          <w:rFonts w:ascii="Calibri" w:hAnsi="Calibri" w:cs="Calibri"/>
        </w:rPr>
      </w:pPr>
      <w:r w:rsidRPr="00936505">
        <w:rPr>
          <w:rFonts w:ascii="Calibri" w:hAnsi="Calibri" w:cs="Calibri"/>
        </w:rPr>
        <w:t>At the second event, a smaller Mobile surgical team consisting of a single surgeon and a flight nurse embedded with combat medics was deployed to a fortified site less than just over 3 miles from the front lines. In this event a TQ reassessment protocol was implemented with a focus on TQ evaluation and conversion.</w:t>
      </w:r>
    </w:p>
    <w:p w14:paraId="5DA5AD82" w14:textId="71931FCD" w:rsidR="00936505" w:rsidRPr="00936505" w:rsidRDefault="00936505" w:rsidP="00936505">
      <w:pPr>
        <w:autoSpaceDE w:val="0"/>
        <w:autoSpaceDN w:val="0"/>
        <w:adjustRightInd w:val="0"/>
        <w:rPr>
          <w:rFonts w:ascii="Calibri" w:hAnsi="Calibri" w:cs="Calibri"/>
        </w:rPr>
      </w:pPr>
      <w:r w:rsidRPr="00936505">
        <w:rPr>
          <w:rFonts w:ascii="Calibri" w:hAnsi="Calibri" w:cs="Calibri"/>
        </w:rPr>
        <w:t xml:space="preserve">A total of 46 casualties were seen by the team. Six were dead on arrival and were excluded from analysis. In the 40 surviving patients, lower extremity injuries were the most common injury at 31% (15 patients), followed by upper extremity injuries in 21% (10), 17% (8) of the patients had head and face injuries, 8% (4) had back injuries, 6% (3) had abdominal or flank injuries, 4% (2) had brain injuries, 4% (2) had chest injuries, 4% (2) had buttock injuries, 5% (2) had mangled extremities and 15% (6) had open or displaced fractures. Fourteen (14) TQ’s were applied on 12 patients with two patients getting bilateral TQ’s on their lower extremities. Only one of the 14 TQ’s applied in the field was placed on an upper extremity which had open bone fractures of both of the bones in the forearm. Of the remaining 13 TQ’s, 7 or 54% were applied high and tight and 6 or 46% lacked documentation of the location of the TQ. All 14 of the patients were reassessed for conversion to wound packing and pressure dressing or transition. Nearly all of the TQ’s, 13 or 93% were converted and 1 (7%) was transitioned to just above the injury resulting from a traumatic amputation. Surgical control of bleeding was ultimately required in 4 of the patients that underwent conversion. </w:t>
      </w:r>
    </w:p>
    <w:p w14:paraId="31FCDD04" w14:textId="3437ED71" w:rsidR="00936505" w:rsidRPr="00936505" w:rsidRDefault="00936505" w:rsidP="00936505">
      <w:pPr>
        <w:autoSpaceDE w:val="0"/>
        <w:autoSpaceDN w:val="0"/>
        <w:adjustRightInd w:val="0"/>
        <w:rPr>
          <w:rFonts w:ascii="Calibri" w:hAnsi="Calibri" w:cs="Calibri"/>
        </w:rPr>
      </w:pPr>
      <w:r w:rsidRPr="00936505">
        <w:rPr>
          <w:rFonts w:ascii="Calibri" w:hAnsi="Calibri" w:cs="Calibri"/>
        </w:rPr>
        <w:t>The limitations of this study include the fact that it is a retrospective study based on data from MASCAL events with incomplete and non-standardized data collection, particularly in the first event. This made comparative statistical evaluation impossible. Medical records, photographs and discussions with personnel who were present at the events were relied upon. All of which are subject to recall and reporting bias.</w:t>
      </w:r>
    </w:p>
    <w:p w14:paraId="10A31740" w14:textId="19570F2F" w:rsidR="0008350C" w:rsidRPr="000577EB" w:rsidRDefault="00936505" w:rsidP="00936505">
      <w:pPr>
        <w:autoSpaceDE w:val="0"/>
        <w:autoSpaceDN w:val="0"/>
        <w:adjustRightInd w:val="0"/>
        <w:rPr>
          <w:rFonts w:cstheme="minorHAnsi"/>
        </w:rPr>
      </w:pPr>
      <w:r w:rsidRPr="00936505">
        <w:rPr>
          <w:rFonts w:ascii="Calibri" w:hAnsi="Calibri" w:cs="Calibri"/>
        </w:rPr>
        <w:t xml:space="preserve">Recent studies show low TQ complication rates due to timely reassessment and removal systems, particularly in civilian settings with rapid access to trauma centers. However, leaving TQ’s in place too long, which remains a particular risk in rural trauma care, can cause ischemia, amputation and </w:t>
      </w:r>
      <w:r>
        <w:rPr>
          <w:rFonts w:ascii="Calibri" w:hAnsi="Calibri" w:cs="Calibri"/>
        </w:rPr>
        <w:t xml:space="preserve">even </w:t>
      </w:r>
      <w:r w:rsidRPr="00936505">
        <w:rPr>
          <w:rFonts w:ascii="Calibri" w:hAnsi="Calibri" w:cs="Calibri"/>
        </w:rPr>
        <w:t>death.  Standardized algorithms for TQ conversion used by trained personnel can bridge the gaps between prehospital interventions and delayed surgical care reducing preventable deaths. In this manner, TQ’s life saving potential is preserved while minimizing risks in prolonged evacuation environments.  Although this particular study was performed in a combat setting, the overall lesson applies to civilian trauma and EMS agencies.</w:t>
      </w:r>
    </w:p>
    <w:sectPr w:rsidR="0008350C" w:rsidRPr="000577EB" w:rsidSect="002B2E15">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85FBD" w14:textId="77777777" w:rsidR="000908CD" w:rsidRDefault="000908CD" w:rsidP="00CC1ECE">
      <w:r>
        <w:separator/>
      </w:r>
    </w:p>
  </w:endnote>
  <w:endnote w:type="continuationSeparator" w:id="0">
    <w:p w14:paraId="1341794F" w14:textId="77777777" w:rsidR="000908CD" w:rsidRDefault="000908CD" w:rsidP="00CC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w:altName w:val="Corbel"/>
    <w:charset w:val="00"/>
    <w:family w:val="auto"/>
    <w:pitch w:val="variable"/>
    <w:sig w:usb0="00000001"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0C9FD" w14:textId="77777777" w:rsidR="00EC556A" w:rsidRPr="00CC0C6C" w:rsidRDefault="00EC556A" w:rsidP="00EC556A">
    <w:pPr>
      <w:pStyle w:val="Footer"/>
      <w:jc w:val="center"/>
      <w:rPr>
        <w:b/>
      </w:rPr>
    </w:pPr>
    <w:r w:rsidRPr="00CC0C6C">
      <w:rPr>
        <w:b/>
      </w:rPr>
      <w:t>www.IPHMI.com</w:t>
    </w:r>
  </w:p>
  <w:p w14:paraId="3911A5C2" w14:textId="77777777" w:rsidR="00EC556A" w:rsidRDefault="00EC5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C6B77" w14:textId="77777777" w:rsidR="000908CD" w:rsidRDefault="000908CD" w:rsidP="00CC1ECE">
      <w:r>
        <w:separator/>
      </w:r>
    </w:p>
  </w:footnote>
  <w:footnote w:type="continuationSeparator" w:id="0">
    <w:p w14:paraId="6711916A" w14:textId="77777777" w:rsidR="000908CD" w:rsidRDefault="000908CD" w:rsidP="00CC1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FA8A" w14:textId="77777777" w:rsidR="00EC556A" w:rsidRPr="00CC0C6C" w:rsidRDefault="00EC556A" w:rsidP="00EC556A">
    <w:pPr>
      <w:pStyle w:val="Header"/>
      <w:jc w:val="center"/>
      <w:rPr>
        <w:b/>
        <w:i/>
        <w:sz w:val="36"/>
        <w:u w:val="single"/>
      </w:rPr>
    </w:pPr>
    <w:r w:rsidRPr="00CC0C6C">
      <w:rPr>
        <w:b/>
        <w:i/>
        <w:sz w:val="36"/>
        <w:u w:val="single"/>
      </w:rPr>
      <w:t>International Prehospital Medicine Institute</w:t>
    </w:r>
  </w:p>
  <w:p w14:paraId="0A9D369C" w14:textId="77777777" w:rsidR="00EC556A" w:rsidRDefault="00EC55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022D9"/>
    <w:multiLevelType w:val="hybridMultilevel"/>
    <w:tmpl w:val="121E7000"/>
    <w:lvl w:ilvl="0" w:tplc="DF520E9A">
      <w:start w:val="3"/>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BD0049"/>
    <w:multiLevelType w:val="hybridMultilevel"/>
    <w:tmpl w:val="25DA9CAC"/>
    <w:lvl w:ilvl="0" w:tplc="59EC46DA">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F17F78"/>
    <w:multiLevelType w:val="hybridMultilevel"/>
    <w:tmpl w:val="C22A7D08"/>
    <w:lvl w:ilvl="0" w:tplc="E0606B28">
      <w:start w:val="2"/>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E523AB"/>
    <w:multiLevelType w:val="hybridMultilevel"/>
    <w:tmpl w:val="42144390"/>
    <w:lvl w:ilvl="0" w:tplc="9F5629CE">
      <w:start w:val="4"/>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80019B"/>
    <w:multiLevelType w:val="hybridMultilevel"/>
    <w:tmpl w:val="A7808528"/>
    <w:lvl w:ilvl="0" w:tplc="85C6882E">
      <w:start w:val="4"/>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E40858"/>
    <w:multiLevelType w:val="hybridMultilevel"/>
    <w:tmpl w:val="47224CEA"/>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5E7B50A9"/>
    <w:multiLevelType w:val="hybridMultilevel"/>
    <w:tmpl w:val="6032DE3E"/>
    <w:lvl w:ilvl="0" w:tplc="8DF21694">
      <w:start w:val="3"/>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FB2051"/>
    <w:multiLevelType w:val="hybridMultilevel"/>
    <w:tmpl w:val="0FB84C4E"/>
    <w:lvl w:ilvl="0" w:tplc="B0D44066">
      <w:start w:val="2"/>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443F34"/>
    <w:multiLevelType w:val="hybridMultilevel"/>
    <w:tmpl w:val="DB38B758"/>
    <w:lvl w:ilvl="0" w:tplc="F6CC7D80">
      <w:start w:val="4"/>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E53DD4"/>
    <w:multiLevelType w:val="hybridMultilevel"/>
    <w:tmpl w:val="33B29DD6"/>
    <w:lvl w:ilvl="0" w:tplc="844A78D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4930ABD"/>
    <w:multiLevelType w:val="hybridMultilevel"/>
    <w:tmpl w:val="AA7AAEB8"/>
    <w:lvl w:ilvl="0" w:tplc="EB84C304">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93964790">
    <w:abstractNumId w:val="10"/>
  </w:num>
  <w:num w:numId="2" w16cid:durableId="340549249">
    <w:abstractNumId w:val="9"/>
  </w:num>
  <w:num w:numId="3" w16cid:durableId="56713203">
    <w:abstractNumId w:val="3"/>
  </w:num>
  <w:num w:numId="4" w16cid:durableId="1278365868">
    <w:abstractNumId w:val="1"/>
  </w:num>
  <w:num w:numId="5" w16cid:durableId="802619953">
    <w:abstractNumId w:val="2"/>
  </w:num>
  <w:num w:numId="6" w16cid:durableId="1420447019">
    <w:abstractNumId w:val="0"/>
  </w:num>
  <w:num w:numId="7" w16cid:durableId="1541169717">
    <w:abstractNumId w:val="4"/>
  </w:num>
  <w:num w:numId="8" w16cid:durableId="1282419241">
    <w:abstractNumId w:val="5"/>
  </w:num>
  <w:num w:numId="9" w16cid:durableId="2037923772">
    <w:abstractNumId w:val="7"/>
  </w:num>
  <w:num w:numId="10" w16cid:durableId="1344556656">
    <w:abstractNumId w:val="6"/>
  </w:num>
  <w:num w:numId="11" w16cid:durableId="49179665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DB7"/>
    <w:rsid w:val="0000060E"/>
    <w:rsid w:val="00000D8B"/>
    <w:rsid w:val="00000FEC"/>
    <w:rsid w:val="00007BA6"/>
    <w:rsid w:val="00012F95"/>
    <w:rsid w:val="0001698B"/>
    <w:rsid w:val="00020D8A"/>
    <w:rsid w:val="0002464E"/>
    <w:rsid w:val="000251EC"/>
    <w:rsid w:val="00030CC4"/>
    <w:rsid w:val="00033677"/>
    <w:rsid w:val="00033B77"/>
    <w:rsid w:val="00037773"/>
    <w:rsid w:val="000403B1"/>
    <w:rsid w:val="00041C70"/>
    <w:rsid w:val="00046471"/>
    <w:rsid w:val="00053DC7"/>
    <w:rsid w:val="000548D0"/>
    <w:rsid w:val="00054BFF"/>
    <w:rsid w:val="000577EB"/>
    <w:rsid w:val="000607DE"/>
    <w:rsid w:val="0008350C"/>
    <w:rsid w:val="00086FB0"/>
    <w:rsid w:val="000908CD"/>
    <w:rsid w:val="000942CA"/>
    <w:rsid w:val="00096298"/>
    <w:rsid w:val="000A39D8"/>
    <w:rsid w:val="000A500D"/>
    <w:rsid w:val="000A7673"/>
    <w:rsid w:val="000B2DC9"/>
    <w:rsid w:val="000B3977"/>
    <w:rsid w:val="000B5810"/>
    <w:rsid w:val="000C1C93"/>
    <w:rsid w:val="000C1ED3"/>
    <w:rsid w:val="000D737E"/>
    <w:rsid w:val="000E1EEE"/>
    <w:rsid w:val="000E61AC"/>
    <w:rsid w:val="000E7FF5"/>
    <w:rsid w:val="000F0391"/>
    <w:rsid w:val="000F44FE"/>
    <w:rsid w:val="000F6E4A"/>
    <w:rsid w:val="001053F1"/>
    <w:rsid w:val="00107449"/>
    <w:rsid w:val="00112343"/>
    <w:rsid w:val="0011511A"/>
    <w:rsid w:val="0012112A"/>
    <w:rsid w:val="00125483"/>
    <w:rsid w:val="00125AF1"/>
    <w:rsid w:val="00126D9C"/>
    <w:rsid w:val="001272F3"/>
    <w:rsid w:val="001327B9"/>
    <w:rsid w:val="00137FB9"/>
    <w:rsid w:val="00140F42"/>
    <w:rsid w:val="001459A9"/>
    <w:rsid w:val="001465D4"/>
    <w:rsid w:val="001505DB"/>
    <w:rsid w:val="00155484"/>
    <w:rsid w:val="00161774"/>
    <w:rsid w:val="00176FE6"/>
    <w:rsid w:val="001810C4"/>
    <w:rsid w:val="00181E88"/>
    <w:rsid w:val="00184890"/>
    <w:rsid w:val="00184D1F"/>
    <w:rsid w:val="00193364"/>
    <w:rsid w:val="00193BAE"/>
    <w:rsid w:val="001A2AF5"/>
    <w:rsid w:val="001A2CA7"/>
    <w:rsid w:val="001B2C0E"/>
    <w:rsid w:val="001B69AC"/>
    <w:rsid w:val="001C0348"/>
    <w:rsid w:val="001C16EF"/>
    <w:rsid w:val="001C3615"/>
    <w:rsid w:val="001C5280"/>
    <w:rsid w:val="001D0851"/>
    <w:rsid w:val="001D229F"/>
    <w:rsid w:val="001D346A"/>
    <w:rsid w:val="001D57F6"/>
    <w:rsid w:val="001E10D6"/>
    <w:rsid w:val="001E4361"/>
    <w:rsid w:val="001F470D"/>
    <w:rsid w:val="001F6CFD"/>
    <w:rsid w:val="001F7C77"/>
    <w:rsid w:val="00200E21"/>
    <w:rsid w:val="00203A36"/>
    <w:rsid w:val="00204A3E"/>
    <w:rsid w:val="00204D61"/>
    <w:rsid w:val="00206296"/>
    <w:rsid w:val="00212F3C"/>
    <w:rsid w:val="00216EFE"/>
    <w:rsid w:val="00221F53"/>
    <w:rsid w:val="00234651"/>
    <w:rsid w:val="00234BAF"/>
    <w:rsid w:val="00235410"/>
    <w:rsid w:val="00235D40"/>
    <w:rsid w:val="0023757E"/>
    <w:rsid w:val="0024264F"/>
    <w:rsid w:val="00253C5C"/>
    <w:rsid w:val="002576B3"/>
    <w:rsid w:val="00264DF6"/>
    <w:rsid w:val="00265734"/>
    <w:rsid w:val="00265A59"/>
    <w:rsid w:val="00267862"/>
    <w:rsid w:val="00270EB5"/>
    <w:rsid w:val="0027336D"/>
    <w:rsid w:val="002736F8"/>
    <w:rsid w:val="002750A3"/>
    <w:rsid w:val="00275AE9"/>
    <w:rsid w:val="002816EF"/>
    <w:rsid w:val="00281AA8"/>
    <w:rsid w:val="00283B4B"/>
    <w:rsid w:val="002910C5"/>
    <w:rsid w:val="002943AA"/>
    <w:rsid w:val="0029612D"/>
    <w:rsid w:val="002A448D"/>
    <w:rsid w:val="002A612A"/>
    <w:rsid w:val="002B1C13"/>
    <w:rsid w:val="002B2E15"/>
    <w:rsid w:val="002C00B1"/>
    <w:rsid w:val="002C1439"/>
    <w:rsid w:val="002C41E8"/>
    <w:rsid w:val="002D18D0"/>
    <w:rsid w:val="002D385C"/>
    <w:rsid w:val="002E0AB2"/>
    <w:rsid w:val="002E6A42"/>
    <w:rsid w:val="002F1B9E"/>
    <w:rsid w:val="002F2158"/>
    <w:rsid w:val="00301C76"/>
    <w:rsid w:val="00303DEC"/>
    <w:rsid w:val="00304FCB"/>
    <w:rsid w:val="003058A2"/>
    <w:rsid w:val="003078BD"/>
    <w:rsid w:val="003111DD"/>
    <w:rsid w:val="003122CE"/>
    <w:rsid w:val="00316585"/>
    <w:rsid w:val="00317365"/>
    <w:rsid w:val="0032129A"/>
    <w:rsid w:val="00321528"/>
    <w:rsid w:val="00326AF1"/>
    <w:rsid w:val="00332A7D"/>
    <w:rsid w:val="003331AA"/>
    <w:rsid w:val="00346AB0"/>
    <w:rsid w:val="00347087"/>
    <w:rsid w:val="00356335"/>
    <w:rsid w:val="00361398"/>
    <w:rsid w:val="00362F86"/>
    <w:rsid w:val="00363F26"/>
    <w:rsid w:val="00367A88"/>
    <w:rsid w:val="003800B3"/>
    <w:rsid w:val="00381BDD"/>
    <w:rsid w:val="0038633C"/>
    <w:rsid w:val="0038790A"/>
    <w:rsid w:val="00390AEA"/>
    <w:rsid w:val="00392C1F"/>
    <w:rsid w:val="00395433"/>
    <w:rsid w:val="00395F5E"/>
    <w:rsid w:val="003962A4"/>
    <w:rsid w:val="003B3023"/>
    <w:rsid w:val="003B39E9"/>
    <w:rsid w:val="003B3A90"/>
    <w:rsid w:val="003B6592"/>
    <w:rsid w:val="003B7857"/>
    <w:rsid w:val="003D2244"/>
    <w:rsid w:val="003D44D9"/>
    <w:rsid w:val="003E0710"/>
    <w:rsid w:val="003E07DA"/>
    <w:rsid w:val="003E1465"/>
    <w:rsid w:val="003E51F2"/>
    <w:rsid w:val="003F1AAF"/>
    <w:rsid w:val="003F4BB7"/>
    <w:rsid w:val="003F54D4"/>
    <w:rsid w:val="0040407D"/>
    <w:rsid w:val="00404F6F"/>
    <w:rsid w:val="004068DD"/>
    <w:rsid w:val="00406B3D"/>
    <w:rsid w:val="0041124D"/>
    <w:rsid w:val="00413939"/>
    <w:rsid w:val="00415CB4"/>
    <w:rsid w:val="00417657"/>
    <w:rsid w:val="00424045"/>
    <w:rsid w:val="00424314"/>
    <w:rsid w:val="00425215"/>
    <w:rsid w:val="004269E1"/>
    <w:rsid w:val="00431361"/>
    <w:rsid w:val="004654DB"/>
    <w:rsid w:val="00472F9A"/>
    <w:rsid w:val="004749F7"/>
    <w:rsid w:val="00483D2C"/>
    <w:rsid w:val="00485330"/>
    <w:rsid w:val="00490A07"/>
    <w:rsid w:val="00491411"/>
    <w:rsid w:val="0049245A"/>
    <w:rsid w:val="00493BCD"/>
    <w:rsid w:val="004A1C81"/>
    <w:rsid w:val="004A2499"/>
    <w:rsid w:val="004A5FB7"/>
    <w:rsid w:val="004B5626"/>
    <w:rsid w:val="004B5707"/>
    <w:rsid w:val="004B6C92"/>
    <w:rsid w:val="004B7EE3"/>
    <w:rsid w:val="004D3C0D"/>
    <w:rsid w:val="004D5F8C"/>
    <w:rsid w:val="004E0756"/>
    <w:rsid w:val="004E27B8"/>
    <w:rsid w:val="004E3BCF"/>
    <w:rsid w:val="004E7694"/>
    <w:rsid w:val="004F050C"/>
    <w:rsid w:val="004F1CF2"/>
    <w:rsid w:val="005053A7"/>
    <w:rsid w:val="00506F03"/>
    <w:rsid w:val="00510B67"/>
    <w:rsid w:val="00520E73"/>
    <w:rsid w:val="005217D8"/>
    <w:rsid w:val="00523D0F"/>
    <w:rsid w:val="00526673"/>
    <w:rsid w:val="00527BE6"/>
    <w:rsid w:val="00530542"/>
    <w:rsid w:val="00536681"/>
    <w:rsid w:val="00540AB0"/>
    <w:rsid w:val="00542970"/>
    <w:rsid w:val="00550A12"/>
    <w:rsid w:val="005655CF"/>
    <w:rsid w:val="0057657B"/>
    <w:rsid w:val="005769AE"/>
    <w:rsid w:val="005830F5"/>
    <w:rsid w:val="00592D6B"/>
    <w:rsid w:val="00592EF2"/>
    <w:rsid w:val="00593D20"/>
    <w:rsid w:val="00597139"/>
    <w:rsid w:val="005A338C"/>
    <w:rsid w:val="005A340E"/>
    <w:rsid w:val="005A685A"/>
    <w:rsid w:val="005B1B93"/>
    <w:rsid w:val="005B3228"/>
    <w:rsid w:val="005B4D2F"/>
    <w:rsid w:val="005C209E"/>
    <w:rsid w:val="005D21B6"/>
    <w:rsid w:val="005D3C3C"/>
    <w:rsid w:val="005E1684"/>
    <w:rsid w:val="005E4774"/>
    <w:rsid w:val="005F2C3D"/>
    <w:rsid w:val="0060639D"/>
    <w:rsid w:val="00612DB7"/>
    <w:rsid w:val="0062363F"/>
    <w:rsid w:val="00632D45"/>
    <w:rsid w:val="00640BE7"/>
    <w:rsid w:val="00643503"/>
    <w:rsid w:val="0064535D"/>
    <w:rsid w:val="00653565"/>
    <w:rsid w:val="00656510"/>
    <w:rsid w:val="00657100"/>
    <w:rsid w:val="0066164D"/>
    <w:rsid w:val="00666AD9"/>
    <w:rsid w:val="0067234F"/>
    <w:rsid w:val="006758ED"/>
    <w:rsid w:val="006808BC"/>
    <w:rsid w:val="00687147"/>
    <w:rsid w:val="00692403"/>
    <w:rsid w:val="00692F42"/>
    <w:rsid w:val="00695417"/>
    <w:rsid w:val="00696332"/>
    <w:rsid w:val="006A73E8"/>
    <w:rsid w:val="006B01B5"/>
    <w:rsid w:val="006B4BCB"/>
    <w:rsid w:val="006B4C49"/>
    <w:rsid w:val="006B787B"/>
    <w:rsid w:val="006C1D46"/>
    <w:rsid w:val="006C28B6"/>
    <w:rsid w:val="006C78B2"/>
    <w:rsid w:val="006D0CA1"/>
    <w:rsid w:val="006D2989"/>
    <w:rsid w:val="006D36FB"/>
    <w:rsid w:val="006E1A31"/>
    <w:rsid w:val="006E632D"/>
    <w:rsid w:val="006E6E47"/>
    <w:rsid w:val="006F0274"/>
    <w:rsid w:val="006F5CBF"/>
    <w:rsid w:val="006F5DC6"/>
    <w:rsid w:val="006F7C8E"/>
    <w:rsid w:val="00701C52"/>
    <w:rsid w:val="007044CC"/>
    <w:rsid w:val="00717345"/>
    <w:rsid w:val="00732E6A"/>
    <w:rsid w:val="00733101"/>
    <w:rsid w:val="0073764B"/>
    <w:rsid w:val="007419D9"/>
    <w:rsid w:val="00742AC7"/>
    <w:rsid w:val="00745AC5"/>
    <w:rsid w:val="007537AD"/>
    <w:rsid w:val="00753E26"/>
    <w:rsid w:val="00757AE3"/>
    <w:rsid w:val="0077245B"/>
    <w:rsid w:val="007832E3"/>
    <w:rsid w:val="00783856"/>
    <w:rsid w:val="00783BAC"/>
    <w:rsid w:val="0078434F"/>
    <w:rsid w:val="007866D0"/>
    <w:rsid w:val="007953ED"/>
    <w:rsid w:val="007A125C"/>
    <w:rsid w:val="007A1647"/>
    <w:rsid w:val="007A3A49"/>
    <w:rsid w:val="007B4CDB"/>
    <w:rsid w:val="007B66CA"/>
    <w:rsid w:val="007B735B"/>
    <w:rsid w:val="007C09BD"/>
    <w:rsid w:val="007C1ECF"/>
    <w:rsid w:val="007C7235"/>
    <w:rsid w:val="007D0305"/>
    <w:rsid w:val="007D1A55"/>
    <w:rsid w:val="007D3AB0"/>
    <w:rsid w:val="007D3F72"/>
    <w:rsid w:val="007D5076"/>
    <w:rsid w:val="007D58BA"/>
    <w:rsid w:val="007D6F97"/>
    <w:rsid w:val="007E0612"/>
    <w:rsid w:val="007F3B34"/>
    <w:rsid w:val="007F7274"/>
    <w:rsid w:val="00803A9A"/>
    <w:rsid w:val="00805473"/>
    <w:rsid w:val="008141BF"/>
    <w:rsid w:val="008154BD"/>
    <w:rsid w:val="00822E86"/>
    <w:rsid w:val="00825722"/>
    <w:rsid w:val="008363AF"/>
    <w:rsid w:val="00837F82"/>
    <w:rsid w:val="00846182"/>
    <w:rsid w:val="00852D41"/>
    <w:rsid w:val="008548AF"/>
    <w:rsid w:val="008710B9"/>
    <w:rsid w:val="00873AD0"/>
    <w:rsid w:val="00880689"/>
    <w:rsid w:val="008A0008"/>
    <w:rsid w:val="008A0F53"/>
    <w:rsid w:val="008B00CB"/>
    <w:rsid w:val="008B038E"/>
    <w:rsid w:val="008B4ABE"/>
    <w:rsid w:val="008B6898"/>
    <w:rsid w:val="008C2DA9"/>
    <w:rsid w:val="008D4278"/>
    <w:rsid w:val="008E160E"/>
    <w:rsid w:val="008E2104"/>
    <w:rsid w:val="008E424C"/>
    <w:rsid w:val="008E502B"/>
    <w:rsid w:val="008E68F7"/>
    <w:rsid w:val="008E7368"/>
    <w:rsid w:val="008F3248"/>
    <w:rsid w:val="008F601D"/>
    <w:rsid w:val="00901F19"/>
    <w:rsid w:val="00903E7E"/>
    <w:rsid w:val="00904E9C"/>
    <w:rsid w:val="009073F7"/>
    <w:rsid w:val="009106F1"/>
    <w:rsid w:val="00912F3D"/>
    <w:rsid w:val="00914150"/>
    <w:rsid w:val="00922E3E"/>
    <w:rsid w:val="009260F6"/>
    <w:rsid w:val="009277B9"/>
    <w:rsid w:val="009308A2"/>
    <w:rsid w:val="009328CC"/>
    <w:rsid w:val="00936505"/>
    <w:rsid w:val="00940115"/>
    <w:rsid w:val="00943813"/>
    <w:rsid w:val="00945B96"/>
    <w:rsid w:val="009505B0"/>
    <w:rsid w:val="00950C94"/>
    <w:rsid w:val="00951957"/>
    <w:rsid w:val="00960913"/>
    <w:rsid w:val="009634BA"/>
    <w:rsid w:val="0097137D"/>
    <w:rsid w:val="00975B8C"/>
    <w:rsid w:val="009809EC"/>
    <w:rsid w:val="00985114"/>
    <w:rsid w:val="00987ADA"/>
    <w:rsid w:val="00996C8E"/>
    <w:rsid w:val="009979A0"/>
    <w:rsid w:val="009A5621"/>
    <w:rsid w:val="009A72C1"/>
    <w:rsid w:val="009B3196"/>
    <w:rsid w:val="009B5E3E"/>
    <w:rsid w:val="009D2B40"/>
    <w:rsid w:val="009D3589"/>
    <w:rsid w:val="009D57E7"/>
    <w:rsid w:val="009E2627"/>
    <w:rsid w:val="009E7393"/>
    <w:rsid w:val="009F25AA"/>
    <w:rsid w:val="009F53F7"/>
    <w:rsid w:val="00A03A18"/>
    <w:rsid w:val="00A11702"/>
    <w:rsid w:val="00A12D76"/>
    <w:rsid w:val="00A16ED6"/>
    <w:rsid w:val="00A322D2"/>
    <w:rsid w:val="00A33F37"/>
    <w:rsid w:val="00A34DB2"/>
    <w:rsid w:val="00A36579"/>
    <w:rsid w:val="00A406B3"/>
    <w:rsid w:val="00A45647"/>
    <w:rsid w:val="00A55EE6"/>
    <w:rsid w:val="00A569A0"/>
    <w:rsid w:val="00A57792"/>
    <w:rsid w:val="00A62253"/>
    <w:rsid w:val="00A65EF4"/>
    <w:rsid w:val="00A66C04"/>
    <w:rsid w:val="00A704B4"/>
    <w:rsid w:val="00A71B69"/>
    <w:rsid w:val="00A73410"/>
    <w:rsid w:val="00A779CC"/>
    <w:rsid w:val="00A834E7"/>
    <w:rsid w:val="00A83C04"/>
    <w:rsid w:val="00A84C1B"/>
    <w:rsid w:val="00A933AB"/>
    <w:rsid w:val="00A93E30"/>
    <w:rsid w:val="00AA5387"/>
    <w:rsid w:val="00AA7EC1"/>
    <w:rsid w:val="00AB1930"/>
    <w:rsid w:val="00AB5858"/>
    <w:rsid w:val="00AD2237"/>
    <w:rsid w:val="00AD7ED9"/>
    <w:rsid w:val="00AF221D"/>
    <w:rsid w:val="00AF5699"/>
    <w:rsid w:val="00B0092B"/>
    <w:rsid w:val="00B07EA7"/>
    <w:rsid w:val="00B13E10"/>
    <w:rsid w:val="00B1711F"/>
    <w:rsid w:val="00B31B87"/>
    <w:rsid w:val="00B31C7F"/>
    <w:rsid w:val="00B32740"/>
    <w:rsid w:val="00B33670"/>
    <w:rsid w:val="00B4144E"/>
    <w:rsid w:val="00B432F8"/>
    <w:rsid w:val="00B44CA8"/>
    <w:rsid w:val="00B50275"/>
    <w:rsid w:val="00B5115C"/>
    <w:rsid w:val="00B5424E"/>
    <w:rsid w:val="00B65219"/>
    <w:rsid w:val="00B662B4"/>
    <w:rsid w:val="00B67CE0"/>
    <w:rsid w:val="00B702EE"/>
    <w:rsid w:val="00B76069"/>
    <w:rsid w:val="00B817D8"/>
    <w:rsid w:val="00B903C9"/>
    <w:rsid w:val="00B916EB"/>
    <w:rsid w:val="00B94756"/>
    <w:rsid w:val="00BA3A92"/>
    <w:rsid w:val="00BB10EC"/>
    <w:rsid w:val="00BB1C4D"/>
    <w:rsid w:val="00BB3360"/>
    <w:rsid w:val="00BC3FB1"/>
    <w:rsid w:val="00BC4278"/>
    <w:rsid w:val="00BD0399"/>
    <w:rsid w:val="00BD171A"/>
    <w:rsid w:val="00BD242E"/>
    <w:rsid w:val="00BE1F02"/>
    <w:rsid w:val="00BE6989"/>
    <w:rsid w:val="00BE7361"/>
    <w:rsid w:val="00BF6A4B"/>
    <w:rsid w:val="00C076B5"/>
    <w:rsid w:val="00C07D4B"/>
    <w:rsid w:val="00C101AC"/>
    <w:rsid w:val="00C106D8"/>
    <w:rsid w:val="00C11D96"/>
    <w:rsid w:val="00C22F59"/>
    <w:rsid w:val="00C23304"/>
    <w:rsid w:val="00C26485"/>
    <w:rsid w:val="00C33139"/>
    <w:rsid w:val="00C4127F"/>
    <w:rsid w:val="00C4140F"/>
    <w:rsid w:val="00C42D45"/>
    <w:rsid w:val="00C44324"/>
    <w:rsid w:val="00C459ED"/>
    <w:rsid w:val="00C571A0"/>
    <w:rsid w:val="00C627AA"/>
    <w:rsid w:val="00C644DC"/>
    <w:rsid w:val="00C704D2"/>
    <w:rsid w:val="00C70676"/>
    <w:rsid w:val="00C70A1D"/>
    <w:rsid w:val="00C7369A"/>
    <w:rsid w:val="00C7577A"/>
    <w:rsid w:val="00C8273A"/>
    <w:rsid w:val="00C83E13"/>
    <w:rsid w:val="00C90D69"/>
    <w:rsid w:val="00C94CBA"/>
    <w:rsid w:val="00C97C08"/>
    <w:rsid w:val="00CA15CD"/>
    <w:rsid w:val="00CB208E"/>
    <w:rsid w:val="00CB6B28"/>
    <w:rsid w:val="00CB7B80"/>
    <w:rsid w:val="00CC1ECE"/>
    <w:rsid w:val="00CC28FA"/>
    <w:rsid w:val="00CC3B9C"/>
    <w:rsid w:val="00CC60E0"/>
    <w:rsid w:val="00CD11FC"/>
    <w:rsid w:val="00CD47BF"/>
    <w:rsid w:val="00CD6CCC"/>
    <w:rsid w:val="00CE5A35"/>
    <w:rsid w:val="00CE7AAE"/>
    <w:rsid w:val="00CF26A5"/>
    <w:rsid w:val="00D03F51"/>
    <w:rsid w:val="00D07B9D"/>
    <w:rsid w:val="00D12076"/>
    <w:rsid w:val="00D20569"/>
    <w:rsid w:val="00D21EC7"/>
    <w:rsid w:val="00D24707"/>
    <w:rsid w:val="00D24E8B"/>
    <w:rsid w:val="00D27263"/>
    <w:rsid w:val="00D50450"/>
    <w:rsid w:val="00D551AD"/>
    <w:rsid w:val="00D60821"/>
    <w:rsid w:val="00D6189B"/>
    <w:rsid w:val="00D63344"/>
    <w:rsid w:val="00D635BE"/>
    <w:rsid w:val="00D706A9"/>
    <w:rsid w:val="00D72B85"/>
    <w:rsid w:val="00D72E64"/>
    <w:rsid w:val="00D7366F"/>
    <w:rsid w:val="00D73D4F"/>
    <w:rsid w:val="00D746F3"/>
    <w:rsid w:val="00D75F7A"/>
    <w:rsid w:val="00D764C8"/>
    <w:rsid w:val="00D80B58"/>
    <w:rsid w:val="00DA1520"/>
    <w:rsid w:val="00DA3D18"/>
    <w:rsid w:val="00DA7547"/>
    <w:rsid w:val="00DB3A4E"/>
    <w:rsid w:val="00DC0273"/>
    <w:rsid w:val="00DC08A7"/>
    <w:rsid w:val="00DC1BDF"/>
    <w:rsid w:val="00DC67D9"/>
    <w:rsid w:val="00DC6AC9"/>
    <w:rsid w:val="00DC7963"/>
    <w:rsid w:val="00DD3366"/>
    <w:rsid w:val="00DE6841"/>
    <w:rsid w:val="00DF0E6D"/>
    <w:rsid w:val="00DF1BB5"/>
    <w:rsid w:val="00DF551A"/>
    <w:rsid w:val="00E0109A"/>
    <w:rsid w:val="00E03092"/>
    <w:rsid w:val="00E06170"/>
    <w:rsid w:val="00E067C2"/>
    <w:rsid w:val="00E122A1"/>
    <w:rsid w:val="00E21606"/>
    <w:rsid w:val="00E32EFE"/>
    <w:rsid w:val="00E35014"/>
    <w:rsid w:val="00E36885"/>
    <w:rsid w:val="00E36F82"/>
    <w:rsid w:val="00E44B5A"/>
    <w:rsid w:val="00E52C61"/>
    <w:rsid w:val="00E653CA"/>
    <w:rsid w:val="00E7020E"/>
    <w:rsid w:val="00E71FDA"/>
    <w:rsid w:val="00E7332A"/>
    <w:rsid w:val="00E77606"/>
    <w:rsid w:val="00E8179F"/>
    <w:rsid w:val="00E86572"/>
    <w:rsid w:val="00E918D6"/>
    <w:rsid w:val="00EA1B39"/>
    <w:rsid w:val="00EA5606"/>
    <w:rsid w:val="00EC3111"/>
    <w:rsid w:val="00EC32F1"/>
    <w:rsid w:val="00EC4980"/>
    <w:rsid w:val="00EC556A"/>
    <w:rsid w:val="00ED5F07"/>
    <w:rsid w:val="00EF3522"/>
    <w:rsid w:val="00EF3E44"/>
    <w:rsid w:val="00EF6AF8"/>
    <w:rsid w:val="00F04C34"/>
    <w:rsid w:val="00F04F34"/>
    <w:rsid w:val="00F114EE"/>
    <w:rsid w:val="00F127E2"/>
    <w:rsid w:val="00F128FD"/>
    <w:rsid w:val="00F13C7C"/>
    <w:rsid w:val="00F15F8D"/>
    <w:rsid w:val="00F246AC"/>
    <w:rsid w:val="00F30BD1"/>
    <w:rsid w:val="00F36A03"/>
    <w:rsid w:val="00F36AD9"/>
    <w:rsid w:val="00F46E88"/>
    <w:rsid w:val="00F47D00"/>
    <w:rsid w:val="00F5437E"/>
    <w:rsid w:val="00F54978"/>
    <w:rsid w:val="00F62E6A"/>
    <w:rsid w:val="00F63757"/>
    <w:rsid w:val="00F67571"/>
    <w:rsid w:val="00F67C65"/>
    <w:rsid w:val="00F74DEA"/>
    <w:rsid w:val="00F80497"/>
    <w:rsid w:val="00F83E59"/>
    <w:rsid w:val="00F921FA"/>
    <w:rsid w:val="00FA207B"/>
    <w:rsid w:val="00FA3295"/>
    <w:rsid w:val="00FA3E27"/>
    <w:rsid w:val="00FA51B5"/>
    <w:rsid w:val="00FC4013"/>
    <w:rsid w:val="00FC4639"/>
    <w:rsid w:val="00FC467B"/>
    <w:rsid w:val="00FD1A6B"/>
    <w:rsid w:val="00FD5B32"/>
    <w:rsid w:val="00FE48DE"/>
    <w:rsid w:val="00FF6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96E6D"/>
  <w15:docId w15:val="{66A55C3E-23C0-4F59-A726-56252D2BD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0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9D9"/>
    <w:pPr>
      <w:ind w:left="720"/>
      <w:contextualSpacing/>
    </w:pPr>
  </w:style>
  <w:style w:type="character" w:customStyle="1" w:styleId="journaltitlesp1">
    <w:name w:val="journaltitlesp1"/>
    <w:basedOn w:val="DefaultParagraphFont"/>
    <w:rsid w:val="00523D0F"/>
    <w:rPr>
      <w:i/>
      <w:iCs/>
    </w:rPr>
  </w:style>
  <w:style w:type="character" w:customStyle="1" w:styleId="issuevolsp">
    <w:name w:val="issuevolsp"/>
    <w:basedOn w:val="DefaultParagraphFont"/>
    <w:rsid w:val="00523D0F"/>
  </w:style>
  <w:style w:type="character" w:customStyle="1" w:styleId="pagerange">
    <w:name w:val="pagerange"/>
    <w:basedOn w:val="DefaultParagraphFont"/>
    <w:rsid w:val="00523D0F"/>
  </w:style>
  <w:style w:type="paragraph" w:styleId="BalloonText">
    <w:name w:val="Balloon Text"/>
    <w:basedOn w:val="Normal"/>
    <w:link w:val="BalloonTextChar"/>
    <w:uiPriority w:val="99"/>
    <w:semiHidden/>
    <w:unhideWhenUsed/>
    <w:rsid w:val="007C7235"/>
    <w:rPr>
      <w:rFonts w:ascii="Tahoma" w:hAnsi="Tahoma" w:cs="Tahoma"/>
      <w:sz w:val="16"/>
      <w:szCs w:val="16"/>
    </w:rPr>
  </w:style>
  <w:style w:type="character" w:customStyle="1" w:styleId="BalloonTextChar">
    <w:name w:val="Balloon Text Char"/>
    <w:basedOn w:val="DefaultParagraphFont"/>
    <w:link w:val="BalloonText"/>
    <w:uiPriority w:val="99"/>
    <w:semiHidden/>
    <w:rsid w:val="007C7235"/>
    <w:rPr>
      <w:rFonts w:ascii="Tahoma" w:hAnsi="Tahoma" w:cs="Tahoma"/>
      <w:sz w:val="16"/>
      <w:szCs w:val="16"/>
    </w:rPr>
  </w:style>
  <w:style w:type="paragraph" w:styleId="NoSpacing">
    <w:name w:val="No Spacing"/>
    <w:uiPriority w:val="1"/>
    <w:qFormat/>
    <w:rsid w:val="00B5424E"/>
  </w:style>
  <w:style w:type="paragraph" w:styleId="Header">
    <w:name w:val="header"/>
    <w:basedOn w:val="Normal"/>
    <w:link w:val="HeaderChar"/>
    <w:uiPriority w:val="99"/>
    <w:unhideWhenUsed/>
    <w:rsid w:val="00CC1ECE"/>
    <w:pPr>
      <w:tabs>
        <w:tab w:val="center" w:pos="4680"/>
        <w:tab w:val="right" w:pos="9360"/>
      </w:tabs>
    </w:pPr>
  </w:style>
  <w:style w:type="character" w:customStyle="1" w:styleId="HeaderChar">
    <w:name w:val="Header Char"/>
    <w:basedOn w:val="DefaultParagraphFont"/>
    <w:link w:val="Header"/>
    <w:uiPriority w:val="99"/>
    <w:rsid w:val="00CC1ECE"/>
  </w:style>
  <w:style w:type="paragraph" w:styleId="Footer">
    <w:name w:val="footer"/>
    <w:basedOn w:val="Normal"/>
    <w:link w:val="FooterChar"/>
    <w:uiPriority w:val="99"/>
    <w:unhideWhenUsed/>
    <w:rsid w:val="00CC1ECE"/>
    <w:pPr>
      <w:tabs>
        <w:tab w:val="center" w:pos="4680"/>
        <w:tab w:val="right" w:pos="9360"/>
      </w:tabs>
    </w:pPr>
  </w:style>
  <w:style w:type="character" w:customStyle="1" w:styleId="FooterChar">
    <w:name w:val="Footer Char"/>
    <w:basedOn w:val="DefaultParagraphFont"/>
    <w:link w:val="Footer"/>
    <w:uiPriority w:val="99"/>
    <w:rsid w:val="00CC1ECE"/>
  </w:style>
  <w:style w:type="character" w:styleId="Hyperlink">
    <w:name w:val="Hyperlink"/>
    <w:basedOn w:val="DefaultParagraphFont"/>
    <w:uiPriority w:val="99"/>
    <w:unhideWhenUsed/>
    <w:rsid w:val="00943813"/>
    <w:rPr>
      <w:color w:val="0000FF" w:themeColor="hyperlink"/>
      <w:u w:val="single"/>
    </w:rPr>
  </w:style>
  <w:style w:type="character" w:styleId="FollowedHyperlink">
    <w:name w:val="FollowedHyperlink"/>
    <w:basedOn w:val="DefaultParagraphFont"/>
    <w:uiPriority w:val="99"/>
    <w:semiHidden/>
    <w:unhideWhenUsed/>
    <w:rsid w:val="00F67571"/>
    <w:rPr>
      <w:color w:val="800080" w:themeColor="followedHyperlink"/>
      <w:u w:val="single"/>
    </w:rPr>
  </w:style>
  <w:style w:type="table" w:styleId="TableGrid">
    <w:name w:val="Table Grid"/>
    <w:basedOn w:val="TableNormal"/>
    <w:uiPriority w:val="59"/>
    <w:rsid w:val="004B5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122A1"/>
    <w:rPr>
      <w:rFonts w:ascii="Times New Roman" w:hAnsi="Times New Roman" w:cs="Times New Roman"/>
      <w:sz w:val="24"/>
      <w:szCs w:val="24"/>
    </w:rPr>
  </w:style>
  <w:style w:type="character" w:customStyle="1" w:styleId="A6">
    <w:name w:val="A6"/>
    <w:uiPriority w:val="99"/>
    <w:rsid w:val="00321528"/>
    <w:rPr>
      <w:color w:val="000000"/>
      <w:sz w:val="21"/>
      <w:szCs w:val="21"/>
    </w:rPr>
  </w:style>
  <w:style w:type="character" w:customStyle="1" w:styleId="UnresolvedMention1">
    <w:name w:val="Unresolved Mention1"/>
    <w:basedOn w:val="DefaultParagraphFont"/>
    <w:uiPriority w:val="99"/>
    <w:semiHidden/>
    <w:unhideWhenUsed/>
    <w:rsid w:val="00DA1520"/>
    <w:rPr>
      <w:color w:val="605E5C"/>
      <w:shd w:val="clear" w:color="auto" w:fill="E1DFDD"/>
    </w:rPr>
  </w:style>
  <w:style w:type="paragraph" w:customStyle="1" w:styleId="Default">
    <w:name w:val="Default"/>
    <w:rsid w:val="00692F42"/>
    <w:pPr>
      <w:autoSpaceDE w:val="0"/>
      <w:autoSpaceDN w:val="0"/>
      <w:adjustRightInd w:val="0"/>
      <w:ind w:firstLine="0"/>
    </w:pPr>
    <w:rPr>
      <w:rFonts w:ascii="Avenir" w:hAnsi="Avenir" w:cs="Avenir"/>
      <w:color w:val="000000"/>
      <w:sz w:val="24"/>
      <w:szCs w:val="24"/>
      <w14:ligatures w14:val="standardContextual"/>
    </w:rPr>
  </w:style>
  <w:style w:type="character" w:styleId="UnresolvedMention">
    <w:name w:val="Unresolved Mention"/>
    <w:basedOn w:val="DefaultParagraphFont"/>
    <w:uiPriority w:val="99"/>
    <w:semiHidden/>
    <w:unhideWhenUsed/>
    <w:rsid w:val="000403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doi.org/10.1016/j.resuscitation.2026.111179" TargetMode="Externa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hyperlink" Target="https://doi.org/10.1016/j.resuscitation.2026.111179" TargetMode="Externa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2B99C-3094-44CE-BAF1-E4DE088BA0E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2568</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PTP</dc:creator>
  <cp:lastModifiedBy>greg Chapman</cp:lastModifiedBy>
  <cp:revision>2</cp:revision>
  <cp:lastPrinted>2026-05-24T20:42:00Z</cp:lastPrinted>
  <dcterms:created xsi:type="dcterms:W3CDTF">2026-08-31T13:40:00Z</dcterms:created>
  <dcterms:modified xsi:type="dcterms:W3CDTF">2026-08-31T13:40:00Z</dcterms:modified>
</cp:coreProperties>
</file>