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B9587" w14:textId="77777777" w:rsidR="00073BA8" w:rsidRDefault="00D27263" w:rsidP="00D27263">
      <w:pPr>
        <w:rPr>
          <w:b/>
        </w:rPr>
      </w:pPr>
      <w:r>
        <w:rPr>
          <w:b/>
        </w:rPr>
        <w:t xml:space="preserve">       </w:t>
      </w:r>
    </w:p>
    <w:p w14:paraId="26CE7074" w14:textId="76552551" w:rsidR="00D27263" w:rsidRDefault="00D27263" w:rsidP="00073BA8">
      <w:pPr>
        <w:ind w:firstLine="0"/>
        <w:rPr>
          <w:sz w:val="48"/>
        </w:rPr>
      </w:pPr>
      <w:r>
        <w:rPr>
          <w:b/>
        </w:rPr>
        <w:t xml:space="preserve"> </w:t>
      </w:r>
      <w:r w:rsidR="00073BA8">
        <w:rPr>
          <w:b/>
          <w:noProof/>
        </w:rPr>
        <w:drawing>
          <wp:inline distT="0" distB="0" distL="0" distR="0" wp14:anchorId="3B85886A" wp14:editId="0CCF2B3E">
            <wp:extent cx="956945" cy="9569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pic:spPr>
                </pic:pic>
              </a:graphicData>
            </a:graphic>
          </wp:inline>
        </w:drawing>
      </w:r>
      <w:proofErr w:type="spellStart"/>
      <w:r>
        <w:rPr>
          <w:sz w:val="40"/>
        </w:rPr>
        <w:t>Revisión</w:t>
      </w:r>
      <w:proofErr w:type="spellEnd"/>
      <w:r>
        <w:rPr>
          <w:sz w:val="40"/>
        </w:rPr>
        <w:t xml:space="preserve"> de la </w:t>
      </w:r>
      <w:proofErr w:type="spellStart"/>
      <w:r>
        <w:rPr>
          <w:sz w:val="40"/>
        </w:rPr>
        <w:t>Literatura</w:t>
      </w:r>
      <w:proofErr w:type="spellEnd"/>
      <w:r>
        <w:rPr>
          <w:sz w:val="40"/>
        </w:rPr>
        <w:t xml:space="preserve"> IPHMI   </w:t>
      </w:r>
      <w:r>
        <w:rPr>
          <w:b/>
          <w:noProof/>
        </w:rPr>
        <w:drawing>
          <wp:inline distT="0" distB="0" distL="0" distR="0" wp14:anchorId="40B1EC8D" wp14:editId="1F24F32C">
            <wp:extent cx="1402080" cy="881243"/>
            <wp:effectExtent l="19050" t="19050" r="26670" b="146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rnlCoversSm.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2080" cy="881243"/>
                    </a:xfrm>
                    <a:prstGeom prst="rect">
                      <a:avLst/>
                    </a:prstGeom>
                    <a:ln w="25400">
                      <a:solidFill>
                        <a:schemeClr val="tx1"/>
                      </a:solidFill>
                    </a:ln>
                  </pic:spPr>
                </pic:pic>
              </a:graphicData>
            </a:graphic>
          </wp:inline>
        </w:drawing>
      </w:r>
    </w:p>
    <w:p w14:paraId="58BCD5BA" w14:textId="2AF7040E" w:rsidR="00D27263" w:rsidRPr="00323738" w:rsidRDefault="00D27263" w:rsidP="00D27263">
      <w:pPr>
        <w:jc w:val="center"/>
        <w:rPr>
          <w:sz w:val="28"/>
          <w:szCs w:val="28"/>
        </w:rPr>
      </w:pPr>
      <w:r>
        <w:rPr>
          <w:sz w:val="28"/>
          <w:szCs w:val="28"/>
        </w:rPr>
        <w:t>Manteniéndote al día con la literatura y los estudios actuales sobre EMS</w:t>
      </w:r>
    </w:p>
    <w:p w14:paraId="5F601443" w14:textId="77922339" w:rsidR="00D27263" w:rsidRDefault="00332A7D" w:rsidP="00332A7D">
      <w:pPr>
        <w:ind w:left="2160" w:firstLine="720"/>
        <w:rPr>
          <w:sz w:val="40"/>
          <w:szCs w:val="40"/>
        </w:rPr>
      </w:pPr>
      <w:r>
        <w:rPr>
          <w:sz w:val="40"/>
          <w:szCs w:val="40"/>
        </w:rPr>
        <w:t xml:space="preserve">    Vol. 8.6</w:t>
      </w:r>
    </w:p>
    <w:p w14:paraId="0DE2D581" w14:textId="77777777" w:rsidR="00692F42" w:rsidRPr="00CD6CCC" w:rsidRDefault="00692F42" w:rsidP="00CD6CCC">
      <w:pPr>
        <w:ind w:firstLine="0"/>
        <w:rPr>
          <w:rFonts w:cstheme="minorHAnsi"/>
        </w:rPr>
      </w:pPr>
      <w:bookmarkStart w:id="0" w:name="_Hlk94267765"/>
      <w:bookmarkStart w:id="1" w:name="_Hlk99358131"/>
      <w:bookmarkStart w:id="2" w:name="_Hlk91327920"/>
    </w:p>
    <w:p w14:paraId="61E65297" w14:textId="08694986" w:rsidR="00347087" w:rsidRPr="00347087" w:rsidRDefault="00347087" w:rsidP="00347087">
      <w:pPr>
        <w:pStyle w:val="Prrafodelista"/>
        <w:numPr>
          <w:ilvl w:val="0"/>
          <w:numId w:val="37"/>
        </w:numPr>
        <w:autoSpaceDE w:val="0"/>
        <w:autoSpaceDN w:val="0"/>
        <w:adjustRightInd w:val="0"/>
        <w:spacing w:before="100" w:beforeAutospacing="1" w:after="100" w:afterAutospacing="1"/>
        <w:rPr>
          <w:rFonts w:eastAsia="Times New Roman" w:cstheme="minorHAnsi"/>
          <w:bCs/>
        </w:rPr>
      </w:pPr>
      <w:bookmarkStart w:id="3" w:name="_Hlk203820223"/>
      <w:bookmarkStart w:id="4" w:name="_Hlk186199917"/>
      <w:bookmarkStart w:id="5" w:name="_Hlk203820021"/>
      <w:bookmarkStart w:id="6" w:name="_Hlk104805474"/>
      <w:bookmarkStart w:id="7" w:name="_Hlk109814945"/>
      <w:bookmarkStart w:id="8" w:name="_Hlk91665549"/>
      <w:bookmarkStart w:id="9" w:name="_Hlk101786252"/>
      <w:bookmarkEnd w:id="0"/>
      <w:bookmarkEnd w:id="1"/>
      <w:bookmarkEnd w:id="2"/>
      <w:r w:rsidRPr="00347087">
        <w:rPr>
          <w:rFonts w:cstheme="minorHAnsi"/>
          <w:b/>
          <w:bCs/>
        </w:rPr>
        <w:t xml:space="preserve">¿Epinefrina en un paro cardíaco traumático prehospitalario: salva vidas o es una falsa esperanza?  </w:t>
      </w:r>
      <w:bookmarkStart w:id="10" w:name="_Hlk217123144"/>
      <w:bookmarkStart w:id="11" w:name="_Hlk188787144"/>
      <w:bookmarkStart w:id="12" w:name="_Hlk203820641"/>
      <w:bookmarkStart w:id="13" w:name="_Hlk209350553"/>
      <w:bookmarkEnd w:id="3"/>
      <w:bookmarkEnd w:id="4"/>
      <w:bookmarkEnd w:id="5"/>
      <w:r w:rsidRPr="00347087">
        <w:rPr>
          <w:rFonts w:cstheme="minorHAnsi"/>
        </w:rPr>
        <w:t xml:space="preserve">Witt CE, Shatz DV, Robinson BRH, entre otros.  </w:t>
      </w:r>
      <w:r w:rsidRPr="00347087">
        <w:rPr>
          <w:rFonts w:cstheme="minorHAnsi"/>
          <w:i/>
          <w:iCs/>
        </w:rPr>
        <w:t xml:space="preserve">Atención de Urgencias Prehospitalarias </w:t>
      </w:r>
      <w:r w:rsidRPr="00347087">
        <w:rPr>
          <w:rFonts w:cstheme="minorHAnsi"/>
        </w:rPr>
        <w:t>2026; 30:153–161.</w:t>
      </w:r>
    </w:p>
    <w:p w14:paraId="361256DE" w14:textId="74FD37B3" w:rsidR="00054BFF" w:rsidRPr="00054BFF" w:rsidRDefault="00054BFF" w:rsidP="00DF0E6D">
      <w:pPr>
        <w:pStyle w:val="Prrafodelista"/>
        <w:numPr>
          <w:ilvl w:val="0"/>
          <w:numId w:val="37"/>
        </w:numPr>
        <w:autoSpaceDE w:val="0"/>
        <w:autoSpaceDN w:val="0"/>
        <w:adjustRightInd w:val="0"/>
        <w:spacing w:before="100" w:beforeAutospacing="1" w:after="100" w:afterAutospacing="1"/>
        <w:rPr>
          <w:rFonts w:eastAsia="Times New Roman" w:cstheme="minorHAnsi"/>
        </w:rPr>
      </w:pPr>
      <w:r w:rsidRPr="00054BFF">
        <w:rPr>
          <w:rFonts w:cstheme="minorHAnsi"/>
          <w:b/>
        </w:rPr>
        <w:t xml:space="preserve">Acceso vascular por parte de los paramédicos durante la reanimación cardiopulmonar en paro cardíaco fuera del hospital: Estudio retrospectivo de las tasas de éxito de inserción y los resultados de supervivencia de la vía intravenosa versus intraósea. </w:t>
      </w:r>
      <w:r w:rsidRPr="00054BFF">
        <w:rPr>
          <w:rFonts w:cstheme="minorHAnsi"/>
          <w:bCs/>
        </w:rPr>
        <w:t xml:space="preserve">DOA TN, Rashford S, Rolley A, Schultz B, Bosley E.  </w:t>
      </w:r>
      <w:bookmarkStart w:id="14" w:name="_Hlk220156538"/>
      <w:bookmarkStart w:id="15" w:name="_Hlk217123478"/>
      <w:bookmarkEnd w:id="10"/>
      <w:r w:rsidRPr="00054BFF">
        <w:rPr>
          <w:rFonts w:cstheme="minorHAnsi"/>
          <w:bCs/>
          <w:i/>
          <w:iCs/>
        </w:rPr>
        <w:t xml:space="preserve">American Journal of Emergency Medicine </w:t>
      </w:r>
      <w:r>
        <w:rPr>
          <w:rFonts w:cstheme="minorHAnsi"/>
          <w:bCs/>
        </w:rPr>
        <w:t>2026; 103:73–78.</w:t>
      </w:r>
    </w:p>
    <w:p w14:paraId="4C224488" w14:textId="64AEF960" w:rsidR="00F127E2" w:rsidRPr="00054BFF" w:rsidRDefault="00054BFF" w:rsidP="00DF0E6D">
      <w:pPr>
        <w:pStyle w:val="Prrafodelista"/>
        <w:numPr>
          <w:ilvl w:val="0"/>
          <w:numId w:val="37"/>
        </w:numPr>
        <w:autoSpaceDE w:val="0"/>
        <w:autoSpaceDN w:val="0"/>
        <w:adjustRightInd w:val="0"/>
        <w:spacing w:before="100" w:beforeAutospacing="1" w:after="100" w:afterAutospacing="1"/>
        <w:rPr>
          <w:rFonts w:eastAsia="Times New Roman" w:cstheme="minorHAnsi"/>
        </w:rPr>
      </w:pPr>
      <w:r w:rsidRPr="00054BFF">
        <w:rPr>
          <w:rFonts w:eastAsia="Times New Roman" w:cstheme="minorHAnsi"/>
          <w:b/>
          <w:bCs/>
        </w:rPr>
        <w:t xml:space="preserve">Colocación del i-gel® en paramédicos y percepción de su uso en la gestión prehospitalaria de las vías respiratorias.  </w:t>
      </w:r>
      <w:bookmarkStart w:id="16" w:name="_Hlk217124342"/>
      <w:bookmarkEnd w:id="14"/>
      <w:r w:rsidRPr="00054BFF">
        <w:rPr>
          <w:rFonts w:eastAsia="Times New Roman" w:cstheme="minorHAnsi"/>
        </w:rPr>
        <w:t xml:space="preserve">Wilhelm K, Toy J, Warren J, et al.  </w:t>
      </w:r>
      <w:r w:rsidRPr="00054BFF">
        <w:rPr>
          <w:rFonts w:eastAsia="Times New Roman" w:cstheme="minorHAnsi"/>
          <w:i/>
          <w:iCs/>
        </w:rPr>
        <w:t xml:space="preserve">Atención de urgencias prehospitalarias, </w:t>
      </w:r>
      <w:r w:rsidRPr="00054BFF">
        <w:rPr>
          <w:rFonts w:eastAsia="Times New Roman" w:cstheme="minorHAnsi"/>
        </w:rPr>
        <w:t>2026;30:290-295.</w:t>
      </w:r>
    </w:p>
    <w:bookmarkEnd w:id="6"/>
    <w:bookmarkEnd w:id="7"/>
    <w:bookmarkEnd w:id="8"/>
    <w:bookmarkEnd w:id="9"/>
    <w:bookmarkEnd w:id="11"/>
    <w:bookmarkEnd w:id="12"/>
    <w:bookmarkEnd w:id="13"/>
    <w:bookmarkEnd w:id="15"/>
    <w:bookmarkEnd w:id="16"/>
    <w:p w14:paraId="2AA19D0C" w14:textId="39EADA23" w:rsidR="00592EF2" w:rsidRPr="00592EF2" w:rsidRDefault="00592EF2" w:rsidP="00592EF2">
      <w:pPr>
        <w:pStyle w:val="Prrafodelista"/>
        <w:numPr>
          <w:ilvl w:val="0"/>
          <w:numId w:val="37"/>
        </w:numPr>
        <w:rPr>
          <w:rFonts w:ascii="Calibri" w:hAnsi="Calibri" w:cs="Calibri"/>
        </w:rPr>
      </w:pPr>
      <w:r w:rsidRPr="00592EF2">
        <w:rPr>
          <w:rFonts w:ascii="Calibri" w:hAnsi="Calibri" w:cs="Calibri"/>
          <w:b/>
          <w:bCs/>
        </w:rPr>
        <w:t xml:space="preserve">¿Podríamos haber detenido la hemorragia? Examen de 5.765 autopsias de homicidio a lo largo de 13 años. </w:t>
      </w:r>
      <w:r w:rsidRPr="00592EF2">
        <w:rPr>
          <w:rFonts w:ascii="Calibri" w:hAnsi="Calibri" w:cs="Calibri"/>
        </w:rPr>
        <w:t xml:space="preserve">Okum SE, Mehta A, Lunardi N, et al.  </w:t>
      </w:r>
      <w:r w:rsidRPr="00592EF2">
        <w:rPr>
          <w:rFonts w:ascii="Calibri" w:hAnsi="Calibri" w:cs="Calibri"/>
          <w:i/>
          <w:iCs/>
        </w:rPr>
        <w:t xml:space="preserve">J Am Coll Cirugía </w:t>
      </w:r>
      <w:r w:rsidRPr="00592EF2">
        <w:rPr>
          <w:rFonts w:ascii="Calibri" w:hAnsi="Calibri" w:cs="Calibri"/>
        </w:rPr>
        <w:t>2026; 242:562–571.</w:t>
      </w:r>
    </w:p>
    <w:p w14:paraId="0A76811E" w14:textId="77777777" w:rsidR="00BD0399" w:rsidRPr="00054BFF" w:rsidRDefault="00BD0399" w:rsidP="00BD0399">
      <w:pPr>
        <w:pStyle w:val="Prrafodelista"/>
        <w:ind w:left="360" w:firstLine="0"/>
        <w:rPr>
          <w:rFonts w:cstheme="minorHAnsi"/>
          <w:bCs/>
        </w:rPr>
      </w:pPr>
    </w:p>
    <w:p w14:paraId="27AA9F32" w14:textId="35752877" w:rsidR="00822E86" w:rsidRPr="00347087" w:rsidRDefault="00347087" w:rsidP="00347087">
      <w:pPr>
        <w:pStyle w:val="Prrafodelista"/>
        <w:numPr>
          <w:ilvl w:val="0"/>
          <w:numId w:val="47"/>
        </w:numPr>
        <w:autoSpaceDE w:val="0"/>
        <w:autoSpaceDN w:val="0"/>
        <w:adjustRightInd w:val="0"/>
        <w:spacing w:before="100" w:beforeAutospacing="1" w:after="100" w:afterAutospacing="1"/>
        <w:rPr>
          <w:rFonts w:eastAsia="Times New Roman" w:cstheme="minorHAnsi"/>
          <w:bCs/>
        </w:rPr>
      </w:pPr>
      <w:r w:rsidRPr="00347087">
        <w:rPr>
          <w:rFonts w:cstheme="minorHAnsi"/>
          <w:b/>
          <w:bCs/>
        </w:rPr>
        <w:t>¿Epinefrina en un paro cardíaco traumático prehospitalario: salva vidas o es una falsa esperanza?</w:t>
      </w:r>
      <w:r w:rsidRPr="00347087">
        <w:rPr>
          <w:rFonts w:cstheme="minorHAnsi"/>
        </w:rPr>
        <w:t xml:space="preserve">  Witt CE, Shatz DV, Robinson BRH, entre otros.  </w:t>
      </w:r>
      <w:r w:rsidRPr="00347087">
        <w:rPr>
          <w:rFonts w:cstheme="minorHAnsi"/>
          <w:i/>
          <w:iCs/>
        </w:rPr>
        <w:t xml:space="preserve">Atención de Urgencias Prehospitalarias </w:t>
      </w:r>
      <w:r w:rsidRPr="00347087">
        <w:rPr>
          <w:rFonts w:cstheme="minorHAnsi"/>
        </w:rPr>
        <w:t>2026; 30:153–161.</w:t>
      </w:r>
    </w:p>
    <w:p w14:paraId="50215F4B" w14:textId="77777777" w:rsidR="00A834E7" w:rsidRPr="00A834E7" w:rsidRDefault="00A834E7" w:rsidP="00A834E7">
      <w:pPr>
        <w:pStyle w:val="Prrafodelista"/>
        <w:ind w:left="360" w:firstLine="0"/>
        <w:rPr>
          <w:rFonts w:cstheme="minorHAnsi"/>
        </w:rPr>
      </w:pPr>
    </w:p>
    <w:p w14:paraId="5E03AE7A" w14:textId="77777777" w:rsidR="00347087" w:rsidRPr="002F3D13" w:rsidRDefault="00347087" w:rsidP="00347087">
      <w:pPr>
        <w:rPr>
          <w:rFonts w:ascii="Calibri" w:hAnsi="Calibri" w:cs="Calibri"/>
        </w:rPr>
      </w:pPr>
      <w:r w:rsidRPr="002F3D13">
        <w:rPr>
          <w:rFonts w:ascii="Calibri" w:hAnsi="Calibri" w:cs="Calibri"/>
        </w:rPr>
        <w:t xml:space="preserve">La etiología del paro cardíaco varía entre pacientes médicos y traumatismos, aunque la administración prehospitalaria de epinefrina suele utilizarse para ambos. En el caso del paro cardíaco médico, la etiología suele ser una anomalía eléctrica que conduce a una disritmia potencialmente mortal. El algoritmo de Soporte Vital Cardíaco Avanzado (ACLS) se centra en la desfibrilación precoz, las compresiones torácicas cerradas y el uso de epinefrina. En el paro cardíaco traumático, la etiología es hemorragia, hipoxia grave o deterioro de la función cardíaca por tamponamiento o fisiología de tensión. A pesar de las diferencias, los principios del LCA se aplican a menudo a pacientes en paro cardíaco traumático. </w:t>
      </w:r>
    </w:p>
    <w:p w14:paraId="4E495636" w14:textId="77777777" w:rsidR="00347087" w:rsidRPr="002F3D13" w:rsidRDefault="00347087" w:rsidP="00347087">
      <w:pPr>
        <w:rPr>
          <w:rFonts w:ascii="Calibri" w:hAnsi="Calibri" w:cs="Calibri"/>
        </w:rPr>
      </w:pPr>
      <w:r w:rsidRPr="002F3D13">
        <w:rPr>
          <w:rFonts w:ascii="Calibri" w:hAnsi="Calibri" w:cs="Calibri"/>
        </w:rPr>
        <w:t xml:space="preserve">Existen datos limitados sobre el uso del LCA en paros cardíacos traumáticos. Se ha demostrado que las compresiones torácicas cerradas (RCP) tienen un valor limitado en el paro cardíaco por shock hemorrágico. La epinefrina, que tiene efectos inotrópicos y vasoconstrictores, es menos eficaz en un corazón que puede no estar lleno.  Los autores plantean la hipótesis de que el uso de epinefrina no mejora la supervivencia en pacientes con paro cardíaco traumático. </w:t>
      </w:r>
    </w:p>
    <w:p w14:paraId="6E7D31ED" w14:textId="77777777" w:rsidR="00347087" w:rsidRPr="002F3D13" w:rsidRDefault="00347087" w:rsidP="00347087">
      <w:pPr>
        <w:rPr>
          <w:rFonts w:ascii="Calibri" w:hAnsi="Calibri" w:cs="Calibri"/>
        </w:rPr>
      </w:pPr>
      <w:r w:rsidRPr="002F3D13">
        <w:rPr>
          <w:rFonts w:ascii="Calibri" w:hAnsi="Calibri" w:cs="Calibri"/>
        </w:rPr>
        <w:t xml:space="preserve">Este fue un estudio de cohorte retrospectivo de 7 centros de trauma en EE. UU. (6 centros de Nivel 1 y uno de Nivel 2). Los datos se recopilaron durante un periodo de 6 años, de 2011 a 2017. Los datos recogidos incluyeron el uso o exclusión de epinefrina en el campo y en urgencias, ritmo cardíaco en el campo y en urgencias, tiempo en la escena de emergencias, mecanismo de lesión, demografía, procedimientos hospitalarios y resultados de alta. La variable principal estudiada fue el uso de epinefrina. No se informaron dosis. Se excluyeron a los pacientes que se sospechaba de tener una causa </w:t>
      </w:r>
      <w:r w:rsidRPr="002F3D13">
        <w:rPr>
          <w:rFonts w:ascii="Calibri" w:hAnsi="Calibri" w:cs="Calibri"/>
        </w:rPr>
        <w:lastRenderedPageBreak/>
        <w:t>médica en su paro cardíaco y que fueron clasificados inadvertidamente como paro traumático. El resultado principal fue la supervivencia hasta el alta hospitalaria.</w:t>
      </w:r>
    </w:p>
    <w:p w14:paraId="53F148E8" w14:textId="77777777" w:rsidR="00347087" w:rsidRPr="002F3D13" w:rsidRDefault="00347087" w:rsidP="00347087">
      <w:pPr>
        <w:rPr>
          <w:rFonts w:ascii="Calibri" w:hAnsi="Calibri" w:cs="Calibri"/>
        </w:rPr>
      </w:pPr>
      <w:r w:rsidRPr="002F3D13">
        <w:rPr>
          <w:rFonts w:ascii="Calibri" w:hAnsi="Calibri" w:cs="Calibri"/>
        </w:rPr>
        <w:t xml:space="preserve">En total, se incluyeron 1.631 pacientes en la cohorte final del estudio. Se administró epinefrina prehospitalaria a 844 pacientes (52%). La edad media de los pacientes era de 35 años y el 21% eran mujeres. El tiempo medio desde la llegada de los servicios médicos hasta la llegada a urgencias fue de 22 minutos. La supervivencia global fue del 10%. La supervivencia fue del 5% con un mecanismo penetrante, del 9% con un mecanismo romo y del 8% de los clasificados como "romos/penetrantes". </w:t>
      </w:r>
    </w:p>
    <w:p w14:paraId="6A86D734" w14:textId="77777777" w:rsidR="00347087" w:rsidRPr="002F3D13" w:rsidRDefault="00347087" w:rsidP="00347087">
      <w:pPr>
        <w:rPr>
          <w:rFonts w:ascii="Calibri" w:hAnsi="Calibri" w:cs="Calibri"/>
        </w:rPr>
      </w:pPr>
      <w:r w:rsidRPr="002F3D13">
        <w:rPr>
          <w:rFonts w:ascii="Calibri" w:hAnsi="Calibri" w:cs="Calibri"/>
        </w:rPr>
        <w:t xml:space="preserve">La supervivencia hasta el alta hospitalaria fue significativamente menor en la cohorte prehospitalaria de epinefrina en comparación con la cohorte sin epinefrina (5% frente a 16%). Cuando se estratificaba por mecanismo, la epinefrina se asociaba con una menor supervivencia tanto en el mecanismo contundente como en el mecanismo romo/penetrante. Entre la cohorte penetrante, la supervivencia hasta el alta hospitalaria no fue significativamente diferente. En estos pacientes penetrantes hubo un aumento de la supervivencia para la disposición de urgencias, pero no hubo diferencia en la supervivencia global respecto al alta hospitalaria. </w:t>
      </w:r>
    </w:p>
    <w:p w14:paraId="55B88D5F" w14:textId="77777777" w:rsidR="00054BFF" w:rsidRDefault="00347087" w:rsidP="00054BFF">
      <w:pPr>
        <w:rPr>
          <w:rFonts w:ascii="Calibri" w:hAnsi="Calibri" w:cs="Calibri"/>
        </w:rPr>
      </w:pPr>
      <w:r w:rsidRPr="002F3D13">
        <w:rPr>
          <w:rFonts w:ascii="Calibri" w:hAnsi="Calibri" w:cs="Calibri"/>
        </w:rPr>
        <w:t xml:space="preserve">Este estudio presenta varias limitaciones. Se trata de un estudio de cohorte retrospectivo de 7 centros de trauma, sujeto a limitaciones asociadas a los estudios retrospectivos, como la selección y el sesgo del superviviente. Los patrones de práctica en los 7 centros de trauma pueden no ser aplicables a todos los sistemas. No se estudiaron otras intervenciones prehospitalarias como transfusiones de sangre, uso de ácido tranexámico, ligantes pélvicos y uso de torniquetes. </w:t>
      </w:r>
    </w:p>
    <w:p w14:paraId="719DFC5A" w14:textId="799EA1F8" w:rsidR="00054BFF" w:rsidRPr="00054BFF" w:rsidRDefault="00347087" w:rsidP="00054BFF">
      <w:pPr>
        <w:rPr>
          <w:rFonts w:ascii="Calibri" w:hAnsi="Calibri" w:cs="Calibri"/>
        </w:rPr>
      </w:pPr>
      <w:r w:rsidRPr="00054BFF">
        <w:rPr>
          <w:rFonts w:ascii="Calibri" w:hAnsi="Calibri" w:cs="Calibri"/>
        </w:rPr>
        <w:t>En este estudio sobre el uso prehospitalario de epinefrina en paro cardíaco traumático en 7 centros de trauma, la epinefrina prehospitalaria no mejoró la supervivencia y de hecho pudo empeorar los resultados. Esto probablemente se deba a las diferentes etiologías del paro cardíaco debido a un traumatismo en comparación con el paro médico. Estos resultados también se han replicado en varios estudios internacionales. Actualmente no existen directrices nacionales claras para el manejo del paciente con paro cardíaco traumático y este estudio podría proporcionar un marco para la adopción de una política de "no epinefrina" para el manejo del paro cardíaco debido a un traumatismo</w:t>
      </w:r>
    </w:p>
    <w:p w14:paraId="57839C4E" w14:textId="77777777" w:rsidR="00054BFF" w:rsidRPr="00054BFF" w:rsidRDefault="00054BFF" w:rsidP="00054BFF">
      <w:pPr>
        <w:pStyle w:val="Prrafodelista"/>
        <w:numPr>
          <w:ilvl w:val="0"/>
          <w:numId w:val="48"/>
        </w:numPr>
        <w:autoSpaceDE w:val="0"/>
        <w:autoSpaceDN w:val="0"/>
        <w:adjustRightInd w:val="0"/>
        <w:spacing w:before="100" w:beforeAutospacing="1" w:after="100" w:afterAutospacing="1"/>
        <w:rPr>
          <w:rFonts w:eastAsia="Times New Roman" w:cstheme="minorHAnsi"/>
        </w:rPr>
      </w:pPr>
      <w:r w:rsidRPr="00054BFF">
        <w:rPr>
          <w:rFonts w:cstheme="minorHAnsi"/>
          <w:b/>
        </w:rPr>
        <w:t xml:space="preserve">Acceso vascular por parte de los paramédicos durante la reanimación cardiopulmonar en paro cardíaco fuera del hospital: Estudio retrospectivo de las tasas de éxito de inserción y los resultados de supervivencia de la vía intravenosa versus intraósea. </w:t>
      </w:r>
      <w:r w:rsidRPr="00054BFF">
        <w:rPr>
          <w:rFonts w:cstheme="minorHAnsi"/>
          <w:bCs/>
        </w:rPr>
        <w:t xml:space="preserve">DOA TN, Rashford S, Rolley A, Schultz B, Bosley E.  </w:t>
      </w:r>
      <w:r w:rsidRPr="00054BFF">
        <w:rPr>
          <w:rFonts w:cstheme="minorHAnsi"/>
          <w:bCs/>
          <w:i/>
          <w:iCs/>
        </w:rPr>
        <w:t xml:space="preserve">American Journal of Emergency Medicine </w:t>
      </w:r>
      <w:r>
        <w:rPr>
          <w:rFonts w:cstheme="minorHAnsi"/>
          <w:bCs/>
        </w:rPr>
        <w:t>2026; 103:73–78.</w:t>
      </w:r>
    </w:p>
    <w:p w14:paraId="5457B17D" w14:textId="77777777" w:rsidR="000403B1" w:rsidRPr="009B3196" w:rsidRDefault="000403B1" w:rsidP="000403B1">
      <w:pPr>
        <w:pStyle w:val="Prrafodelista"/>
        <w:ind w:left="360" w:firstLine="0"/>
        <w:rPr>
          <w:rFonts w:cstheme="minorHAnsi"/>
          <w:b/>
        </w:rPr>
      </w:pPr>
    </w:p>
    <w:p w14:paraId="02D76677" w14:textId="77777777" w:rsidR="00054BFF" w:rsidRPr="00AD354E" w:rsidRDefault="00054BFF" w:rsidP="00054BFF">
      <w:pPr>
        <w:rPr>
          <w:rFonts w:asciiTheme="majorHAnsi" w:hAnsiTheme="majorHAnsi" w:cstheme="majorHAnsi"/>
        </w:rPr>
      </w:pPr>
      <w:r w:rsidRPr="00AD354E">
        <w:rPr>
          <w:rFonts w:asciiTheme="majorHAnsi" w:hAnsiTheme="majorHAnsi" w:cstheme="majorHAnsi"/>
        </w:rPr>
        <w:t xml:space="preserve">Las directrices actuales de reanimación siguen recomendando el acceso intravenoso (IV) como la vía principal de administración de medicación en pacientes que sufren paro cardíaco.  Esto es cierto tanto para el entorno hospitalario como externo.  Con la introducción de dispositivos de inserción tipo taladro, el acceso intraósea (IO) se ha vuelto más fácil y rápido y con frecuencia reemplaza el acceso intravenoso como la primera vía de administración de medicación durante un paro cardíaco fuera del hospital.  </w:t>
      </w:r>
    </w:p>
    <w:p w14:paraId="5A8E7BE6" w14:textId="77777777" w:rsidR="00054BFF" w:rsidRPr="00AD354E" w:rsidRDefault="00054BFF" w:rsidP="00054BFF">
      <w:pPr>
        <w:rPr>
          <w:rFonts w:asciiTheme="majorHAnsi" w:hAnsiTheme="majorHAnsi" w:cstheme="majorHAnsi"/>
        </w:rPr>
      </w:pPr>
      <w:r w:rsidRPr="00AD354E">
        <w:rPr>
          <w:rFonts w:asciiTheme="majorHAnsi" w:hAnsiTheme="majorHAnsi" w:cstheme="majorHAnsi"/>
        </w:rPr>
        <w:t>¿Afecta la vía de administración de la medicación para la reanimación las tasas de retorno de la circulación espontánea (ROSC), las tasas de supervivencia a alta y las tasas de supervivencia a 30 días?  Los autores de este artículo intentaron responder a estas preguntas y también analizar las tasas de éxito en el primer intento con acceso intravenoso y de entrada/salida.</w:t>
      </w:r>
    </w:p>
    <w:p w14:paraId="131C5C0E" w14:textId="77777777" w:rsidR="00054BFF" w:rsidRPr="00AD354E" w:rsidRDefault="00054BFF" w:rsidP="00054BFF">
      <w:pPr>
        <w:rPr>
          <w:rFonts w:asciiTheme="majorHAnsi" w:hAnsiTheme="majorHAnsi" w:cstheme="majorHAnsi"/>
        </w:rPr>
      </w:pPr>
      <w:r w:rsidRPr="00AD354E">
        <w:rPr>
          <w:rFonts w:asciiTheme="majorHAnsi" w:hAnsiTheme="majorHAnsi" w:cstheme="majorHAnsi"/>
        </w:rPr>
        <w:t xml:space="preserve">Este es un sistema único (Servicio de Ambulancias de Queensland [QAS]; Queensland, Australia) estudio retrospectivo de revisión de historiales.  Los autores analizaron todos los paros cardíacos (OHCA) de origen médico en adultos fuera del hospital, entre enero de 2018 y diciembre de 2024, que fueron tratados por paramédicos QAS.  En los protocolos de tratamiento QAS, el primer intento preferido de acceso vascular es por vía intravenosa, seguido de la IO si no se puede obtener acceso intravenoso.  Los paramédicos tienen autonomía sobre la ubicación del acceso vascular.  Los </w:t>
      </w:r>
      <w:r w:rsidRPr="00AD354E">
        <w:rPr>
          <w:rFonts w:asciiTheme="majorHAnsi" w:hAnsiTheme="majorHAnsi" w:cstheme="majorHAnsi"/>
        </w:rPr>
        <w:lastRenderedPageBreak/>
        <w:t>autores compararon datos de informes electrónicos de atención prehospitalaria con los registros hospitalarios y el registro de defunciones para obtener datos de resultados.</w:t>
      </w:r>
    </w:p>
    <w:p w14:paraId="35CA0BB2" w14:textId="4B516D3C" w:rsidR="00054BFF" w:rsidRPr="00AD354E" w:rsidRDefault="00054BFF" w:rsidP="00054BFF">
      <w:pPr>
        <w:rPr>
          <w:rFonts w:asciiTheme="majorHAnsi" w:hAnsiTheme="majorHAnsi" w:cstheme="majorHAnsi"/>
        </w:rPr>
      </w:pPr>
      <w:r w:rsidRPr="00AD354E">
        <w:rPr>
          <w:rFonts w:asciiTheme="majorHAnsi" w:hAnsiTheme="majorHAnsi" w:cstheme="majorHAnsi"/>
        </w:rPr>
        <w:t>Se identificaron 9.854 pacientes OHCA para el estudio.  Un gran número de los pacientes (93,3% / 9.197) se intentó el primer paso de acceso vascular por vía intravenosa.  El grupo restante (6,7% / 657) fue sometido a la inserción de IO como primer intento de acceso vascular.  La tasa de éxito global en el primer intento de acceso combinado IV y IO fue del 70,2%.  En total, el 77,5% de los pacientes recibieron medicación por vía intravenosa, el 16,6% por IO y el 5,9% nunca tuvo acceso vascular exitoso establecido.  Antes y después de la puntuación de propensión por propensión, los pacientes del grupo de IO tenían menos probabilidades de haber experimentado ROSC al llegar al hospital (19,4% frente a 26,7%, p&lt;0,001).  No hubo diferencia en la supervivencia respecto al alta hospitalaria ni en las tasas de supervivencia a 30 días.</w:t>
      </w:r>
    </w:p>
    <w:p w14:paraId="232F6D87" w14:textId="77777777" w:rsidR="00054BFF" w:rsidRPr="00AD354E" w:rsidRDefault="00054BFF" w:rsidP="00054BFF">
      <w:pPr>
        <w:rPr>
          <w:rFonts w:asciiTheme="majorHAnsi" w:hAnsiTheme="majorHAnsi" w:cstheme="majorHAnsi"/>
        </w:rPr>
      </w:pPr>
    </w:p>
    <w:p w14:paraId="6D89A0EB" w14:textId="77777777" w:rsidR="00054BFF" w:rsidRPr="00AD354E" w:rsidRDefault="00054BFF" w:rsidP="00054BFF">
      <w:pPr>
        <w:rPr>
          <w:rFonts w:asciiTheme="majorHAnsi" w:hAnsiTheme="majorHAnsi" w:cstheme="majorHAnsi"/>
        </w:rPr>
      </w:pPr>
      <w:r w:rsidRPr="00AD354E">
        <w:rPr>
          <w:rFonts w:asciiTheme="majorHAnsi" w:hAnsiTheme="majorHAnsi" w:cstheme="majorHAnsi"/>
        </w:rPr>
        <w:t xml:space="preserve">Los autores informaron de altas tasas de éxito para el acceso vascular en pacientes OHCA que utilizaban tanto vías intravenosa como IO.  Concluyeron que los pacientes con acceso primario a IO en OHCA pueden tener menores incidencias de ROSC, dejando la IV como la vía preferida de acceso vascular en el primer intento.  </w:t>
      </w:r>
    </w:p>
    <w:p w14:paraId="1C565E50" w14:textId="77777777" w:rsidR="00054BFF" w:rsidRPr="00AD354E" w:rsidRDefault="00054BFF" w:rsidP="00054BFF">
      <w:pPr>
        <w:rPr>
          <w:rFonts w:asciiTheme="majorHAnsi" w:hAnsiTheme="majorHAnsi" w:cstheme="majorHAnsi"/>
        </w:rPr>
      </w:pPr>
      <w:r w:rsidRPr="00AD354E">
        <w:rPr>
          <w:rFonts w:asciiTheme="majorHAnsi" w:hAnsiTheme="majorHAnsi" w:cstheme="majorHAnsi"/>
        </w:rPr>
        <w:t>Este estudio presentaba limitaciones, siendo las dos primeras la naturaleza retrospectiva del estudio y su fuente de datos de agencia única.  Los autores no tuvieron en cuenta las variables que pudieron haber contribuido a la decisión de los paramédicos de utilizar una vía de acceso vascular sobre la otra (hábito corporal y comorbilidades).  Los autores también señalaron que una parte de este estudio tuvo lugar durante la pandemia de COVID-19, lo que pudo haber afectado a los datos de supervivencia.</w:t>
      </w:r>
    </w:p>
    <w:p w14:paraId="43861143" w14:textId="77777777" w:rsidR="00054BFF" w:rsidRPr="00AD354E" w:rsidRDefault="00054BFF" w:rsidP="00054BFF">
      <w:pPr>
        <w:rPr>
          <w:rFonts w:asciiTheme="majorHAnsi" w:hAnsiTheme="majorHAnsi" w:cstheme="majorHAnsi"/>
        </w:rPr>
      </w:pPr>
      <w:r w:rsidRPr="00AD354E">
        <w:rPr>
          <w:rFonts w:asciiTheme="majorHAnsi" w:hAnsiTheme="majorHAnsi" w:cstheme="majorHAnsi"/>
        </w:rPr>
        <w:t>Los proveedores prehospitalarios deben seguir los protocolos locales para el acceso vascular durante la OHCA y todas las interacciones con pacientes.  Las guías de reanimación siguen describiendo el acceso intravenoso como el primer intento preferido de acceso vascular para pacientes en paro cardíaco. Aunque la ROSC es más baja en la vía de la IO para la administración de medicamentos, es una alternativa adecuada cuando el acceso intravenoso no tiene éxito o es difícil de obtener.</w:t>
      </w:r>
    </w:p>
    <w:p w14:paraId="3138AD0D" w14:textId="77777777" w:rsidR="00054BFF" w:rsidRPr="00054BFF" w:rsidRDefault="00054BFF" w:rsidP="00054BFF">
      <w:pPr>
        <w:pStyle w:val="Prrafodelista"/>
        <w:numPr>
          <w:ilvl w:val="0"/>
          <w:numId w:val="49"/>
        </w:numPr>
        <w:autoSpaceDE w:val="0"/>
        <w:autoSpaceDN w:val="0"/>
        <w:adjustRightInd w:val="0"/>
        <w:spacing w:before="100" w:beforeAutospacing="1" w:after="100" w:afterAutospacing="1"/>
        <w:rPr>
          <w:rFonts w:eastAsia="Times New Roman" w:cstheme="minorHAnsi"/>
        </w:rPr>
      </w:pPr>
      <w:r w:rsidRPr="00054BFF">
        <w:rPr>
          <w:rFonts w:eastAsia="Times New Roman" w:cstheme="minorHAnsi"/>
          <w:b/>
          <w:bCs/>
        </w:rPr>
        <w:t xml:space="preserve">Colocación del i-gel® en paramédicos y percepción de su uso en la gestión prehospitalaria de las vías respiratorias.  </w:t>
      </w:r>
      <w:r w:rsidRPr="00054BFF">
        <w:rPr>
          <w:rFonts w:eastAsia="Times New Roman" w:cstheme="minorHAnsi"/>
        </w:rPr>
        <w:t xml:space="preserve">Wilhelm K, Toy J, Warren J, et al.  </w:t>
      </w:r>
      <w:r w:rsidRPr="00054BFF">
        <w:rPr>
          <w:rFonts w:eastAsia="Times New Roman" w:cstheme="minorHAnsi"/>
          <w:i/>
          <w:iCs/>
        </w:rPr>
        <w:t xml:space="preserve">Atención de urgencias prehospitalarias, </w:t>
      </w:r>
      <w:r w:rsidRPr="00054BFF">
        <w:rPr>
          <w:rFonts w:eastAsia="Times New Roman" w:cstheme="minorHAnsi"/>
        </w:rPr>
        <w:t>2026;30:290-295.</w:t>
      </w:r>
    </w:p>
    <w:p w14:paraId="65EA8B40" w14:textId="77777777" w:rsidR="00CE5A35" w:rsidRPr="00CE5A35" w:rsidRDefault="00CE5A35" w:rsidP="00CE5A35">
      <w:pPr>
        <w:pStyle w:val="Prrafodelista"/>
        <w:ind w:left="360" w:firstLine="0"/>
        <w:rPr>
          <w:rFonts w:eastAsia="Times New Roman" w:cstheme="minorHAnsi"/>
          <w:b/>
          <w:bCs/>
        </w:rPr>
      </w:pPr>
    </w:p>
    <w:p w14:paraId="23789B99" w14:textId="0B916887" w:rsidR="00054BFF" w:rsidRPr="00054BFF" w:rsidRDefault="00054BFF" w:rsidP="00054BFF">
      <w:pPr>
        <w:rPr>
          <w:rFonts w:ascii="Calibri" w:hAnsi="Calibri" w:cs="Calibri"/>
        </w:rPr>
      </w:pPr>
      <w:r w:rsidRPr="00054BFF">
        <w:rPr>
          <w:rFonts w:ascii="Calibri" w:hAnsi="Calibri" w:cs="Calibri"/>
        </w:rPr>
        <w:t xml:space="preserve">El uso de las vías aéreas supraglotadas (SGA) en la medicina prehospitalaria se ha extendido durante más de 40 años.  Se utilizó por primera vez como dispositivo principal para el manejo avanzado de las vías respiratorias por los paramédicos antes de la adopción generalizada de la intubación endotraqueal (ETI).  A medida que la ETI se convirtió en el dispositivo preferido por los paramédicos, las vías aéreas supraglóticas pasaron a ser dispositivos de respaldo o rescate.  En la última década, el desarrollo de dispositivos más eficientes ha devuelto a las SGA a la vanguardia de la gestión de las vías respiratorias prehospitalarias.  Los autores de este estudio prospectivo examinaron el uso del gel en I durante un periodo de 4 meses en una gran área metropolitana como sustituto de la vía aérea King LT.  </w:t>
      </w:r>
    </w:p>
    <w:p w14:paraId="64F608DB" w14:textId="77777777" w:rsidR="00054BFF" w:rsidRPr="00054BFF" w:rsidRDefault="00054BFF" w:rsidP="00054BFF">
      <w:pPr>
        <w:rPr>
          <w:rFonts w:ascii="Calibri" w:hAnsi="Calibri" w:cs="Calibri"/>
        </w:rPr>
      </w:pPr>
      <w:r w:rsidRPr="00054BFF">
        <w:rPr>
          <w:rFonts w:ascii="Calibri" w:hAnsi="Calibri" w:cs="Calibri"/>
        </w:rPr>
        <w:t xml:space="preserve">  De junio a septiembre de 2021, cuatro departamentos de bomberos del condado de Los Ángeles participaron en un estudio proactivo que investigó la implementación y uso del gel I-gel en pacientes prehospitalarios con paro cardíaco o respiratorio </w:t>
      </w:r>
    </w:p>
    <w:p w14:paraId="4DBEB650" w14:textId="77777777" w:rsidR="00054BFF" w:rsidRPr="00054BFF" w:rsidRDefault="00054BFF" w:rsidP="00054BFF">
      <w:pPr>
        <w:rPr>
          <w:rFonts w:ascii="Calibri" w:hAnsi="Calibri" w:cs="Calibri"/>
        </w:rPr>
      </w:pPr>
      <w:r w:rsidRPr="00054BFF">
        <w:rPr>
          <w:rFonts w:ascii="Calibri" w:hAnsi="Calibri" w:cs="Calibri"/>
        </w:rPr>
        <w:t xml:space="preserve">  Los datos se recogieron de los profesionales inmediatamente después de la llamada, incluyendo demografía de los pacientes (edad, sexo), impresiones de los paramédicos, número de intentos de i-gel®, éxito en la colocación, facilidad de colocación y ventilación, y complicaciones (por ejemplo, regurgitación, sangrado, hipoxia, desplazamiento).  Se realizó una llamada de seguimiento con uno de los investigadores.  </w:t>
      </w:r>
    </w:p>
    <w:p w14:paraId="28650576" w14:textId="77777777" w:rsidR="00054BFF" w:rsidRPr="00054BFF" w:rsidRDefault="00054BFF" w:rsidP="00054BFF">
      <w:pPr>
        <w:rPr>
          <w:rFonts w:ascii="Calibri" w:hAnsi="Calibri" w:cs="Calibri"/>
        </w:rPr>
      </w:pPr>
      <w:r w:rsidRPr="00054BFF">
        <w:rPr>
          <w:rFonts w:ascii="Calibri" w:hAnsi="Calibri" w:cs="Calibri"/>
        </w:rPr>
        <w:lastRenderedPageBreak/>
        <w:t xml:space="preserve">Durante ese periodo, se incluyeron 102 pacientes en el estudio.  La colocación fue exitosa en 90 pacientes (88%), de los cuales 85 (83%) lograron insertar i-gel® con éxito en el primer intento. Las complicaciones incluyeron regurgitación/vómito (28%), sangrado (8%), hipoxia (7%) y desplazamiento (5%). La mayoría de los paramédicos calificaron la facilidad de colocación y ventilación como "muy fácil" (69% y 78%) o "relativamente </w:t>
      </w:r>
      <w:proofErr w:type="spellStart"/>
      <w:r w:rsidRPr="00054BFF">
        <w:rPr>
          <w:rFonts w:ascii="Calibri" w:hAnsi="Calibri" w:cs="Calibri"/>
        </w:rPr>
        <w:t>fácil</w:t>
      </w:r>
      <w:proofErr w:type="spellEnd"/>
      <w:r w:rsidRPr="00054BFF">
        <w:rPr>
          <w:rFonts w:ascii="Calibri" w:hAnsi="Calibri" w:cs="Calibri"/>
        </w:rPr>
        <w:t>" (23% y 9%).</w:t>
      </w:r>
    </w:p>
    <w:p w14:paraId="468F5702" w14:textId="77777777" w:rsidR="00054BFF" w:rsidRPr="00054BFF" w:rsidRDefault="00054BFF" w:rsidP="00054BFF">
      <w:pPr>
        <w:rPr>
          <w:rFonts w:ascii="Calibri" w:hAnsi="Calibri" w:cs="Calibri"/>
        </w:rPr>
      </w:pPr>
      <w:r w:rsidRPr="00054BFF">
        <w:rPr>
          <w:rFonts w:ascii="Calibri" w:hAnsi="Calibri" w:cs="Calibri"/>
        </w:rPr>
        <w:t xml:space="preserve">Los autores señalaron limitaciones relacionadas con el diseño del estudio.  El estudio se llevó a cabo para evaluar el uso del I-gel como sustituto del King Airway dentro del sistema EMS del condado de Los Ángeles.   Las agencias utilizadas para el estudio fueron respuestas de paramédicos duales basadas en incendios a pacientes críticos, que pueden no ser comparables con otros sistemas de EMS.  Otras limitaciones significativas incluyeron la ausencia de resultados para los pacientes y un tamaño de muestra reducido.   </w:t>
      </w:r>
    </w:p>
    <w:p w14:paraId="0409CB16" w14:textId="77777777" w:rsidR="00054BFF" w:rsidRPr="00054BFF" w:rsidRDefault="00054BFF" w:rsidP="00054BFF">
      <w:pPr>
        <w:rPr>
          <w:rFonts w:ascii="Calibri" w:hAnsi="Calibri" w:cs="Calibri"/>
        </w:rPr>
      </w:pPr>
      <w:r w:rsidRPr="00054BFF">
        <w:rPr>
          <w:rFonts w:ascii="Calibri" w:hAnsi="Calibri" w:cs="Calibri"/>
        </w:rPr>
        <w:t xml:space="preserve">Aunque este estudio demostró una tasa positiva de colocación del 88% y una percepción de facilidad en la colocación del I-gel en las vías respiratorias, no investigó los resultados en los pacientes.  Este estudio puede servir de orientación para las agencias que investigan la implementación del I-gel en sus protocolos de sistema.   </w:t>
      </w:r>
    </w:p>
    <w:p w14:paraId="07CEE706" w14:textId="56A795EF" w:rsidR="00510B67" w:rsidRPr="00086589" w:rsidRDefault="00510B67" w:rsidP="00592EF2">
      <w:pPr>
        <w:ind w:firstLine="0"/>
        <w:rPr>
          <w:rFonts w:ascii="Calibri" w:hAnsi="Calibri" w:cs="Calibri"/>
        </w:rPr>
      </w:pPr>
    </w:p>
    <w:p w14:paraId="56B00CB1" w14:textId="77777777" w:rsidR="00592EF2" w:rsidRPr="00592EF2" w:rsidRDefault="00592EF2" w:rsidP="00592EF2">
      <w:pPr>
        <w:pStyle w:val="Prrafodelista"/>
        <w:numPr>
          <w:ilvl w:val="0"/>
          <w:numId w:val="49"/>
        </w:numPr>
        <w:rPr>
          <w:rFonts w:ascii="Calibri" w:hAnsi="Calibri" w:cs="Calibri"/>
        </w:rPr>
      </w:pPr>
      <w:r w:rsidRPr="00592EF2">
        <w:rPr>
          <w:rFonts w:ascii="Calibri" w:hAnsi="Calibri" w:cs="Calibri"/>
          <w:b/>
          <w:bCs/>
        </w:rPr>
        <w:t xml:space="preserve">¿Podríamos haber detenido la hemorragia? Examen de 5.765 autopsias de homicidio a lo largo de 13 años. </w:t>
      </w:r>
      <w:r w:rsidRPr="00592EF2">
        <w:rPr>
          <w:rFonts w:ascii="Calibri" w:hAnsi="Calibri" w:cs="Calibri"/>
        </w:rPr>
        <w:t xml:space="preserve">Okum SE, Mehta A, Lunardi N, et al.  </w:t>
      </w:r>
      <w:r w:rsidRPr="00592EF2">
        <w:rPr>
          <w:rFonts w:ascii="Calibri" w:hAnsi="Calibri" w:cs="Calibri"/>
          <w:i/>
          <w:iCs/>
        </w:rPr>
        <w:t xml:space="preserve">J Am Coll Cirugía </w:t>
      </w:r>
      <w:r w:rsidRPr="00592EF2">
        <w:rPr>
          <w:rFonts w:ascii="Calibri" w:hAnsi="Calibri" w:cs="Calibri"/>
        </w:rPr>
        <w:t>2026; 242:562–571.</w:t>
      </w:r>
    </w:p>
    <w:p w14:paraId="6E419B3D" w14:textId="77777777" w:rsidR="00592EF2" w:rsidRPr="005D4FF3" w:rsidRDefault="00592EF2" w:rsidP="00592EF2">
      <w:pPr>
        <w:rPr>
          <w:rFonts w:ascii="Calibri" w:hAnsi="Calibri" w:cs="Calibri"/>
        </w:rPr>
      </w:pPr>
      <w:r w:rsidRPr="005D4FF3">
        <w:rPr>
          <w:rFonts w:ascii="Calibri" w:hAnsi="Calibri" w:cs="Calibri"/>
        </w:rPr>
        <w:t>Más de 5,3 millones de estadounidenses han recibido formación en los cursos Stop the Bleed desde 2015. Estudios previos han sugerido que muchas hemorragias en las extremidades pueden ser potencialmente superables con una intervención rápida utilizando las habilidades de Detener la hemorragia. Los autores afirman que, aun así, el impacto a nivel poblacional no está claro. Para abordar esto, revisaron los informes de autopsias de la oficina del Médico Forense Jefe de Maryland entre el 1 de enero de 2005 y el 31 de diciembre de 2017, para determinar si alguno de estos pacientes podría haber sobrevivido si los testigos aplicaran las habilidades Stop the Heed.</w:t>
      </w:r>
    </w:p>
    <w:p w14:paraId="5E4D8C8A" w14:textId="77777777" w:rsidR="00592EF2" w:rsidRPr="005D4FF3" w:rsidRDefault="00592EF2" w:rsidP="00592EF2">
      <w:pPr>
        <w:rPr>
          <w:rFonts w:ascii="Calibri" w:hAnsi="Calibri" w:cs="Calibri"/>
        </w:rPr>
      </w:pPr>
      <w:r w:rsidRPr="005D4FF3">
        <w:rPr>
          <w:rFonts w:ascii="Calibri" w:hAnsi="Calibri" w:cs="Calibri"/>
        </w:rPr>
        <w:t xml:space="preserve">Este es un estudio retrospectivo de informes de autopsias que incluyeron heridas de bala o arma blanca clasificadas como heridas aisladas o no aisladas en extremidades. Un total de 5.765 pacientes sufrieron heridas de bala o arma blanca, de las cuales el 84% fueron heridas de bala y el 16% fueron heridas de arma blanca. De estas lesiones, 55 o el 2,4% de las heridas de bala y 17 o 5,3% de las heridas de arma blanca fueron heridas aisladas. Las heridas aisladas por disparos tenían una probabilidad diez veces mayor de sufrir lesiones vasculares. La diferencia con las heridas de arma blanca no fue significativa. Las heridas de bala tenían más probabilidades de morir en un hospital en comparación con las víctimas de heridas de arma blanca, que tenían más probabilidades de morir en casa (9,5% frente al 25,3%). Las víctimas de disparos y apuñalamientos tenían la misma probabilidad de morir en el lugar de la lesión (26,5% frente al 23,8%). </w:t>
      </w:r>
    </w:p>
    <w:p w14:paraId="2F6CBBD9" w14:textId="77777777" w:rsidR="00592EF2" w:rsidRPr="005D4FF3" w:rsidRDefault="00592EF2" w:rsidP="00592EF2">
      <w:pPr>
        <w:rPr>
          <w:rFonts w:ascii="Calibri" w:hAnsi="Calibri" w:cs="Calibri"/>
        </w:rPr>
      </w:pPr>
      <w:r w:rsidRPr="005D4FF3">
        <w:rPr>
          <w:rFonts w:ascii="Calibri" w:hAnsi="Calibri" w:cs="Calibri"/>
        </w:rPr>
        <w:t>En su discusión, los autores afirmaron que "identificamos una carga significativa de lesiones vasculares en extremidades y extremidades entre las víctimas de lesiones penetrantes, los perfiles de lesiones teóricamente más susceptibles de intervenir rápidamente con técnicas STB."</w:t>
      </w:r>
    </w:p>
    <w:p w14:paraId="39AB2335" w14:textId="77777777" w:rsidR="00592EF2" w:rsidRPr="005D4FF3" w:rsidRDefault="00592EF2" w:rsidP="00592EF2">
      <w:pPr>
        <w:rPr>
          <w:rFonts w:ascii="Calibri" w:hAnsi="Calibri" w:cs="Calibri"/>
        </w:rPr>
      </w:pPr>
      <w:r w:rsidRPr="005D4FF3">
        <w:rPr>
          <w:rFonts w:ascii="Calibri" w:hAnsi="Calibri" w:cs="Calibri"/>
        </w:rPr>
        <w:t xml:space="preserve">Una limitación de este estudio fue la falta de examen de los informes individuales de autopsias para evaluar mejor qué fallecidos sufrieron lesiones que podrían haber sido sobrevivibles con la aplicación rápida de técnicas STB. También consideraron que utilizar datos de un solo estado era una limitación, ya que los sistemas de trauma y las poblaciones de pacientes son diferentes de un estado o región a otro, y que estudios más amplios podrían producir resultados distintos. </w:t>
      </w:r>
    </w:p>
    <w:p w14:paraId="4271C15C" w14:textId="77777777" w:rsidR="00592EF2" w:rsidRPr="005D4FF3" w:rsidRDefault="00592EF2" w:rsidP="00592EF2">
      <w:pPr>
        <w:rPr>
          <w:rFonts w:ascii="Calibri" w:hAnsi="Calibri" w:cs="Calibri"/>
        </w:rPr>
      </w:pPr>
      <w:r w:rsidRPr="005D4FF3">
        <w:rPr>
          <w:rFonts w:ascii="Calibri" w:hAnsi="Calibri" w:cs="Calibri"/>
        </w:rPr>
        <w:t xml:space="preserve">En su conclusión, los autores describieron su trabajo como el primer gran análisis plurianual de perfiles de lesiones por homicidio destinado a identificar muertes que podrían haber sido evitables con intervención de STB. Sin embargo, un hallazgo importante fue que, aunque las heridas en las extremidades eran comunes entre las víctimas de homicidio, las heridas aisladas en las extremidades no lo eran y solo representaban el 1% de las muertes. Estudios posteriores utilizando criterios de </w:t>
      </w:r>
      <w:r w:rsidRPr="005D4FF3">
        <w:rPr>
          <w:rFonts w:ascii="Calibri" w:hAnsi="Calibri" w:cs="Calibri"/>
        </w:rPr>
        <w:lastRenderedPageBreak/>
        <w:t>supervivencia más granulares ayudarán a determinar la carga de lesiones de extremidades no aisladas potencialmente supervivibles con un control rápido de la hemorragia.</w:t>
      </w:r>
    </w:p>
    <w:p w14:paraId="10A31740" w14:textId="4AB08706" w:rsidR="0008350C" w:rsidRPr="000577EB" w:rsidRDefault="0008350C" w:rsidP="00303DEC">
      <w:pPr>
        <w:autoSpaceDE w:val="0"/>
        <w:autoSpaceDN w:val="0"/>
        <w:adjustRightInd w:val="0"/>
        <w:ind w:firstLine="0"/>
        <w:rPr>
          <w:rFonts w:cstheme="minorHAnsi"/>
        </w:rPr>
      </w:pPr>
    </w:p>
    <w:sectPr w:rsidR="0008350C" w:rsidRPr="000577EB" w:rsidSect="002B2E1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7B43B" w14:textId="77777777" w:rsidR="008201B8" w:rsidRDefault="008201B8" w:rsidP="00CC1ECE">
      <w:r>
        <w:separator/>
      </w:r>
    </w:p>
  </w:endnote>
  <w:endnote w:type="continuationSeparator" w:id="0">
    <w:p w14:paraId="2F05C9B6" w14:textId="77777777" w:rsidR="008201B8" w:rsidRDefault="008201B8" w:rsidP="00CC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w:altName w:val="Corbel"/>
    <w:charset w:val="00"/>
    <w:family w:val="auto"/>
    <w:pitch w:val="variable"/>
    <w:sig w:usb0="00000001"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0C9FD" w14:textId="77777777" w:rsidR="00EC556A" w:rsidRPr="00CC0C6C" w:rsidRDefault="00EC556A" w:rsidP="00EC556A">
    <w:pPr>
      <w:pStyle w:val="Piedepgina"/>
      <w:jc w:val="center"/>
      <w:rPr>
        <w:b/>
      </w:rPr>
    </w:pPr>
    <w:r w:rsidRPr="00CC0C6C">
      <w:rPr>
        <w:b/>
      </w:rPr>
      <w:t>www.IPHMI.com</w:t>
    </w:r>
  </w:p>
  <w:p w14:paraId="3911A5C2" w14:textId="77777777" w:rsidR="00EC556A" w:rsidRDefault="00EC55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BF2E2" w14:textId="77777777" w:rsidR="008201B8" w:rsidRDefault="008201B8" w:rsidP="00CC1ECE">
      <w:r>
        <w:separator/>
      </w:r>
    </w:p>
  </w:footnote>
  <w:footnote w:type="continuationSeparator" w:id="0">
    <w:p w14:paraId="460ABB27" w14:textId="77777777" w:rsidR="008201B8" w:rsidRDefault="008201B8" w:rsidP="00CC1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FA8A" w14:textId="77777777" w:rsidR="00EC556A" w:rsidRPr="00CC0C6C" w:rsidRDefault="00EC556A" w:rsidP="00EC556A">
    <w:pPr>
      <w:pStyle w:val="Encabezado"/>
      <w:jc w:val="center"/>
      <w:rPr>
        <w:b/>
        <w:i/>
        <w:sz w:val="36"/>
        <w:u w:val="single"/>
      </w:rPr>
    </w:pPr>
    <w:r w:rsidRPr="00CC0C6C">
      <w:rPr>
        <w:b/>
        <w:i/>
        <w:sz w:val="36"/>
        <w:u w:val="single"/>
      </w:rPr>
      <w:t>Instituto Internacional de Medicina Prehospitalaria</w:t>
    </w:r>
  </w:p>
  <w:p w14:paraId="0A9D369C" w14:textId="77777777" w:rsidR="00EC556A" w:rsidRDefault="00EC556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BBB979"/>
    <w:multiLevelType w:val="hybridMultilevel"/>
    <w:tmpl w:val="C0EEF0B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EE167A"/>
    <w:multiLevelType w:val="hybridMultilevel"/>
    <w:tmpl w:val="C84468D2"/>
    <w:lvl w:ilvl="0" w:tplc="9CDAD16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083F8B"/>
    <w:multiLevelType w:val="hybridMultilevel"/>
    <w:tmpl w:val="1A0C7E44"/>
    <w:lvl w:ilvl="0" w:tplc="1C8EDF10">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ADD720C"/>
    <w:multiLevelType w:val="hybridMultilevel"/>
    <w:tmpl w:val="170A378C"/>
    <w:lvl w:ilvl="0" w:tplc="9A2C270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4456E8"/>
    <w:multiLevelType w:val="hybridMultilevel"/>
    <w:tmpl w:val="6806213E"/>
    <w:lvl w:ilvl="0" w:tplc="A2729FB8">
      <w:start w:val="3"/>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D465A3"/>
    <w:multiLevelType w:val="hybridMultilevel"/>
    <w:tmpl w:val="C84468D2"/>
    <w:lvl w:ilvl="0" w:tplc="FFFFFFFF">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EAD2A60"/>
    <w:multiLevelType w:val="hybridMultilevel"/>
    <w:tmpl w:val="A44687EE"/>
    <w:lvl w:ilvl="0" w:tplc="F8904148">
      <w:start w:val="2"/>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F714A"/>
    <w:multiLevelType w:val="hybridMultilevel"/>
    <w:tmpl w:val="FF389B2A"/>
    <w:lvl w:ilvl="0" w:tplc="210077E0">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700C60"/>
    <w:multiLevelType w:val="hybridMultilevel"/>
    <w:tmpl w:val="71621622"/>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707113A"/>
    <w:multiLevelType w:val="hybridMultilevel"/>
    <w:tmpl w:val="9AD2CF04"/>
    <w:lvl w:ilvl="0" w:tplc="FFFFFFFF">
      <w:start w:val="1"/>
      <w:numFmt w:val="decimal"/>
      <w:lvlText w:val="%1."/>
      <w:lvlJc w:val="left"/>
      <w:pPr>
        <w:ind w:left="360" w:hanging="360"/>
      </w:pPr>
      <w:rPr>
        <w:b/>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C360673"/>
    <w:multiLevelType w:val="hybridMultilevel"/>
    <w:tmpl w:val="F45C207A"/>
    <w:lvl w:ilvl="0" w:tplc="FFFFFFFF">
      <w:start w:val="1"/>
      <w:numFmt w:val="decimal"/>
      <w:lvlText w:val="%1."/>
      <w:lvlJc w:val="left"/>
      <w:pPr>
        <w:ind w:left="360" w:hanging="360"/>
      </w:pPr>
      <w:rPr>
        <w:b/>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D7C6044"/>
    <w:multiLevelType w:val="hybridMultilevel"/>
    <w:tmpl w:val="C84468D2"/>
    <w:lvl w:ilvl="0" w:tplc="FFFFFFFF">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E177E2D"/>
    <w:multiLevelType w:val="hybridMultilevel"/>
    <w:tmpl w:val="D4B84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8509DA"/>
    <w:multiLevelType w:val="hybridMultilevel"/>
    <w:tmpl w:val="3B523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7F0F37"/>
    <w:multiLevelType w:val="hybridMultilevel"/>
    <w:tmpl w:val="D8BC32F0"/>
    <w:lvl w:ilvl="0" w:tplc="2CFC2FDE">
      <w:start w:val="4"/>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D148A0"/>
    <w:multiLevelType w:val="hybridMultilevel"/>
    <w:tmpl w:val="FE0CCF82"/>
    <w:lvl w:ilvl="0" w:tplc="11B6D3B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00C3259"/>
    <w:multiLevelType w:val="hybridMultilevel"/>
    <w:tmpl w:val="5978CEEE"/>
    <w:lvl w:ilvl="0" w:tplc="8D02F6B6">
      <w:start w:val="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D373C0"/>
    <w:multiLevelType w:val="hybridMultilevel"/>
    <w:tmpl w:val="28B4DCD8"/>
    <w:lvl w:ilvl="0" w:tplc="FFFFFFFF">
      <w:start w:val="1"/>
      <w:numFmt w:val="decimal"/>
      <w:lvlText w:val="%1."/>
      <w:lvlJc w:val="left"/>
      <w:pPr>
        <w:ind w:left="360" w:hanging="360"/>
      </w:pPr>
      <w:rPr>
        <w:b/>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1C66000"/>
    <w:multiLevelType w:val="hybridMultilevel"/>
    <w:tmpl w:val="6030A0AC"/>
    <w:lvl w:ilvl="0" w:tplc="6CC2A610">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846CD1"/>
    <w:multiLevelType w:val="hybridMultilevel"/>
    <w:tmpl w:val="CB4A5E80"/>
    <w:lvl w:ilvl="0" w:tplc="554CAC0E">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047DFD"/>
    <w:multiLevelType w:val="hybridMultilevel"/>
    <w:tmpl w:val="2134433A"/>
    <w:lvl w:ilvl="0" w:tplc="88BC33D4">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3C3BC1"/>
    <w:multiLevelType w:val="hybridMultilevel"/>
    <w:tmpl w:val="22649E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9600C9F"/>
    <w:multiLevelType w:val="hybridMultilevel"/>
    <w:tmpl w:val="B2BC6E1C"/>
    <w:lvl w:ilvl="0" w:tplc="57EC7CAE">
      <w:start w:val="3"/>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9D2D74"/>
    <w:multiLevelType w:val="hybridMultilevel"/>
    <w:tmpl w:val="F8906F12"/>
    <w:lvl w:ilvl="0" w:tplc="9EDAB5B6">
      <w:start w:val="4"/>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C922A1"/>
    <w:multiLevelType w:val="hybridMultilevel"/>
    <w:tmpl w:val="43382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044746"/>
    <w:multiLevelType w:val="hybridMultilevel"/>
    <w:tmpl w:val="FA74D32A"/>
    <w:lvl w:ilvl="0" w:tplc="FFFFFFFF">
      <w:start w:val="2"/>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7C36320"/>
    <w:multiLevelType w:val="hybridMultilevel"/>
    <w:tmpl w:val="28B4DCD8"/>
    <w:lvl w:ilvl="0" w:tplc="CF208A0A">
      <w:start w:val="1"/>
      <w:numFmt w:val="decimal"/>
      <w:lvlText w:val="%1."/>
      <w:lvlJc w:val="left"/>
      <w:pPr>
        <w:ind w:left="360" w:hanging="360"/>
      </w:pPr>
      <w:rPr>
        <w:b/>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B4C05D8"/>
    <w:multiLevelType w:val="hybridMultilevel"/>
    <w:tmpl w:val="CA4091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FF00B29"/>
    <w:multiLevelType w:val="hybridMultilevel"/>
    <w:tmpl w:val="74A0B0A8"/>
    <w:lvl w:ilvl="0" w:tplc="1812EB14">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0525D69"/>
    <w:multiLevelType w:val="hybridMultilevel"/>
    <w:tmpl w:val="063A3918"/>
    <w:lvl w:ilvl="0" w:tplc="9CDAD16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5A22AB4"/>
    <w:multiLevelType w:val="hybridMultilevel"/>
    <w:tmpl w:val="0846B586"/>
    <w:lvl w:ilvl="0" w:tplc="563C9164">
      <w:start w:val="2"/>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52526B"/>
    <w:multiLevelType w:val="hybridMultilevel"/>
    <w:tmpl w:val="C83A0AC2"/>
    <w:lvl w:ilvl="0" w:tplc="04090019">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15:restartNumberingAfterBreak="0">
    <w:nsid w:val="47CE7307"/>
    <w:multiLevelType w:val="hybridMultilevel"/>
    <w:tmpl w:val="B8CA8C2E"/>
    <w:lvl w:ilvl="0" w:tplc="307EDACC">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47EC700B"/>
    <w:multiLevelType w:val="hybridMultilevel"/>
    <w:tmpl w:val="187CA11A"/>
    <w:lvl w:ilvl="0" w:tplc="FFFFFFFF">
      <w:start w:val="2"/>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4A316B5B"/>
    <w:multiLevelType w:val="hybridMultilevel"/>
    <w:tmpl w:val="C582C08E"/>
    <w:lvl w:ilvl="0" w:tplc="B2E69150">
      <w:start w:val="4"/>
      <w:numFmt w:val="decimal"/>
      <w:lvlText w:val="%1."/>
      <w:lvlJc w:val="left"/>
      <w:pPr>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5D05CA"/>
    <w:multiLevelType w:val="hybridMultilevel"/>
    <w:tmpl w:val="C84468D2"/>
    <w:lvl w:ilvl="0" w:tplc="9CDAD16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0564616"/>
    <w:multiLevelType w:val="hybridMultilevel"/>
    <w:tmpl w:val="28B4DCD8"/>
    <w:lvl w:ilvl="0" w:tplc="FFFFFFFF">
      <w:start w:val="1"/>
      <w:numFmt w:val="decimal"/>
      <w:lvlText w:val="%1."/>
      <w:lvlJc w:val="left"/>
      <w:pPr>
        <w:ind w:left="360" w:hanging="360"/>
      </w:pPr>
      <w:rPr>
        <w:b/>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54F87855"/>
    <w:multiLevelType w:val="hybridMultilevel"/>
    <w:tmpl w:val="5D445E76"/>
    <w:lvl w:ilvl="0" w:tplc="78FE33CE">
      <w:start w:val="2"/>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09630B"/>
    <w:multiLevelType w:val="hybridMultilevel"/>
    <w:tmpl w:val="ED7EB376"/>
    <w:lvl w:ilvl="0" w:tplc="C6C61DC6">
      <w:start w:val="4"/>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397F82"/>
    <w:multiLevelType w:val="hybridMultilevel"/>
    <w:tmpl w:val="C3B82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B243BA"/>
    <w:multiLevelType w:val="hybridMultilevel"/>
    <w:tmpl w:val="AA8EAAFA"/>
    <w:lvl w:ilvl="0" w:tplc="FFFFFFFF">
      <w:start w:val="1"/>
      <w:numFmt w:val="decimal"/>
      <w:lvlText w:val="%1."/>
      <w:lvlJc w:val="left"/>
      <w:pPr>
        <w:ind w:left="360" w:hanging="360"/>
      </w:pPr>
      <w:rPr>
        <w:b/>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5F492B7A"/>
    <w:multiLevelType w:val="hybridMultilevel"/>
    <w:tmpl w:val="41AA868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2" w15:restartNumberingAfterBreak="0">
    <w:nsid w:val="6F9616F1"/>
    <w:multiLevelType w:val="hybridMultilevel"/>
    <w:tmpl w:val="9AD2CF04"/>
    <w:lvl w:ilvl="0" w:tplc="FFFFFFFF">
      <w:start w:val="1"/>
      <w:numFmt w:val="decimal"/>
      <w:lvlText w:val="%1."/>
      <w:lvlJc w:val="left"/>
      <w:pPr>
        <w:ind w:left="360" w:hanging="360"/>
      </w:pPr>
      <w:rPr>
        <w:b/>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46F12BA"/>
    <w:multiLevelType w:val="hybridMultilevel"/>
    <w:tmpl w:val="C84468D2"/>
    <w:lvl w:ilvl="0" w:tplc="9CDAD16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4930ABD"/>
    <w:multiLevelType w:val="hybridMultilevel"/>
    <w:tmpl w:val="71621622"/>
    <w:lvl w:ilvl="0" w:tplc="EB84C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9992BC6"/>
    <w:multiLevelType w:val="hybridMultilevel"/>
    <w:tmpl w:val="ADB6CBA0"/>
    <w:lvl w:ilvl="0" w:tplc="1198496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A1550A5"/>
    <w:multiLevelType w:val="hybridMultilevel"/>
    <w:tmpl w:val="050C1C0A"/>
    <w:lvl w:ilvl="0" w:tplc="9A2C270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ACA7468"/>
    <w:multiLevelType w:val="hybridMultilevel"/>
    <w:tmpl w:val="2F5A141C"/>
    <w:lvl w:ilvl="0" w:tplc="C15456BC">
      <w:start w:val="3"/>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13573C"/>
    <w:multiLevelType w:val="hybridMultilevel"/>
    <w:tmpl w:val="9A9CCCCE"/>
    <w:lvl w:ilvl="0" w:tplc="FFFFFFFF">
      <w:start w:val="1"/>
      <w:numFmt w:val="decimal"/>
      <w:lvlText w:val="%1."/>
      <w:lvlJc w:val="left"/>
      <w:pPr>
        <w:ind w:left="360" w:hanging="360"/>
      </w:pPr>
      <w:rPr>
        <w:b/>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7B7A37FB"/>
    <w:multiLevelType w:val="hybridMultilevel"/>
    <w:tmpl w:val="C84468D2"/>
    <w:lvl w:ilvl="0" w:tplc="9CDAD16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7"/>
  </w:num>
  <w:num w:numId="2">
    <w:abstractNumId w:val="38"/>
  </w:num>
  <w:num w:numId="3">
    <w:abstractNumId w:val="26"/>
  </w:num>
  <w:num w:numId="4">
    <w:abstractNumId w:val="20"/>
  </w:num>
  <w:num w:numId="5">
    <w:abstractNumId w:val="0"/>
  </w:num>
  <w:num w:numId="6">
    <w:abstractNumId w:val="31"/>
  </w:num>
  <w:num w:numId="7">
    <w:abstractNumId w:val="39"/>
  </w:num>
  <w:num w:numId="8">
    <w:abstractNumId w:val="12"/>
  </w:num>
  <w:num w:numId="9">
    <w:abstractNumId w:val="24"/>
  </w:num>
  <w:num w:numId="10">
    <w:abstractNumId w:val="21"/>
  </w:num>
  <w:num w:numId="11">
    <w:abstractNumId w:val="27"/>
  </w:num>
  <w:num w:numId="12">
    <w:abstractNumId w:val="3"/>
  </w:num>
  <w:num w:numId="13">
    <w:abstractNumId w:val="46"/>
  </w:num>
  <w:num w:numId="14">
    <w:abstractNumId w:val="29"/>
  </w:num>
  <w:num w:numId="15">
    <w:abstractNumId w:val="43"/>
  </w:num>
  <w:num w:numId="16">
    <w:abstractNumId w:val="1"/>
  </w:num>
  <w:num w:numId="17">
    <w:abstractNumId w:val="15"/>
  </w:num>
  <w:num w:numId="18">
    <w:abstractNumId w:val="49"/>
  </w:num>
  <w:num w:numId="19">
    <w:abstractNumId w:val="18"/>
  </w:num>
  <w:num w:numId="20">
    <w:abstractNumId w:val="35"/>
  </w:num>
  <w:num w:numId="21">
    <w:abstractNumId w:val="16"/>
  </w:num>
  <w:num w:numId="22">
    <w:abstractNumId w:val="4"/>
  </w:num>
  <w:num w:numId="23">
    <w:abstractNumId w:val="28"/>
  </w:num>
  <w:num w:numId="24">
    <w:abstractNumId w:val="11"/>
  </w:num>
  <w:num w:numId="25">
    <w:abstractNumId w:val="2"/>
  </w:num>
  <w:num w:numId="26">
    <w:abstractNumId w:val="5"/>
  </w:num>
  <w:num w:numId="27">
    <w:abstractNumId w:val="32"/>
  </w:num>
  <w:num w:numId="28">
    <w:abstractNumId w:val="30"/>
  </w:num>
  <w:num w:numId="29">
    <w:abstractNumId w:val="34"/>
  </w:num>
  <w:num w:numId="30">
    <w:abstractNumId w:val="17"/>
  </w:num>
  <w:num w:numId="31">
    <w:abstractNumId w:val="41"/>
  </w:num>
  <w:num w:numId="32">
    <w:abstractNumId w:val="40"/>
  </w:num>
  <w:num w:numId="33">
    <w:abstractNumId w:val="9"/>
  </w:num>
  <w:num w:numId="34">
    <w:abstractNumId w:val="36"/>
  </w:num>
  <w:num w:numId="35">
    <w:abstractNumId w:val="13"/>
  </w:num>
  <w:num w:numId="36">
    <w:abstractNumId w:val="45"/>
  </w:num>
  <w:num w:numId="37">
    <w:abstractNumId w:val="44"/>
  </w:num>
  <w:num w:numId="38">
    <w:abstractNumId w:val="19"/>
  </w:num>
  <w:num w:numId="39">
    <w:abstractNumId w:val="37"/>
  </w:num>
  <w:num w:numId="40">
    <w:abstractNumId w:val="23"/>
  </w:num>
  <w:num w:numId="41">
    <w:abstractNumId w:val="10"/>
  </w:num>
  <w:num w:numId="42">
    <w:abstractNumId w:val="48"/>
  </w:num>
  <w:num w:numId="43">
    <w:abstractNumId w:val="42"/>
  </w:num>
  <w:num w:numId="44">
    <w:abstractNumId w:val="33"/>
  </w:num>
  <w:num w:numId="45">
    <w:abstractNumId w:val="25"/>
  </w:num>
  <w:num w:numId="46">
    <w:abstractNumId w:val="14"/>
  </w:num>
  <w:num w:numId="47">
    <w:abstractNumId w:val="7"/>
  </w:num>
  <w:num w:numId="48">
    <w:abstractNumId w:val="6"/>
  </w:num>
  <w:num w:numId="49">
    <w:abstractNumId w:val="22"/>
  </w:num>
  <w:num w:numId="5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DB7"/>
    <w:rsid w:val="0000060E"/>
    <w:rsid w:val="00000D8B"/>
    <w:rsid w:val="00000FEC"/>
    <w:rsid w:val="00007BA6"/>
    <w:rsid w:val="00012F95"/>
    <w:rsid w:val="0001698B"/>
    <w:rsid w:val="00020D8A"/>
    <w:rsid w:val="0002464E"/>
    <w:rsid w:val="000251EC"/>
    <w:rsid w:val="00033677"/>
    <w:rsid w:val="00033B77"/>
    <w:rsid w:val="00037773"/>
    <w:rsid w:val="000403B1"/>
    <w:rsid w:val="00041C70"/>
    <w:rsid w:val="00046471"/>
    <w:rsid w:val="00053DC7"/>
    <w:rsid w:val="000548D0"/>
    <w:rsid w:val="00054BFF"/>
    <w:rsid w:val="000577EB"/>
    <w:rsid w:val="000607DE"/>
    <w:rsid w:val="00073BA8"/>
    <w:rsid w:val="0008350C"/>
    <w:rsid w:val="00086FB0"/>
    <w:rsid w:val="000942CA"/>
    <w:rsid w:val="00096298"/>
    <w:rsid w:val="000A39D8"/>
    <w:rsid w:val="000A500D"/>
    <w:rsid w:val="000A7673"/>
    <w:rsid w:val="000B2DC9"/>
    <w:rsid w:val="000B3977"/>
    <w:rsid w:val="000B5810"/>
    <w:rsid w:val="000C1C93"/>
    <w:rsid w:val="000C1ED3"/>
    <w:rsid w:val="000D737E"/>
    <w:rsid w:val="000E1EEE"/>
    <w:rsid w:val="000E61AC"/>
    <w:rsid w:val="000E7FF5"/>
    <w:rsid w:val="000F0391"/>
    <w:rsid w:val="000F44FE"/>
    <w:rsid w:val="000F6E4A"/>
    <w:rsid w:val="001053F1"/>
    <w:rsid w:val="00107449"/>
    <w:rsid w:val="00112343"/>
    <w:rsid w:val="0011511A"/>
    <w:rsid w:val="0012112A"/>
    <w:rsid w:val="00125483"/>
    <w:rsid w:val="00125AF1"/>
    <w:rsid w:val="00126D9C"/>
    <w:rsid w:val="001272F3"/>
    <w:rsid w:val="001327B9"/>
    <w:rsid w:val="00137FB9"/>
    <w:rsid w:val="00140F42"/>
    <w:rsid w:val="001459A9"/>
    <w:rsid w:val="001465D4"/>
    <w:rsid w:val="001505DB"/>
    <w:rsid w:val="00155484"/>
    <w:rsid w:val="00161774"/>
    <w:rsid w:val="00176FE6"/>
    <w:rsid w:val="001810C4"/>
    <w:rsid w:val="00181E88"/>
    <w:rsid w:val="00184890"/>
    <w:rsid w:val="00184D1F"/>
    <w:rsid w:val="00193364"/>
    <w:rsid w:val="00193BAE"/>
    <w:rsid w:val="001A2AF5"/>
    <w:rsid w:val="001A2CA7"/>
    <w:rsid w:val="001B2C0E"/>
    <w:rsid w:val="001C0348"/>
    <w:rsid w:val="001C16EF"/>
    <w:rsid w:val="001C3615"/>
    <w:rsid w:val="001C5280"/>
    <w:rsid w:val="001D0851"/>
    <w:rsid w:val="001D229F"/>
    <w:rsid w:val="001D57F6"/>
    <w:rsid w:val="001E10D6"/>
    <w:rsid w:val="001E4361"/>
    <w:rsid w:val="001F470D"/>
    <w:rsid w:val="001F6CFD"/>
    <w:rsid w:val="001F7C77"/>
    <w:rsid w:val="00200E21"/>
    <w:rsid w:val="00203A36"/>
    <w:rsid w:val="00204A3E"/>
    <w:rsid w:val="00204D61"/>
    <w:rsid w:val="00206296"/>
    <w:rsid w:val="00216EFE"/>
    <w:rsid w:val="00221F53"/>
    <w:rsid w:val="00234651"/>
    <w:rsid w:val="00234BAF"/>
    <w:rsid w:val="00235410"/>
    <w:rsid w:val="00235D40"/>
    <w:rsid w:val="0023757E"/>
    <w:rsid w:val="0024264F"/>
    <w:rsid w:val="00253C5C"/>
    <w:rsid w:val="002576B3"/>
    <w:rsid w:val="00264DF6"/>
    <w:rsid w:val="00265734"/>
    <w:rsid w:val="00265A59"/>
    <w:rsid w:val="00267862"/>
    <w:rsid w:val="00270EB5"/>
    <w:rsid w:val="0027336D"/>
    <w:rsid w:val="002736F8"/>
    <w:rsid w:val="002750A3"/>
    <w:rsid w:val="00275AE9"/>
    <w:rsid w:val="002816EF"/>
    <w:rsid w:val="00281AA8"/>
    <w:rsid w:val="00283B4B"/>
    <w:rsid w:val="002910C5"/>
    <w:rsid w:val="002943AA"/>
    <w:rsid w:val="0029612D"/>
    <w:rsid w:val="002A448D"/>
    <w:rsid w:val="002A612A"/>
    <w:rsid w:val="002B1C13"/>
    <w:rsid w:val="002B2E15"/>
    <w:rsid w:val="002C00B1"/>
    <w:rsid w:val="002C1439"/>
    <w:rsid w:val="002C41E8"/>
    <w:rsid w:val="002D18D0"/>
    <w:rsid w:val="002D385C"/>
    <w:rsid w:val="002E0AB2"/>
    <w:rsid w:val="002E6A42"/>
    <w:rsid w:val="002F1B9E"/>
    <w:rsid w:val="002F2158"/>
    <w:rsid w:val="00301C76"/>
    <w:rsid w:val="00303DEC"/>
    <w:rsid w:val="00304FCB"/>
    <w:rsid w:val="003058A2"/>
    <w:rsid w:val="003078BD"/>
    <w:rsid w:val="003111DD"/>
    <w:rsid w:val="003122CE"/>
    <w:rsid w:val="00316585"/>
    <w:rsid w:val="00317365"/>
    <w:rsid w:val="0032129A"/>
    <w:rsid w:val="00321528"/>
    <w:rsid w:val="00326AF1"/>
    <w:rsid w:val="00332A7D"/>
    <w:rsid w:val="003331AA"/>
    <w:rsid w:val="00346AB0"/>
    <w:rsid w:val="00347087"/>
    <w:rsid w:val="00356335"/>
    <w:rsid w:val="00361398"/>
    <w:rsid w:val="00362F86"/>
    <w:rsid w:val="00363F26"/>
    <w:rsid w:val="00367A88"/>
    <w:rsid w:val="003800B3"/>
    <w:rsid w:val="00381BDD"/>
    <w:rsid w:val="0038633C"/>
    <w:rsid w:val="0038790A"/>
    <w:rsid w:val="00390AEA"/>
    <w:rsid w:val="00392C1F"/>
    <w:rsid w:val="00395433"/>
    <w:rsid w:val="003962A4"/>
    <w:rsid w:val="003B3023"/>
    <w:rsid w:val="003B39E9"/>
    <w:rsid w:val="003B3A90"/>
    <w:rsid w:val="003B6592"/>
    <w:rsid w:val="003B7857"/>
    <w:rsid w:val="003D2244"/>
    <w:rsid w:val="003D44D9"/>
    <w:rsid w:val="003E0710"/>
    <w:rsid w:val="003E07DA"/>
    <w:rsid w:val="003E1465"/>
    <w:rsid w:val="003E51F2"/>
    <w:rsid w:val="003F1AAF"/>
    <w:rsid w:val="003F4BB7"/>
    <w:rsid w:val="0040407D"/>
    <w:rsid w:val="00404F6F"/>
    <w:rsid w:val="004068DD"/>
    <w:rsid w:val="00406B3D"/>
    <w:rsid w:val="0041124D"/>
    <w:rsid w:val="00413939"/>
    <w:rsid w:val="00415CB4"/>
    <w:rsid w:val="00424045"/>
    <w:rsid w:val="00424314"/>
    <w:rsid w:val="00425215"/>
    <w:rsid w:val="004269E1"/>
    <w:rsid w:val="00431361"/>
    <w:rsid w:val="004654DB"/>
    <w:rsid w:val="00472F9A"/>
    <w:rsid w:val="004749F7"/>
    <w:rsid w:val="00483D2C"/>
    <w:rsid w:val="00485330"/>
    <w:rsid w:val="00490A07"/>
    <w:rsid w:val="0049245A"/>
    <w:rsid w:val="00493BCD"/>
    <w:rsid w:val="004A1C81"/>
    <w:rsid w:val="004A2499"/>
    <w:rsid w:val="004A5FB7"/>
    <w:rsid w:val="004B5626"/>
    <w:rsid w:val="004B6C92"/>
    <w:rsid w:val="004B7EE3"/>
    <w:rsid w:val="004D3C0D"/>
    <w:rsid w:val="004D5F8C"/>
    <w:rsid w:val="004E0756"/>
    <w:rsid w:val="004E27B8"/>
    <w:rsid w:val="004E3BCF"/>
    <w:rsid w:val="004E7694"/>
    <w:rsid w:val="004F050C"/>
    <w:rsid w:val="005053A7"/>
    <w:rsid w:val="00506F03"/>
    <w:rsid w:val="00510B67"/>
    <w:rsid w:val="00520E73"/>
    <w:rsid w:val="005217D8"/>
    <w:rsid w:val="00523D0F"/>
    <w:rsid w:val="00526673"/>
    <w:rsid w:val="00527BE6"/>
    <w:rsid w:val="00530542"/>
    <w:rsid w:val="00536681"/>
    <w:rsid w:val="00540AB0"/>
    <w:rsid w:val="00542970"/>
    <w:rsid w:val="00550A12"/>
    <w:rsid w:val="0057657B"/>
    <w:rsid w:val="005769AE"/>
    <w:rsid w:val="005830F5"/>
    <w:rsid w:val="00592D6B"/>
    <w:rsid w:val="00592EF2"/>
    <w:rsid w:val="00593D20"/>
    <w:rsid w:val="00597139"/>
    <w:rsid w:val="005A338C"/>
    <w:rsid w:val="005A340E"/>
    <w:rsid w:val="005A685A"/>
    <w:rsid w:val="005B1B93"/>
    <w:rsid w:val="005B3228"/>
    <w:rsid w:val="005B4D2F"/>
    <w:rsid w:val="005C209E"/>
    <w:rsid w:val="005D21B6"/>
    <w:rsid w:val="005D3C3C"/>
    <w:rsid w:val="005E1684"/>
    <w:rsid w:val="005E4774"/>
    <w:rsid w:val="005F2C3D"/>
    <w:rsid w:val="0060639D"/>
    <w:rsid w:val="00612DB7"/>
    <w:rsid w:val="0062363F"/>
    <w:rsid w:val="00632D45"/>
    <w:rsid w:val="00640BE7"/>
    <w:rsid w:val="00643503"/>
    <w:rsid w:val="0064535D"/>
    <w:rsid w:val="00653565"/>
    <w:rsid w:val="00656510"/>
    <w:rsid w:val="00657100"/>
    <w:rsid w:val="0066164D"/>
    <w:rsid w:val="00666AD9"/>
    <w:rsid w:val="0067234F"/>
    <w:rsid w:val="006758ED"/>
    <w:rsid w:val="006808BC"/>
    <w:rsid w:val="00692403"/>
    <w:rsid w:val="00692F42"/>
    <w:rsid w:val="00695417"/>
    <w:rsid w:val="00696332"/>
    <w:rsid w:val="006A73E8"/>
    <w:rsid w:val="006B01B5"/>
    <w:rsid w:val="006B4BCB"/>
    <w:rsid w:val="006B4C49"/>
    <w:rsid w:val="006B787B"/>
    <w:rsid w:val="006C1D46"/>
    <w:rsid w:val="006C28B6"/>
    <w:rsid w:val="006C78B2"/>
    <w:rsid w:val="006D0CA1"/>
    <w:rsid w:val="006D2989"/>
    <w:rsid w:val="006E1A31"/>
    <w:rsid w:val="006E632D"/>
    <w:rsid w:val="006E6E47"/>
    <w:rsid w:val="006F0274"/>
    <w:rsid w:val="006F5CBF"/>
    <w:rsid w:val="006F7C8E"/>
    <w:rsid w:val="00701C52"/>
    <w:rsid w:val="007044CC"/>
    <w:rsid w:val="00717345"/>
    <w:rsid w:val="00733101"/>
    <w:rsid w:val="0073764B"/>
    <w:rsid w:val="007419D9"/>
    <w:rsid w:val="00742AC7"/>
    <w:rsid w:val="00745AC5"/>
    <w:rsid w:val="007537AD"/>
    <w:rsid w:val="00753E26"/>
    <w:rsid w:val="00757AE3"/>
    <w:rsid w:val="0077245B"/>
    <w:rsid w:val="007832E3"/>
    <w:rsid w:val="00783856"/>
    <w:rsid w:val="00783BAC"/>
    <w:rsid w:val="0078434F"/>
    <w:rsid w:val="007866D0"/>
    <w:rsid w:val="007953ED"/>
    <w:rsid w:val="007A125C"/>
    <w:rsid w:val="007A1647"/>
    <w:rsid w:val="007A3A49"/>
    <w:rsid w:val="007B4CDB"/>
    <w:rsid w:val="007B66CA"/>
    <w:rsid w:val="007B735B"/>
    <w:rsid w:val="007C09BD"/>
    <w:rsid w:val="007C1ECF"/>
    <w:rsid w:val="007C7235"/>
    <w:rsid w:val="007D0305"/>
    <w:rsid w:val="007D3F72"/>
    <w:rsid w:val="007D5076"/>
    <w:rsid w:val="007D58BA"/>
    <w:rsid w:val="007D6F97"/>
    <w:rsid w:val="007E0612"/>
    <w:rsid w:val="007F3B34"/>
    <w:rsid w:val="007F7274"/>
    <w:rsid w:val="00803A9A"/>
    <w:rsid w:val="008141BF"/>
    <w:rsid w:val="008154BD"/>
    <w:rsid w:val="008201B8"/>
    <w:rsid w:val="00822E86"/>
    <w:rsid w:val="00825722"/>
    <w:rsid w:val="008363AF"/>
    <w:rsid w:val="00837F82"/>
    <w:rsid w:val="00846182"/>
    <w:rsid w:val="00852D41"/>
    <w:rsid w:val="008548AF"/>
    <w:rsid w:val="008710B9"/>
    <w:rsid w:val="00873AD0"/>
    <w:rsid w:val="00880689"/>
    <w:rsid w:val="008A0008"/>
    <w:rsid w:val="008A0F53"/>
    <w:rsid w:val="008B00CB"/>
    <w:rsid w:val="008B038E"/>
    <w:rsid w:val="008B4ABE"/>
    <w:rsid w:val="008B6898"/>
    <w:rsid w:val="008C2DA9"/>
    <w:rsid w:val="008D4278"/>
    <w:rsid w:val="008E160E"/>
    <w:rsid w:val="008E2104"/>
    <w:rsid w:val="008E424C"/>
    <w:rsid w:val="008E502B"/>
    <w:rsid w:val="008E68F7"/>
    <w:rsid w:val="008E7368"/>
    <w:rsid w:val="008F3248"/>
    <w:rsid w:val="008F601D"/>
    <w:rsid w:val="00901F19"/>
    <w:rsid w:val="00903E7E"/>
    <w:rsid w:val="00904E9C"/>
    <w:rsid w:val="009073F7"/>
    <w:rsid w:val="009106F1"/>
    <w:rsid w:val="00912F3D"/>
    <w:rsid w:val="00914150"/>
    <w:rsid w:val="00922E3E"/>
    <w:rsid w:val="009260F6"/>
    <w:rsid w:val="009277B9"/>
    <w:rsid w:val="009308A2"/>
    <w:rsid w:val="009328CC"/>
    <w:rsid w:val="00940115"/>
    <w:rsid w:val="00943813"/>
    <w:rsid w:val="00945B96"/>
    <w:rsid w:val="009505B0"/>
    <w:rsid w:val="00950C94"/>
    <w:rsid w:val="00951957"/>
    <w:rsid w:val="00960913"/>
    <w:rsid w:val="009634BA"/>
    <w:rsid w:val="0097137D"/>
    <w:rsid w:val="00975B8C"/>
    <w:rsid w:val="009809EC"/>
    <w:rsid w:val="00985114"/>
    <w:rsid w:val="00987ADA"/>
    <w:rsid w:val="00996C8E"/>
    <w:rsid w:val="009979A0"/>
    <w:rsid w:val="009A5621"/>
    <w:rsid w:val="009A72C1"/>
    <w:rsid w:val="009B3196"/>
    <w:rsid w:val="009B5E3E"/>
    <w:rsid w:val="009D2B40"/>
    <w:rsid w:val="009D3589"/>
    <w:rsid w:val="009D57E7"/>
    <w:rsid w:val="009E2627"/>
    <w:rsid w:val="009F25AA"/>
    <w:rsid w:val="009F53F7"/>
    <w:rsid w:val="00A03A18"/>
    <w:rsid w:val="00A11702"/>
    <w:rsid w:val="00A12D76"/>
    <w:rsid w:val="00A16ED6"/>
    <w:rsid w:val="00A322D2"/>
    <w:rsid w:val="00A33F37"/>
    <w:rsid w:val="00A34DB2"/>
    <w:rsid w:val="00A36579"/>
    <w:rsid w:val="00A406B3"/>
    <w:rsid w:val="00A45647"/>
    <w:rsid w:val="00A55008"/>
    <w:rsid w:val="00A55EE6"/>
    <w:rsid w:val="00A569A0"/>
    <w:rsid w:val="00A57792"/>
    <w:rsid w:val="00A62253"/>
    <w:rsid w:val="00A65EF4"/>
    <w:rsid w:val="00A66C04"/>
    <w:rsid w:val="00A704B4"/>
    <w:rsid w:val="00A71B69"/>
    <w:rsid w:val="00A73410"/>
    <w:rsid w:val="00A779CC"/>
    <w:rsid w:val="00A834E7"/>
    <w:rsid w:val="00A83C04"/>
    <w:rsid w:val="00A84C1B"/>
    <w:rsid w:val="00A933AB"/>
    <w:rsid w:val="00A93E30"/>
    <w:rsid w:val="00AA5387"/>
    <w:rsid w:val="00AA7EC1"/>
    <w:rsid w:val="00AB1930"/>
    <w:rsid w:val="00AB5858"/>
    <w:rsid w:val="00AD2237"/>
    <w:rsid w:val="00AD7ED9"/>
    <w:rsid w:val="00AF221D"/>
    <w:rsid w:val="00AF5699"/>
    <w:rsid w:val="00B07EA7"/>
    <w:rsid w:val="00B13E10"/>
    <w:rsid w:val="00B1711F"/>
    <w:rsid w:val="00B31B87"/>
    <w:rsid w:val="00B31C7F"/>
    <w:rsid w:val="00B32740"/>
    <w:rsid w:val="00B33670"/>
    <w:rsid w:val="00B4144E"/>
    <w:rsid w:val="00B432F8"/>
    <w:rsid w:val="00B44CA8"/>
    <w:rsid w:val="00B50275"/>
    <w:rsid w:val="00B5115C"/>
    <w:rsid w:val="00B5424E"/>
    <w:rsid w:val="00B65219"/>
    <w:rsid w:val="00B662B4"/>
    <w:rsid w:val="00B67CE0"/>
    <w:rsid w:val="00B702EE"/>
    <w:rsid w:val="00B76069"/>
    <w:rsid w:val="00B817D8"/>
    <w:rsid w:val="00B903C9"/>
    <w:rsid w:val="00B916EB"/>
    <w:rsid w:val="00BA3A92"/>
    <w:rsid w:val="00BB1C4D"/>
    <w:rsid w:val="00BB3360"/>
    <w:rsid w:val="00BC3FB1"/>
    <w:rsid w:val="00BC4278"/>
    <w:rsid w:val="00BD0399"/>
    <w:rsid w:val="00BD171A"/>
    <w:rsid w:val="00BD242E"/>
    <w:rsid w:val="00BE1F02"/>
    <w:rsid w:val="00BE6989"/>
    <w:rsid w:val="00BE7361"/>
    <w:rsid w:val="00BF6A4B"/>
    <w:rsid w:val="00C076B5"/>
    <w:rsid w:val="00C07D4B"/>
    <w:rsid w:val="00C101AC"/>
    <w:rsid w:val="00C106D8"/>
    <w:rsid w:val="00C11D96"/>
    <w:rsid w:val="00C22F59"/>
    <w:rsid w:val="00C23304"/>
    <w:rsid w:val="00C26485"/>
    <w:rsid w:val="00C33139"/>
    <w:rsid w:val="00C4127F"/>
    <w:rsid w:val="00C4140F"/>
    <w:rsid w:val="00C42D45"/>
    <w:rsid w:val="00C44324"/>
    <w:rsid w:val="00C459ED"/>
    <w:rsid w:val="00C627AA"/>
    <w:rsid w:val="00C644DC"/>
    <w:rsid w:val="00C704D2"/>
    <w:rsid w:val="00C70676"/>
    <w:rsid w:val="00C70A1D"/>
    <w:rsid w:val="00C7369A"/>
    <w:rsid w:val="00C7577A"/>
    <w:rsid w:val="00C8273A"/>
    <w:rsid w:val="00C90D69"/>
    <w:rsid w:val="00C94CBA"/>
    <w:rsid w:val="00C97C08"/>
    <w:rsid w:val="00CA15CD"/>
    <w:rsid w:val="00CB208E"/>
    <w:rsid w:val="00CB7B80"/>
    <w:rsid w:val="00CC1ECE"/>
    <w:rsid w:val="00CC28FA"/>
    <w:rsid w:val="00CC3B9C"/>
    <w:rsid w:val="00CC60E0"/>
    <w:rsid w:val="00CD11FC"/>
    <w:rsid w:val="00CD47BF"/>
    <w:rsid w:val="00CD6CCC"/>
    <w:rsid w:val="00CE5A35"/>
    <w:rsid w:val="00CF26A5"/>
    <w:rsid w:val="00D03F51"/>
    <w:rsid w:val="00D07B9D"/>
    <w:rsid w:val="00D12076"/>
    <w:rsid w:val="00D20569"/>
    <w:rsid w:val="00D21EC7"/>
    <w:rsid w:val="00D24707"/>
    <w:rsid w:val="00D24E8B"/>
    <w:rsid w:val="00D27263"/>
    <w:rsid w:val="00D50450"/>
    <w:rsid w:val="00D551AD"/>
    <w:rsid w:val="00D60821"/>
    <w:rsid w:val="00D6189B"/>
    <w:rsid w:val="00D63344"/>
    <w:rsid w:val="00D635BE"/>
    <w:rsid w:val="00D706A9"/>
    <w:rsid w:val="00D72B85"/>
    <w:rsid w:val="00D72E64"/>
    <w:rsid w:val="00D7366F"/>
    <w:rsid w:val="00D73D4F"/>
    <w:rsid w:val="00D746F3"/>
    <w:rsid w:val="00D75F7A"/>
    <w:rsid w:val="00D764C8"/>
    <w:rsid w:val="00D80B58"/>
    <w:rsid w:val="00DA1520"/>
    <w:rsid w:val="00DA3D18"/>
    <w:rsid w:val="00DA7547"/>
    <w:rsid w:val="00DC0273"/>
    <w:rsid w:val="00DC08A7"/>
    <w:rsid w:val="00DC1BDF"/>
    <w:rsid w:val="00DC67D9"/>
    <w:rsid w:val="00DC7963"/>
    <w:rsid w:val="00DD3366"/>
    <w:rsid w:val="00DE6841"/>
    <w:rsid w:val="00DF0E6D"/>
    <w:rsid w:val="00DF1BB5"/>
    <w:rsid w:val="00DF551A"/>
    <w:rsid w:val="00E0109A"/>
    <w:rsid w:val="00E03092"/>
    <w:rsid w:val="00E06170"/>
    <w:rsid w:val="00E067C2"/>
    <w:rsid w:val="00E122A1"/>
    <w:rsid w:val="00E21606"/>
    <w:rsid w:val="00E32EFE"/>
    <w:rsid w:val="00E35014"/>
    <w:rsid w:val="00E36885"/>
    <w:rsid w:val="00E36F82"/>
    <w:rsid w:val="00E44B5A"/>
    <w:rsid w:val="00E52C61"/>
    <w:rsid w:val="00E653CA"/>
    <w:rsid w:val="00E7020E"/>
    <w:rsid w:val="00E71FDA"/>
    <w:rsid w:val="00E7332A"/>
    <w:rsid w:val="00E77606"/>
    <w:rsid w:val="00E8179F"/>
    <w:rsid w:val="00E86572"/>
    <w:rsid w:val="00E918D6"/>
    <w:rsid w:val="00EA5606"/>
    <w:rsid w:val="00EC3111"/>
    <w:rsid w:val="00EC32F1"/>
    <w:rsid w:val="00EC4980"/>
    <w:rsid w:val="00EC556A"/>
    <w:rsid w:val="00ED5F07"/>
    <w:rsid w:val="00EF3522"/>
    <w:rsid w:val="00EF3E44"/>
    <w:rsid w:val="00EF6AF8"/>
    <w:rsid w:val="00F04C34"/>
    <w:rsid w:val="00F04F34"/>
    <w:rsid w:val="00F114EE"/>
    <w:rsid w:val="00F127E2"/>
    <w:rsid w:val="00F128FD"/>
    <w:rsid w:val="00F13C7C"/>
    <w:rsid w:val="00F15F8D"/>
    <w:rsid w:val="00F246AC"/>
    <w:rsid w:val="00F30BD1"/>
    <w:rsid w:val="00F36A03"/>
    <w:rsid w:val="00F36AD9"/>
    <w:rsid w:val="00F46E88"/>
    <w:rsid w:val="00F47D00"/>
    <w:rsid w:val="00F5437E"/>
    <w:rsid w:val="00F54978"/>
    <w:rsid w:val="00F63757"/>
    <w:rsid w:val="00F67571"/>
    <w:rsid w:val="00F67C65"/>
    <w:rsid w:val="00F74DEA"/>
    <w:rsid w:val="00F80497"/>
    <w:rsid w:val="00F83E59"/>
    <w:rsid w:val="00F921FA"/>
    <w:rsid w:val="00FA207B"/>
    <w:rsid w:val="00FA3E27"/>
    <w:rsid w:val="00FA51B5"/>
    <w:rsid w:val="00FC4013"/>
    <w:rsid w:val="00FC4639"/>
    <w:rsid w:val="00FC467B"/>
    <w:rsid w:val="00FD1A6B"/>
    <w:rsid w:val="00FD5B32"/>
    <w:rsid w:val="00FE48DE"/>
    <w:rsid w:val="00FF6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96E6D"/>
  <w15:docId w15:val="{66A55C3E-23C0-4F59-A726-56252D2BD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0B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419D9"/>
    <w:pPr>
      <w:ind w:left="720"/>
      <w:contextualSpacing/>
    </w:pPr>
  </w:style>
  <w:style w:type="character" w:customStyle="1" w:styleId="journaltitlesp1">
    <w:name w:val="journaltitlesp1"/>
    <w:basedOn w:val="Fuentedeprrafopredeter"/>
    <w:rsid w:val="00523D0F"/>
    <w:rPr>
      <w:i/>
      <w:iCs/>
    </w:rPr>
  </w:style>
  <w:style w:type="character" w:customStyle="1" w:styleId="issuevolsp">
    <w:name w:val="issuevolsp"/>
    <w:basedOn w:val="Fuentedeprrafopredeter"/>
    <w:rsid w:val="00523D0F"/>
  </w:style>
  <w:style w:type="character" w:customStyle="1" w:styleId="pagerange">
    <w:name w:val="pagerange"/>
    <w:basedOn w:val="Fuentedeprrafopredeter"/>
    <w:rsid w:val="00523D0F"/>
  </w:style>
  <w:style w:type="paragraph" w:styleId="Textodeglobo">
    <w:name w:val="Balloon Text"/>
    <w:basedOn w:val="Normal"/>
    <w:link w:val="TextodegloboCar"/>
    <w:uiPriority w:val="99"/>
    <w:semiHidden/>
    <w:unhideWhenUsed/>
    <w:rsid w:val="007C7235"/>
    <w:rPr>
      <w:rFonts w:ascii="Tahoma" w:hAnsi="Tahoma" w:cs="Tahoma"/>
      <w:sz w:val="16"/>
      <w:szCs w:val="16"/>
    </w:rPr>
  </w:style>
  <w:style w:type="character" w:customStyle="1" w:styleId="TextodegloboCar">
    <w:name w:val="Texto de globo Car"/>
    <w:basedOn w:val="Fuentedeprrafopredeter"/>
    <w:link w:val="Textodeglobo"/>
    <w:uiPriority w:val="99"/>
    <w:semiHidden/>
    <w:rsid w:val="007C7235"/>
    <w:rPr>
      <w:rFonts w:ascii="Tahoma" w:hAnsi="Tahoma" w:cs="Tahoma"/>
      <w:sz w:val="16"/>
      <w:szCs w:val="16"/>
    </w:rPr>
  </w:style>
  <w:style w:type="paragraph" w:styleId="Sinespaciado">
    <w:name w:val="No Spacing"/>
    <w:uiPriority w:val="1"/>
    <w:qFormat/>
    <w:rsid w:val="00B5424E"/>
  </w:style>
  <w:style w:type="paragraph" w:styleId="Encabezado">
    <w:name w:val="header"/>
    <w:basedOn w:val="Normal"/>
    <w:link w:val="EncabezadoCar"/>
    <w:uiPriority w:val="99"/>
    <w:unhideWhenUsed/>
    <w:rsid w:val="00CC1ECE"/>
    <w:pPr>
      <w:tabs>
        <w:tab w:val="center" w:pos="4680"/>
        <w:tab w:val="right" w:pos="9360"/>
      </w:tabs>
    </w:pPr>
  </w:style>
  <w:style w:type="character" w:customStyle="1" w:styleId="EncabezadoCar">
    <w:name w:val="Encabezado Car"/>
    <w:basedOn w:val="Fuentedeprrafopredeter"/>
    <w:link w:val="Encabezado"/>
    <w:uiPriority w:val="99"/>
    <w:rsid w:val="00CC1ECE"/>
  </w:style>
  <w:style w:type="paragraph" w:styleId="Piedepgina">
    <w:name w:val="footer"/>
    <w:basedOn w:val="Normal"/>
    <w:link w:val="PiedepginaCar"/>
    <w:uiPriority w:val="99"/>
    <w:unhideWhenUsed/>
    <w:rsid w:val="00CC1ECE"/>
    <w:pPr>
      <w:tabs>
        <w:tab w:val="center" w:pos="4680"/>
        <w:tab w:val="right" w:pos="9360"/>
      </w:tabs>
    </w:pPr>
  </w:style>
  <w:style w:type="character" w:customStyle="1" w:styleId="PiedepginaCar">
    <w:name w:val="Pie de página Car"/>
    <w:basedOn w:val="Fuentedeprrafopredeter"/>
    <w:link w:val="Piedepgina"/>
    <w:uiPriority w:val="99"/>
    <w:rsid w:val="00CC1ECE"/>
  </w:style>
  <w:style w:type="character" w:styleId="Hipervnculo">
    <w:name w:val="Hyperlink"/>
    <w:basedOn w:val="Fuentedeprrafopredeter"/>
    <w:uiPriority w:val="99"/>
    <w:unhideWhenUsed/>
    <w:rsid w:val="00943813"/>
    <w:rPr>
      <w:color w:val="0000FF" w:themeColor="hyperlink"/>
      <w:u w:val="single"/>
    </w:rPr>
  </w:style>
  <w:style w:type="character" w:styleId="Hipervnculovisitado">
    <w:name w:val="FollowedHyperlink"/>
    <w:basedOn w:val="Fuentedeprrafopredeter"/>
    <w:uiPriority w:val="99"/>
    <w:semiHidden/>
    <w:unhideWhenUsed/>
    <w:rsid w:val="00F67571"/>
    <w:rPr>
      <w:color w:val="800080" w:themeColor="followedHyperlink"/>
      <w:u w:val="single"/>
    </w:rPr>
  </w:style>
  <w:style w:type="table" w:styleId="Tablaconcuadrcula">
    <w:name w:val="Table Grid"/>
    <w:basedOn w:val="Tablanormal"/>
    <w:uiPriority w:val="59"/>
    <w:rsid w:val="004B5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122A1"/>
    <w:rPr>
      <w:rFonts w:ascii="Times New Roman" w:hAnsi="Times New Roman" w:cs="Times New Roman"/>
      <w:sz w:val="24"/>
      <w:szCs w:val="24"/>
    </w:rPr>
  </w:style>
  <w:style w:type="character" w:customStyle="1" w:styleId="A6">
    <w:name w:val="A6"/>
    <w:uiPriority w:val="99"/>
    <w:rsid w:val="00321528"/>
    <w:rPr>
      <w:color w:val="000000"/>
      <w:sz w:val="21"/>
      <w:szCs w:val="21"/>
    </w:rPr>
  </w:style>
  <w:style w:type="character" w:customStyle="1" w:styleId="UnresolvedMention1">
    <w:name w:val="Unresolved Mention1"/>
    <w:basedOn w:val="Fuentedeprrafopredeter"/>
    <w:uiPriority w:val="99"/>
    <w:semiHidden/>
    <w:unhideWhenUsed/>
    <w:rsid w:val="00DA1520"/>
    <w:rPr>
      <w:color w:val="605E5C"/>
      <w:shd w:val="clear" w:color="auto" w:fill="E1DFDD"/>
    </w:rPr>
  </w:style>
  <w:style w:type="paragraph" w:customStyle="1" w:styleId="Default">
    <w:name w:val="Default"/>
    <w:rsid w:val="00692F42"/>
    <w:pPr>
      <w:autoSpaceDE w:val="0"/>
      <w:autoSpaceDN w:val="0"/>
      <w:adjustRightInd w:val="0"/>
      <w:ind w:firstLine="0"/>
    </w:pPr>
    <w:rPr>
      <w:rFonts w:ascii="Avenir" w:hAnsi="Avenir" w:cs="Avenir"/>
      <w:color w:val="000000"/>
      <w:sz w:val="24"/>
      <w:szCs w:val="24"/>
      <w14:ligatures w14:val="standardContextual"/>
    </w:rPr>
  </w:style>
  <w:style w:type="character" w:styleId="Mencinsinresolver">
    <w:name w:val="Unresolved Mention"/>
    <w:basedOn w:val="Fuentedeprrafopredeter"/>
    <w:uiPriority w:val="99"/>
    <w:semiHidden/>
    <w:unhideWhenUsed/>
    <w:rsid w:val="000403B1"/>
    <w:rPr>
      <w:color w:val="605E5C"/>
      <w:shd w:val="clear" w:color="auto" w:fill="E1DFDD"/>
    </w:rPr>
  </w:style>
  <w:style w:type="character" w:styleId="Textodelmarcadordeposicin">
    <w:name w:val="Placeholder Text"/>
    <w:basedOn w:val="Fuentedeprrafopredeter"/>
    <w:uiPriority w:val="99"/>
    <w:semiHidden/>
    <w:rsid w:val="00073B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2B99C-3094-44CE-BAF1-E4DE088BA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2442</Words>
  <Characters>13435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PTP</dc:creator>
  <cp:lastModifiedBy>JORGE</cp:lastModifiedBy>
  <cp:revision>1</cp:revision>
  <cp:lastPrinted>2026-02-20T19:22:00Z</cp:lastPrinted>
  <dcterms:created xsi:type="dcterms:W3CDTF">2026-03-27T16:34:00Z</dcterms:created>
  <dcterms:modified xsi:type="dcterms:W3CDTF">2026-04-01T18:34:00Z</dcterms:modified>
</cp:coreProperties>
</file>