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64FF" w14:textId="774C2764" w:rsidR="00666F37" w:rsidRDefault="00E83724" w:rsidP="00E83724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</w:rPr>
      </w:pPr>
      <w:r>
        <w:rPr>
          <w:rFonts w:eastAsia="Times New Roman" w:cs="Tahoma"/>
          <w:b/>
          <w:snapToGrid w:val="0"/>
          <w:sz w:val="32"/>
          <w:szCs w:val="32"/>
        </w:rPr>
        <w:t>Request for Proposal</w:t>
      </w:r>
      <w:r w:rsidR="00F51B36">
        <w:rPr>
          <w:rFonts w:eastAsia="Times New Roman" w:cs="Tahoma"/>
          <w:b/>
          <w:snapToGrid w:val="0"/>
          <w:sz w:val="32"/>
          <w:szCs w:val="32"/>
        </w:rPr>
        <w:t>s</w:t>
      </w:r>
    </w:p>
    <w:p w14:paraId="2023BFE9" w14:textId="77777777" w:rsidR="00DC1FE2" w:rsidRDefault="00DC1FE2" w:rsidP="00E83724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</w:rPr>
      </w:pPr>
    </w:p>
    <w:p w14:paraId="2FE85CC9" w14:textId="6CD6A277" w:rsidR="00DC1FE2" w:rsidRPr="006137A5" w:rsidRDefault="00897BB4" w:rsidP="00E83724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  <w:u w:val="single"/>
        </w:rPr>
      </w:pPr>
      <w:r>
        <w:rPr>
          <w:rFonts w:eastAsia="Times New Roman" w:cs="Tahoma"/>
          <w:b/>
          <w:snapToGrid w:val="0"/>
          <w:sz w:val="32"/>
          <w:szCs w:val="32"/>
          <w:u w:val="single"/>
        </w:rPr>
        <w:t>CONSULTANT SERVICES</w:t>
      </w:r>
    </w:p>
    <w:p w14:paraId="34309E0C" w14:textId="471E8F90" w:rsidR="00DC1FE2" w:rsidRDefault="00DC1FE2" w:rsidP="0087207A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</w:rPr>
      </w:pPr>
      <w:proofErr w:type="gramStart"/>
      <w:r>
        <w:rPr>
          <w:rFonts w:eastAsia="Times New Roman" w:cs="Tahoma"/>
          <w:b/>
          <w:snapToGrid w:val="0"/>
          <w:sz w:val="32"/>
          <w:szCs w:val="32"/>
        </w:rPr>
        <w:t>In Regard to</w:t>
      </w:r>
      <w:proofErr w:type="gramEnd"/>
      <w:r>
        <w:rPr>
          <w:rFonts w:eastAsia="Times New Roman" w:cs="Tahoma"/>
          <w:b/>
          <w:snapToGrid w:val="0"/>
          <w:sz w:val="32"/>
          <w:szCs w:val="32"/>
        </w:rPr>
        <w:t xml:space="preserve"> </w:t>
      </w:r>
      <w:r w:rsidR="0087207A">
        <w:rPr>
          <w:rFonts w:eastAsia="Times New Roman" w:cs="Tahoma"/>
          <w:b/>
          <w:snapToGrid w:val="0"/>
          <w:sz w:val="32"/>
          <w:szCs w:val="32"/>
        </w:rPr>
        <w:t>Facilitating and</w:t>
      </w:r>
    </w:p>
    <w:p w14:paraId="2D3FE6E6" w14:textId="3A61E52A" w:rsidR="0087207A" w:rsidRDefault="0087207A" w:rsidP="0087207A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</w:rPr>
      </w:pPr>
      <w:r>
        <w:rPr>
          <w:rFonts w:eastAsia="Times New Roman" w:cs="Tahoma"/>
          <w:b/>
          <w:snapToGrid w:val="0"/>
          <w:sz w:val="32"/>
          <w:szCs w:val="32"/>
        </w:rPr>
        <w:t xml:space="preserve">Managing 42.i.7 </w:t>
      </w:r>
      <w:r w:rsidR="00A95CA6">
        <w:rPr>
          <w:rFonts w:eastAsia="Times New Roman" w:cs="Tahoma"/>
          <w:b/>
          <w:snapToGrid w:val="0"/>
          <w:sz w:val="32"/>
          <w:szCs w:val="32"/>
        </w:rPr>
        <w:t>Tax Credit Investor Exit</w:t>
      </w:r>
    </w:p>
    <w:p w14:paraId="3E79C563" w14:textId="0D48F990" w:rsidR="00A95CA6" w:rsidRPr="00AE09D6" w:rsidRDefault="00A95CA6" w:rsidP="0087207A">
      <w:pPr>
        <w:widowControl w:val="0"/>
        <w:spacing w:after="0" w:line="240" w:lineRule="auto"/>
        <w:jc w:val="center"/>
        <w:rPr>
          <w:rFonts w:eastAsia="Times New Roman" w:cs="Tahoma"/>
          <w:b/>
          <w:snapToGrid w:val="0"/>
          <w:sz w:val="32"/>
          <w:szCs w:val="32"/>
        </w:rPr>
      </w:pPr>
      <w:r>
        <w:rPr>
          <w:rFonts w:eastAsia="Times New Roman" w:cs="Tahoma"/>
          <w:b/>
          <w:snapToGrid w:val="0"/>
          <w:sz w:val="32"/>
          <w:szCs w:val="32"/>
        </w:rPr>
        <w:t>Liberty Gardens</w:t>
      </w:r>
      <w:r w:rsidR="008B7FD6">
        <w:rPr>
          <w:rFonts w:eastAsia="Times New Roman" w:cs="Tahoma"/>
          <w:b/>
          <w:snapToGrid w:val="0"/>
          <w:sz w:val="32"/>
          <w:szCs w:val="32"/>
        </w:rPr>
        <w:t xml:space="preserve"> </w:t>
      </w:r>
    </w:p>
    <w:p w14:paraId="12BC63A8" w14:textId="77777777" w:rsidR="003464DF" w:rsidRPr="00AE09D6" w:rsidRDefault="003464DF" w:rsidP="00EE00E3">
      <w:pPr>
        <w:widowControl w:val="0"/>
        <w:spacing w:after="0" w:line="240" w:lineRule="auto"/>
        <w:rPr>
          <w:rFonts w:eastAsia="Times New Roman" w:cs="Tahoma"/>
          <w:snapToGrid w:val="0"/>
          <w:sz w:val="28"/>
          <w:szCs w:val="28"/>
        </w:rPr>
      </w:pPr>
    </w:p>
    <w:p w14:paraId="2BE62B3E" w14:textId="77777777" w:rsidR="00455DAE" w:rsidRPr="00AE09D6" w:rsidRDefault="00455DAE" w:rsidP="00E96A51">
      <w:pPr>
        <w:widowControl w:val="0"/>
        <w:spacing w:after="0" w:line="240" w:lineRule="auto"/>
        <w:jc w:val="center"/>
        <w:rPr>
          <w:rFonts w:eastAsia="Times New Roman" w:cs="Times New Roman"/>
          <w:noProof/>
          <w:sz w:val="20"/>
          <w:szCs w:val="20"/>
        </w:rPr>
      </w:pPr>
    </w:p>
    <w:p w14:paraId="3815B1FB" w14:textId="525F9D72" w:rsidR="00E96A51" w:rsidRDefault="0049794B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52"/>
          <w:szCs w:val="52"/>
        </w:rPr>
      </w:pPr>
      <w:r>
        <w:rPr>
          <w:rFonts w:eastAsia="Times New Roman" w:cs="Times New Roman"/>
          <w:b/>
          <w:noProof/>
          <w:sz w:val="52"/>
          <w:szCs w:val="52"/>
        </w:rPr>
        <w:t>Rome Housing Authority</w:t>
      </w:r>
    </w:p>
    <w:p w14:paraId="50E09D47" w14:textId="77777777" w:rsidR="006F3639" w:rsidRDefault="0026455A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t xml:space="preserve">200 </w:t>
      </w:r>
      <w:r w:rsidR="006F3639">
        <w:rPr>
          <w:rFonts w:eastAsia="Times New Roman" w:cs="Times New Roman"/>
          <w:b/>
          <w:noProof/>
          <w:sz w:val="28"/>
          <w:szCs w:val="28"/>
        </w:rPr>
        <w:t xml:space="preserve">N. </w:t>
      </w:r>
      <w:r w:rsidR="009F6C24">
        <w:rPr>
          <w:rFonts w:eastAsia="Times New Roman" w:cs="Times New Roman"/>
          <w:b/>
          <w:noProof/>
          <w:sz w:val="28"/>
          <w:szCs w:val="28"/>
        </w:rPr>
        <w:t>Levitt</w:t>
      </w:r>
      <w:r w:rsidR="006F3639">
        <w:rPr>
          <w:rFonts w:eastAsia="Times New Roman" w:cs="Times New Roman"/>
          <w:b/>
          <w:noProof/>
          <w:sz w:val="28"/>
          <w:szCs w:val="28"/>
        </w:rPr>
        <w:t xml:space="preserve"> Street</w:t>
      </w:r>
    </w:p>
    <w:p w14:paraId="24D01C6D" w14:textId="77777777" w:rsidR="0078560F" w:rsidRDefault="006F3639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t>Rome, NY 1</w:t>
      </w:r>
      <w:r w:rsidR="0078560F">
        <w:rPr>
          <w:rFonts w:eastAsia="Times New Roman" w:cs="Times New Roman"/>
          <w:b/>
          <w:noProof/>
          <w:sz w:val="28"/>
          <w:szCs w:val="28"/>
        </w:rPr>
        <w:t>3440</w:t>
      </w:r>
    </w:p>
    <w:p w14:paraId="34BEC32B" w14:textId="1CEAE0B7" w:rsidR="0078560F" w:rsidRDefault="00F51B36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t>Tami Lucia, Executive Director</w:t>
      </w:r>
    </w:p>
    <w:p w14:paraId="028AE36D" w14:textId="5EDF39F1" w:rsidR="0026455A" w:rsidRPr="0026455A" w:rsidRDefault="009F6C24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t xml:space="preserve"> </w:t>
      </w:r>
    </w:p>
    <w:p w14:paraId="3359B676" w14:textId="555FA2EC" w:rsidR="00C9600A" w:rsidRPr="00AE09D6" w:rsidRDefault="0046673F" w:rsidP="00E96A51">
      <w:pPr>
        <w:widowControl w:val="0"/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t>March 31</w:t>
      </w:r>
      <w:r w:rsidR="0026455A">
        <w:rPr>
          <w:rFonts w:eastAsia="Times New Roman" w:cs="Times New Roman"/>
          <w:b/>
          <w:noProof/>
          <w:sz w:val="28"/>
          <w:szCs w:val="28"/>
        </w:rPr>
        <w:t>, 202</w:t>
      </w:r>
      <w:r w:rsidR="008B7FD6">
        <w:rPr>
          <w:rFonts w:eastAsia="Times New Roman" w:cs="Times New Roman"/>
          <w:b/>
          <w:noProof/>
          <w:sz w:val="28"/>
          <w:szCs w:val="28"/>
        </w:rPr>
        <w:t>5</w:t>
      </w:r>
    </w:p>
    <w:p w14:paraId="16DDF574" w14:textId="68146A14" w:rsidR="007E6F8F" w:rsidRPr="00513B58" w:rsidRDefault="006A6A2F" w:rsidP="00E96257">
      <w:pPr>
        <w:widowControl w:val="0"/>
        <w:kinsoku w:val="0"/>
        <w:overflowPunct w:val="0"/>
        <w:spacing w:before="100" w:beforeAutospacing="1" w:after="100" w:afterAutospacing="1" w:line="291" w:lineRule="exact"/>
        <w:textAlignment w:val="baseline"/>
        <w:rPr>
          <w:rFonts w:eastAsiaTheme="minorEastAsia" w:cs="Times New Roman"/>
          <w:sz w:val="28"/>
          <w:szCs w:val="28"/>
        </w:rPr>
      </w:pPr>
      <w:r w:rsidRPr="00E96257">
        <w:rPr>
          <w:rFonts w:eastAsiaTheme="minorEastAsia" w:cs="Times New Roman"/>
          <w:sz w:val="28"/>
          <w:szCs w:val="28"/>
          <w:u w:val="single"/>
        </w:rPr>
        <w:t>Subject Property</w:t>
      </w:r>
      <w:r w:rsidRPr="00513B58">
        <w:rPr>
          <w:rFonts w:eastAsiaTheme="minorEastAsia" w:cs="Times New Roman"/>
          <w:sz w:val="28"/>
          <w:szCs w:val="28"/>
        </w:rPr>
        <w:t>:   Liberty Gardens</w:t>
      </w:r>
      <w:r w:rsidR="00513B58" w:rsidRPr="00513B58">
        <w:rPr>
          <w:rFonts w:eastAsiaTheme="minorEastAsia" w:cs="Times New Roman"/>
          <w:sz w:val="28"/>
          <w:szCs w:val="28"/>
        </w:rPr>
        <w:t xml:space="preserve"> Apartments</w:t>
      </w:r>
    </w:p>
    <w:p w14:paraId="2B602053" w14:textId="7169B43B" w:rsidR="00513B58" w:rsidRDefault="00513B58" w:rsidP="00E96257">
      <w:pPr>
        <w:widowControl w:val="0"/>
        <w:kinsoku w:val="0"/>
        <w:overflowPunct w:val="0"/>
        <w:spacing w:before="100" w:beforeAutospacing="1" w:after="100" w:afterAutospacing="1" w:line="291" w:lineRule="exact"/>
        <w:textAlignment w:val="baseline"/>
        <w:rPr>
          <w:rFonts w:eastAsiaTheme="minorEastAsia" w:cs="Times New Roman"/>
          <w:sz w:val="28"/>
          <w:szCs w:val="28"/>
        </w:rPr>
      </w:pPr>
      <w:r w:rsidRPr="00513B58"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>200 N. Levitt Street, Rome, NY 13440</w:t>
      </w:r>
    </w:p>
    <w:p w14:paraId="0EE6F050" w14:textId="4031E7E4" w:rsidR="00513B58" w:rsidRDefault="00513B58" w:rsidP="00E96257">
      <w:pPr>
        <w:widowControl w:val="0"/>
        <w:kinsoku w:val="0"/>
        <w:overflowPunct w:val="0"/>
        <w:spacing w:before="100" w:beforeAutospacing="1" w:after="100" w:afterAutospacing="1" w:line="291" w:lineRule="exact"/>
        <w:textAlignment w:val="baseline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 xml:space="preserve">180 du </w:t>
      </w:r>
      <w:r w:rsidR="00E96257">
        <w:rPr>
          <w:rFonts w:eastAsiaTheme="minorEastAsia" w:cs="Times New Roman"/>
          <w:sz w:val="28"/>
          <w:szCs w:val="28"/>
        </w:rPr>
        <w:t>Family Affordable Housing</w:t>
      </w:r>
    </w:p>
    <w:p w14:paraId="7A9F82F2" w14:textId="1C626292" w:rsidR="001D0F7F" w:rsidRPr="0026099D" w:rsidRDefault="00A043A7" w:rsidP="001D0F7F">
      <w:pPr>
        <w:widowControl w:val="0"/>
        <w:kinsoku w:val="0"/>
        <w:overflowPunct w:val="0"/>
        <w:spacing w:before="100" w:beforeAutospacing="1" w:after="100" w:afterAutospacing="1" w:line="291" w:lineRule="exact"/>
        <w:jc w:val="center"/>
        <w:textAlignment w:val="baseline"/>
        <w:rPr>
          <w:rFonts w:eastAsiaTheme="minorEastAsia" w:cs="Times New Roman"/>
          <w:sz w:val="36"/>
          <w:szCs w:val="36"/>
          <w:u w:val="single"/>
        </w:rPr>
      </w:pPr>
      <w:r w:rsidRPr="0026099D">
        <w:rPr>
          <w:rFonts w:eastAsiaTheme="minorEastAsia" w:cs="Times New Roman"/>
          <w:sz w:val="36"/>
          <w:szCs w:val="36"/>
          <w:u w:val="single"/>
        </w:rPr>
        <w:t xml:space="preserve">Due Date:  </w:t>
      </w:r>
      <w:r w:rsidR="000619AA">
        <w:rPr>
          <w:rFonts w:eastAsiaTheme="minorEastAsia" w:cs="Times New Roman"/>
          <w:sz w:val="36"/>
          <w:szCs w:val="36"/>
          <w:u w:val="single"/>
        </w:rPr>
        <w:t>March</w:t>
      </w:r>
      <w:r w:rsidRPr="0026099D">
        <w:rPr>
          <w:rFonts w:eastAsiaTheme="minorEastAsia" w:cs="Times New Roman"/>
          <w:sz w:val="36"/>
          <w:szCs w:val="36"/>
          <w:u w:val="single"/>
        </w:rPr>
        <w:t xml:space="preserve"> </w:t>
      </w:r>
      <w:r w:rsidR="0046673F">
        <w:rPr>
          <w:rFonts w:eastAsiaTheme="minorEastAsia" w:cs="Times New Roman"/>
          <w:sz w:val="36"/>
          <w:szCs w:val="36"/>
          <w:u w:val="single"/>
        </w:rPr>
        <w:t>31</w:t>
      </w:r>
      <w:r w:rsidRPr="0026099D">
        <w:rPr>
          <w:rFonts w:eastAsiaTheme="minorEastAsia" w:cs="Times New Roman"/>
          <w:sz w:val="36"/>
          <w:szCs w:val="36"/>
          <w:u w:val="single"/>
        </w:rPr>
        <w:t>, 202</w:t>
      </w:r>
      <w:r w:rsidR="000619AA">
        <w:rPr>
          <w:rFonts w:eastAsiaTheme="minorEastAsia" w:cs="Times New Roman"/>
          <w:sz w:val="36"/>
          <w:szCs w:val="36"/>
          <w:u w:val="single"/>
        </w:rPr>
        <w:t>5</w:t>
      </w:r>
    </w:p>
    <w:p w14:paraId="0B925B8F" w14:textId="16FE466C" w:rsidR="006137A5" w:rsidRDefault="006137A5" w:rsidP="006137A5">
      <w:pPr>
        <w:jc w:val="center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drawing>
          <wp:inline distT="0" distB="0" distL="0" distR="0" wp14:anchorId="4227CD89" wp14:editId="2C27347F">
            <wp:extent cx="4297680" cy="2871216"/>
            <wp:effectExtent l="0" t="0" r="7620" b="5715"/>
            <wp:docPr id="1604156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56805" name="Picture 16041568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525C" w14:textId="77777777" w:rsidR="00E96257" w:rsidRDefault="00E96257" w:rsidP="00862CC9">
      <w:pPr>
        <w:widowControl w:val="0"/>
        <w:kinsoku w:val="0"/>
        <w:overflowPunct w:val="0"/>
        <w:spacing w:before="100" w:beforeAutospacing="1" w:after="240" w:line="291" w:lineRule="exact"/>
        <w:jc w:val="both"/>
        <w:textAlignment w:val="baseline"/>
        <w:rPr>
          <w:rFonts w:eastAsiaTheme="minorEastAsia" w:cs="Times New Roman"/>
        </w:rPr>
      </w:pPr>
    </w:p>
    <w:p w14:paraId="60A6C243" w14:textId="19E34824" w:rsidR="007E6F8F" w:rsidRPr="002C2AB2" w:rsidRDefault="008E1D12" w:rsidP="008E1D12">
      <w:pPr>
        <w:widowControl w:val="0"/>
        <w:kinsoku w:val="0"/>
        <w:overflowPunct w:val="0"/>
        <w:spacing w:before="100" w:beforeAutospacing="1" w:after="240" w:line="291" w:lineRule="exact"/>
        <w:ind w:firstLine="720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/>
          <w:bCs/>
          <w:sz w:val="28"/>
          <w:szCs w:val="28"/>
        </w:rPr>
        <w:t>BACKGROUND:</w:t>
      </w:r>
    </w:p>
    <w:p w14:paraId="12517A4E" w14:textId="77777777" w:rsidR="006B60F1" w:rsidRPr="002C2AB2" w:rsidRDefault="00536E6F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rFonts w:eastAsiaTheme="minorEastAsia"/>
          <w:sz w:val="28"/>
          <w:szCs w:val="28"/>
        </w:rPr>
      </w:pPr>
      <w:r w:rsidRPr="002C2AB2">
        <w:rPr>
          <w:rFonts w:eastAsiaTheme="minorEastAsia"/>
          <w:sz w:val="28"/>
          <w:szCs w:val="28"/>
        </w:rPr>
        <w:t>The Rome H</w:t>
      </w:r>
      <w:r w:rsidR="00570887" w:rsidRPr="002C2AB2">
        <w:rPr>
          <w:rFonts w:eastAsiaTheme="minorEastAsia"/>
          <w:sz w:val="28"/>
          <w:szCs w:val="28"/>
        </w:rPr>
        <w:t>o</w:t>
      </w:r>
      <w:r w:rsidRPr="002C2AB2">
        <w:rPr>
          <w:rFonts w:eastAsiaTheme="minorEastAsia"/>
          <w:sz w:val="28"/>
          <w:szCs w:val="28"/>
        </w:rPr>
        <w:t xml:space="preserve">using </w:t>
      </w:r>
      <w:r w:rsidR="006B14FD" w:rsidRPr="002C2AB2">
        <w:rPr>
          <w:rFonts w:eastAsiaTheme="minorEastAsia"/>
          <w:sz w:val="28"/>
          <w:szCs w:val="28"/>
        </w:rPr>
        <w:t>Authority</w:t>
      </w:r>
      <w:r w:rsidR="00570887" w:rsidRPr="002C2AB2">
        <w:rPr>
          <w:rFonts w:eastAsiaTheme="minorEastAsia"/>
          <w:sz w:val="28"/>
          <w:szCs w:val="28"/>
        </w:rPr>
        <w:t xml:space="preserve"> (RHA)</w:t>
      </w:r>
      <w:r w:rsidR="006B14FD" w:rsidRPr="002C2AB2">
        <w:rPr>
          <w:rFonts w:eastAsiaTheme="minorEastAsia"/>
          <w:sz w:val="28"/>
          <w:szCs w:val="28"/>
        </w:rPr>
        <w:t xml:space="preserve"> requires</w:t>
      </w:r>
      <w:r w:rsidR="006F78F3" w:rsidRPr="002C2AB2">
        <w:rPr>
          <w:rFonts w:eastAsiaTheme="minorEastAsia"/>
          <w:sz w:val="28"/>
          <w:szCs w:val="28"/>
        </w:rPr>
        <w:t xml:space="preserve"> professional services related to the</w:t>
      </w:r>
      <w:r w:rsidR="00AE09D6" w:rsidRPr="002C2AB2">
        <w:rPr>
          <w:rFonts w:eastAsiaTheme="minorEastAsia"/>
          <w:sz w:val="28"/>
          <w:szCs w:val="28"/>
        </w:rPr>
        <w:t xml:space="preserve"> </w:t>
      </w:r>
      <w:r w:rsidR="006B60F1" w:rsidRPr="002C2AB2">
        <w:rPr>
          <w:rFonts w:eastAsiaTheme="minorEastAsia"/>
          <w:sz w:val="28"/>
          <w:szCs w:val="28"/>
        </w:rPr>
        <w:t>facilitation</w:t>
      </w:r>
      <w:r w:rsidR="008D6FD2" w:rsidRPr="002C2AB2">
        <w:rPr>
          <w:rFonts w:eastAsiaTheme="minorEastAsia"/>
          <w:sz w:val="28"/>
          <w:szCs w:val="28"/>
        </w:rPr>
        <w:t xml:space="preserve"> and</w:t>
      </w:r>
      <w:r w:rsidR="0022286C" w:rsidRPr="002C2AB2">
        <w:rPr>
          <w:rFonts w:eastAsiaTheme="minorEastAsia"/>
          <w:sz w:val="28"/>
          <w:szCs w:val="28"/>
        </w:rPr>
        <w:t xml:space="preserve"> management of the Investor Limited Partner Year 15</w:t>
      </w:r>
      <w:r w:rsidR="00DD79EB" w:rsidRPr="002C2AB2">
        <w:rPr>
          <w:rFonts w:eastAsiaTheme="minorEastAsia"/>
          <w:sz w:val="28"/>
          <w:szCs w:val="28"/>
        </w:rPr>
        <w:t>, IRC 42.i.7 withdrawal</w:t>
      </w:r>
      <w:r w:rsidR="0024444E" w:rsidRPr="002C2AB2">
        <w:rPr>
          <w:rFonts w:eastAsiaTheme="minorEastAsia"/>
          <w:sz w:val="28"/>
          <w:szCs w:val="28"/>
        </w:rPr>
        <w:t xml:space="preserve"> from the ownership entities of </w:t>
      </w:r>
      <w:r w:rsidR="00554B0D" w:rsidRPr="002C2AB2">
        <w:rPr>
          <w:rFonts w:eastAsiaTheme="minorEastAsia"/>
          <w:sz w:val="28"/>
          <w:szCs w:val="28"/>
        </w:rPr>
        <w:t xml:space="preserve">the Liberty Gardens Apartments.  </w:t>
      </w:r>
    </w:p>
    <w:p w14:paraId="2469790A" w14:textId="159635FD" w:rsidR="006F78F3" w:rsidRPr="002C2AB2" w:rsidRDefault="00554B0D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rFonts w:eastAsiaTheme="minorEastAsia"/>
          <w:sz w:val="28"/>
          <w:szCs w:val="28"/>
        </w:rPr>
      </w:pPr>
      <w:r w:rsidRPr="002C2AB2">
        <w:rPr>
          <w:rFonts w:eastAsiaTheme="minorEastAsia"/>
          <w:sz w:val="28"/>
          <w:szCs w:val="28"/>
        </w:rPr>
        <w:t xml:space="preserve">These apartments were constructed in 1952 as NYS Public Housing.  They underwent </w:t>
      </w:r>
      <w:proofErr w:type="gramStart"/>
      <w:r w:rsidR="003F6F3D" w:rsidRPr="002C2AB2">
        <w:rPr>
          <w:rFonts w:eastAsiaTheme="minorEastAsia"/>
          <w:sz w:val="28"/>
          <w:szCs w:val="28"/>
        </w:rPr>
        <w:t>a gut</w:t>
      </w:r>
      <w:proofErr w:type="gramEnd"/>
      <w:r w:rsidR="003F6F3D" w:rsidRPr="002C2AB2">
        <w:rPr>
          <w:rFonts w:eastAsiaTheme="minorEastAsia"/>
          <w:sz w:val="28"/>
          <w:szCs w:val="28"/>
        </w:rPr>
        <w:t xml:space="preserve"> rehabilitation and refina</w:t>
      </w:r>
      <w:r w:rsidR="00711849" w:rsidRPr="002C2AB2">
        <w:rPr>
          <w:rFonts w:eastAsiaTheme="minorEastAsia"/>
          <w:sz w:val="28"/>
          <w:szCs w:val="28"/>
        </w:rPr>
        <w:t>n</w:t>
      </w:r>
      <w:r w:rsidR="003F6F3D" w:rsidRPr="002C2AB2">
        <w:rPr>
          <w:rFonts w:eastAsiaTheme="minorEastAsia"/>
          <w:sz w:val="28"/>
          <w:szCs w:val="28"/>
        </w:rPr>
        <w:t xml:space="preserve">cing in three phases from 2012 through 2016.  </w:t>
      </w:r>
      <w:r w:rsidR="00711849" w:rsidRPr="002C2AB2">
        <w:rPr>
          <w:rFonts w:eastAsiaTheme="minorEastAsia"/>
          <w:sz w:val="28"/>
          <w:szCs w:val="28"/>
        </w:rPr>
        <w:t xml:space="preserve">Each of the three phases benefits from a Sec. 8 HAP Agreement. </w:t>
      </w:r>
      <w:r w:rsidR="002272DE" w:rsidRPr="002C2AB2">
        <w:rPr>
          <w:rFonts w:eastAsiaTheme="minorEastAsia"/>
          <w:sz w:val="28"/>
          <w:szCs w:val="28"/>
        </w:rPr>
        <w:t xml:space="preserve"> Each phase is owned, through a </w:t>
      </w:r>
      <w:r w:rsidR="00CB1671" w:rsidRPr="002C2AB2">
        <w:rPr>
          <w:rFonts w:eastAsiaTheme="minorEastAsia"/>
          <w:sz w:val="28"/>
          <w:szCs w:val="28"/>
        </w:rPr>
        <w:t xml:space="preserve">beneficial interest structure, by a NY Limited Partnership.  The sole General Partner of each </w:t>
      </w:r>
      <w:r w:rsidR="00283A0B" w:rsidRPr="002C2AB2">
        <w:rPr>
          <w:rFonts w:eastAsiaTheme="minorEastAsia"/>
          <w:sz w:val="28"/>
          <w:szCs w:val="28"/>
        </w:rPr>
        <w:t xml:space="preserve">owner is a NYS PHF Article XI Housing Company sponsored by the </w:t>
      </w:r>
      <w:proofErr w:type="gramStart"/>
      <w:r w:rsidR="00283A0B" w:rsidRPr="002C2AB2">
        <w:rPr>
          <w:rFonts w:eastAsiaTheme="minorEastAsia"/>
          <w:sz w:val="28"/>
          <w:szCs w:val="28"/>
        </w:rPr>
        <w:t xml:space="preserve">RHA. </w:t>
      </w:r>
      <w:r w:rsidR="00711849" w:rsidRPr="002C2AB2">
        <w:rPr>
          <w:rFonts w:eastAsiaTheme="minorEastAsia"/>
          <w:sz w:val="28"/>
          <w:szCs w:val="28"/>
        </w:rPr>
        <w:t xml:space="preserve"> </w:t>
      </w:r>
      <w:r w:rsidR="00ED2644" w:rsidRPr="002C2AB2">
        <w:rPr>
          <w:rFonts w:eastAsiaTheme="minorEastAsia"/>
          <w:sz w:val="28"/>
          <w:szCs w:val="28"/>
        </w:rPr>
        <w:t>.</w:t>
      </w:r>
      <w:proofErr w:type="gramEnd"/>
      <w:r w:rsidR="00ED2644" w:rsidRPr="002C2AB2">
        <w:rPr>
          <w:rFonts w:eastAsiaTheme="minorEastAsia"/>
          <w:sz w:val="28"/>
          <w:szCs w:val="28"/>
        </w:rPr>
        <w:t xml:space="preserve">  The RHA is the Managing Agent as well.</w:t>
      </w:r>
    </w:p>
    <w:p w14:paraId="2394C014" w14:textId="77777777" w:rsidR="00C07F8C" w:rsidRPr="002C2AB2" w:rsidRDefault="00C07F8C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rFonts w:eastAsiaTheme="minorEastAsia"/>
          <w:sz w:val="28"/>
          <w:szCs w:val="28"/>
        </w:rPr>
      </w:pPr>
    </w:p>
    <w:p w14:paraId="11F89BDC" w14:textId="21BC1020" w:rsidR="00467AE7" w:rsidRPr="002C2AB2" w:rsidRDefault="00314105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sz w:val="28"/>
          <w:szCs w:val="28"/>
        </w:rPr>
      </w:pPr>
      <w:r w:rsidRPr="002C2AB2">
        <w:rPr>
          <w:rFonts w:eastAsiaTheme="minorEastAsia"/>
          <w:sz w:val="28"/>
          <w:szCs w:val="28"/>
        </w:rPr>
        <w:t xml:space="preserve">Each limited partnership </w:t>
      </w:r>
      <w:r w:rsidR="005F485F" w:rsidRPr="002C2AB2">
        <w:rPr>
          <w:rFonts w:eastAsiaTheme="minorEastAsia"/>
          <w:sz w:val="28"/>
          <w:szCs w:val="28"/>
        </w:rPr>
        <w:t>is structured with a Special Limited Partner,</w:t>
      </w:r>
      <w:r w:rsidR="005C31FC" w:rsidRPr="002C2AB2">
        <w:rPr>
          <w:rFonts w:eastAsiaTheme="minorEastAsia"/>
          <w:sz w:val="28"/>
          <w:szCs w:val="28"/>
        </w:rPr>
        <w:t xml:space="preserve"> an affiliate of Hudson Housing Capital LLC (the syndicator) and an Investor Limited Partner, an affiliate of JP Morgan/Chase. </w:t>
      </w:r>
      <w:r w:rsidR="008B5785" w:rsidRPr="002C2AB2">
        <w:rPr>
          <w:sz w:val="28"/>
          <w:szCs w:val="28"/>
        </w:rPr>
        <w:t>The 15-year Initial Compliance Period ends 12.31.2026.  For LG2 the end of the year `15 is 12.31.2027 and for LG3 it is 12.31.2029.</w:t>
      </w:r>
    </w:p>
    <w:p w14:paraId="623DD190" w14:textId="77777777" w:rsidR="00317455" w:rsidRPr="002C2AB2" w:rsidRDefault="00317455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rFonts w:eastAsiaTheme="minorEastAsia"/>
          <w:sz w:val="28"/>
          <w:szCs w:val="28"/>
        </w:rPr>
      </w:pPr>
    </w:p>
    <w:p w14:paraId="6BB6E9DC" w14:textId="619AF9AA" w:rsidR="00314105" w:rsidRPr="002C2AB2" w:rsidRDefault="00C41539" w:rsidP="00AE09D6">
      <w:pPr>
        <w:pStyle w:val="Level1"/>
        <w:tabs>
          <w:tab w:val="left" w:pos="1710"/>
          <w:tab w:val="left" w:pos="2430"/>
          <w:tab w:val="left" w:pos="2520"/>
        </w:tabs>
        <w:spacing w:before="120" w:after="120"/>
        <w:ind w:left="0" w:firstLine="0"/>
        <w:rPr>
          <w:rFonts w:eastAsiaTheme="minorEastAsia"/>
          <w:sz w:val="28"/>
          <w:szCs w:val="28"/>
        </w:rPr>
      </w:pPr>
      <w:r w:rsidRPr="002C2AB2">
        <w:rPr>
          <w:rFonts w:eastAsiaTheme="minorEastAsia"/>
          <w:sz w:val="28"/>
          <w:szCs w:val="28"/>
        </w:rPr>
        <w:t xml:space="preserve">Full documentation of the organizational and closing documents </w:t>
      </w:r>
      <w:r w:rsidR="00734DE0" w:rsidRPr="002C2AB2">
        <w:rPr>
          <w:rFonts w:eastAsiaTheme="minorEastAsia"/>
          <w:sz w:val="28"/>
          <w:szCs w:val="28"/>
        </w:rPr>
        <w:t xml:space="preserve">will be made available to selected </w:t>
      </w:r>
      <w:proofErr w:type="gramStart"/>
      <w:r w:rsidR="00734DE0" w:rsidRPr="002C2AB2">
        <w:rPr>
          <w:rFonts w:eastAsiaTheme="minorEastAsia"/>
          <w:sz w:val="28"/>
          <w:szCs w:val="28"/>
        </w:rPr>
        <w:t>consultant</w:t>
      </w:r>
      <w:proofErr w:type="gramEnd"/>
      <w:r w:rsidR="00734DE0" w:rsidRPr="002C2AB2">
        <w:rPr>
          <w:rFonts w:eastAsiaTheme="minorEastAsia"/>
          <w:sz w:val="28"/>
          <w:szCs w:val="28"/>
        </w:rPr>
        <w:t>.</w:t>
      </w:r>
      <w:r w:rsidR="005F485F" w:rsidRPr="002C2AB2">
        <w:rPr>
          <w:rFonts w:eastAsiaTheme="minorEastAsia"/>
          <w:sz w:val="28"/>
          <w:szCs w:val="28"/>
        </w:rPr>
        <w:t xml:space="preserve"> </w:t>
      </w:r>
    </w:p>
    <w:p w14:paraId="6F58B956" w14:textId="77777777" w:rsidR="00862A71" w:rsidRPr="002C2AB2" w:rsidRDefault="00862A71" w:rsidP="001711C1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1080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B14A887" w14:textId="77777777" w:rsidR="00862A71" w:rsidRPr="002C2AB2" w:rsidRDefault="00862A71" w:rsidP="001711C1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1080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FA83266" w14:textId="0A177AF6" w:rsidR="006F78F3" w:rsidRPr="002C2AB2" w:rsidRDefault="006F78F3" w:rsidP="008E1D12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360" w:lineRule="auto"/>
        <w:ind w:firstLine="720"/>
        <w:textAlignment w:val="baseline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/>
          <w:sz w:val="28"/>
          <w:szCs w:val="28"/>
        </w:rPr>
        <w:t>R</w:t>
      </w:r>
      <w:r w:rsidR="008E1D12" w:rsidRPr="002C2AB2">
        <w:rPr>
          <w:rFonts w:ascii="Times New Roman" w:eastAsiaTheme="minorEastAsia" w:hAnsi="Times New Roman" w:cs="Times New Roman"/>
          <w:b/>
          <w:sz w:val="28"/>
          <w:szCs w:val="28"/>
        </w:rPr>
        <w:t>ESPONSE REQUESTED</w:t>
      </w:r>
      <w:r w:rsidRPr="002C2AB2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3DA43D27" w14:textId="0100BBCC" w:rsidR="00765424" w:rsidRPr="002C2AB2" w:rsidRDefault="008B7A28" w:rsidP="000D5FF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The RHA </w:t>
      </w:r>
      <w:proofErr w:type="gramStart"/>
      <w:r w:rsidR="006A1A8B" w:rsidRPr="002C2AB2">
        <w:rPr>
          <w:rFonts w:ascii="Times New Roman" w:eastAsiaTheme="minorEastAsia" w:hAnsi="Times New Roman" w:cs="Times New Roman"/>
          <w:bCs/>
          <w:sz w:val="28"/>
          <w:szCs w:val="28"/>
        </w:rPr>
        <w:t>seeking</w:t>
      </w:r>
      <w:proofErr w:type="gramEnd"/>
      <w:r w:rsidR="006A1A8B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a proposal for providing </w:t>
      </w:r>
      <w:r w:rsidR="00FE6C7F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a </w:t>
      </w:r>
      <w:r w:rsidR="008B6D60" w:rsidRPr="002C2AB2">
        <w:rPr>
          <w:rFonts w:ascii="Times New Roman" w:eastAsiaTheme="minorEastAsia" w:hAnsi="Times New Roman" w:cs="Times New Roman"/>
          <w:bCs/>
          <w:sz w:val="28"/>
          <w:szCs w:val="28"/>
        </w:rPr>
        <w:t>analysis, advice and management of</w:t>
      </w:r>
      <w:r w:rsidR="00566DA9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investor exit and transfer of its partnership </w:t>
      </w:r>
      <w:r w:rsidR="00002526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interest the RHA or its </w:t>
      </w:r>
      <w:proofErr w:type="gramStart"/>
      <w:r w:rsidR="00002526" w:rsidRPr="002C2AB2">
        <w:rPr>
          <w:rFonts w:ascii="Times New Roman" w:eastAsiaTheme="minorEastAsia" w:hAnsi="Times New Roman" w:cs="Times New Roman"/>
          <w:bCs/>
          <w:sz w:val="28"/>
          <w:szCs w:val="28"/>
        </w:rPr>
        <w:t>designee</w:t>
      </w:r>
      <w:r w:rsidR="00482A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002526" w:rsidRPr="002C2AB2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 w:rsidR="00002526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482A95">
        <w:rPr>
          <w:rFonts w:ascii="Times New Roman" w:eastAsiaTheme="minorEastAsia" w:hAnsi="Times New Roman" w:cs="Times New Roman"/>
          <w:bCs/>
          <w:sz w:val="28"/>
          <w:szCs w:val="28"/>
        </w:rPr>
        <w:t>for the Liberty Gardens Phase 1</w:t>
      </w:r>
      <w:r w:rsidR="00C600A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(LG1)</w:t>
      </w:r>
      <w:r w:rsidR="00482A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property in 2025 and potentially</w:t>
      </w:r>
      <w:r w:rsidR="00C600A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304E8">
        <w:rPr>
          <w:rFonts w:ascii="Times New Roman" w:eastAsiaTheme="minorEastAsia" w:hAnsi="Times New Roman" w:cs="Times New Roman"/>
          <w:bCs/>
          <w:sz w:val="28"/>
          <w:szCs w:val="28"/>
        </w:rPr>
        <w:t xml:space="preserve">a request to the syndicator and investor limited partner for LG2 and LG3 </w:t>
      </w:r>
      <w:r w:rsidR="009C4289">
        <w:rPr>
          <w:rFonts w:ascii="Times New Roman" w:eastAsiaTheme="minorEastAsia" w:hAnsi="Times New Roman" w:cs="Times New Roman"/>
          <w:bCs/>
          <w:sz w:val="28"/>
          <w:szCs w:val="28"/>
        </w:rPr>
        <w:t>for an early exit.</w:t>
      </w:r>
      <w:r w:rsidR="00482A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DD77BB" w:rsidRPr="002C2AB2">
        <w:rPr>
          <w:rFonts w:ascii="Times New Roman" w:eastAsiaTheme="minorEastAsia" w:hAnsi="Times New Roman" w:cs="Times New Roman"/>
          <w:bCs/>
          <w:sz w:val="28"/>
          <w:szCs w:val="28"/>
        </w:rPr>
        <w:t>Included in such services would be</w:t>
      </w:r>
      <w:r w:rsidR="008B6D60" w:rsidRPr="002C2AB2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64F099EA" w14:textId="7C6B57B7" w:rsidR="00C0646C" w:rsidRDefault="00DD77BB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Preparation </w:t>
      </w:r>
      <w:r w:rsidR="001B12C4" w:rsidRPr="002C2AB2">
        <w:rPr>
          <w:rFonts w:ascii="Times New Roman" w:eastAsiaTheme="minorEastAsia" w:hAnsi="Times New Roman" w:cs="Times New Roman"/>
          <w:bCs/>
          <w:sz w:val="28"/>
          <w:szCs w:val="28"/>
        </w:rPr>
        <w:t>for RHA’s counsel’s review of all requi</w:t>
      </w:r>
      <w:r w:rsidR="002C2AB2">
        <w:rPr>
          <w:rFonts w:ascii="Times New Roman" w:eastAsiaTheme="minorEastAsia" w:hAnsi="Times New Roman" w:cs="Times New Roman"/>
          <w:bCs/>
          <w:sz w:val="28"/>
          <w:szCs w:val="28"/>
        </w:rPr>
        <w:t>red</w:t>
      </w:r>
      <w:r w:rsidR="00C0646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Notices and </w:t>
      </w:r>
      <w:proofErr w:type="gramStart"/>
      <w:r w:rsidR="00C0646C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Consents;</w:t>
      </w:r>
      <w:proofErr w:type="gramEnd"/>
    </w:p>
    <w:p w14:paraId="2973185D" w14:textId="77777777" w:rsidR="0097704F" w:rsidRDefault="001B12C4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EF6696">
        <w:rPr>
          <w:rFonts w:ascii="Times New Roman" w:eastAsiaTheme="minorEastAsia" w:hAnsi="Times New Roman" w:cs="Times New Roman"/>
          <w:bCs/>
          <w:sz w:val="28"/>
          <w:szCs w:val="28"/>
        </w:rPr>
        <w:t xml:space="preserve">Development of a </w:t>
      </w:r>
      <w:r w:rsidR="00113EEA">
        <w:rPr>
          <w:rFonts w:ascii="Times New Roman" w:eastAsiaTheme="minorEastAsia" w:hAnsi="Times New Roman" w:cs="Times New Roman"/>
          <w:bCs/>
          <w:sz w:val="28"/>
          <w:szCs w:val="28"/>
        </w:rPr>
        <w:t xml:space="preserve">work plan with a detailed schedule for the processing of </w:t>
      </w:r>
      <w:r w:rsidR="00BF351D">
        <w:rPr>
          <w:rFonts w:ascii="Times New Roman" w:eastAsiaTheme="minorEastAsia" w:hAnsi="Times New Roman" w:cs="Times New Roman"/>
          <w:bCs/>
          <w:sz w:val="28"/>
          <w:szCs w:val="28"/>
        </w:rPr>
        <w:t>all notices,</w:t>
      </w:r>
      <w:r w:rsidR="009E0C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="009E0C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consents, </w:t>
      </w:r>
      <w:r w:rsidR="00BF35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approvals</w:t>
      </w:r>
      <w:proofErr w:type="gramEnd"/>
      <w:r w:rsidR="00BF35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9E0C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document drafting and </w:t>
      </w:r>
      <w:r w:rsidR="003E3953">
        <w:rPr>
          <w:rFonts w:ascii="Times New Roman" w:eastAsiaTheme="minorEastAsia" w:hAnsi="Times New Roman" w:cs="Times New Roman"/>
          <w:bCs/>
          <w:sz w:val="28"/>
          <w:szCs w:val="28"/>
        </w:rPr>
        <w:t xml:space="preserve">negotiations with </w:t>
      </w:r>
      <w:r w:rsidR="00233AFF">
        <w:rPr>
          <w:rFonts w:ascii="Times New Roman" w:eastAsiaTheme="minorEastAsia" w:hAnsi="Times New Roman" w:cs="Times New Roman"/>
          <w:bCs/>
          <w:sz w:val="28"/>
          <w:szCs w:val="28"/>
        </w:rPr>
        <w:t>the counterparties</w:t>
      </w:r>
      <w:r w:rsidR="005E35E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 In consultation with the RHA the consultant </w:t>
      </w:r>
      <w:r w:rsidR="00D728F4">
        <w:rPr>
          <w:rFonts w:ascii="Times New Roman" w:eastAsiaTheme="minorEastAsia" w:hAnsi="Times New Roman" w:cs="Times New Roman"/>
          <w:bCs/>
          <w:sz w:val="28"/>
          <w:szCs w:val="28"/>
        </w:rPr>
        <w:t xml:space="preserve">should establish a target date for the transfer of </w:t>
      </w:r>
      <w:r w:rsidR="0097704F">
        <w:rPr>
          <w:rFonts w:ascii="Times New Roman" w:eastAsiaTheme="minorEastAsia" w:hAnsi="Times New Roman" w:cs="Times New Roman"/>
          <w:bCs/>
          <w:sz w:val="28"/>
          <w:szCs w:val="28"/>
        </w:rPr>
        <w:t xml:space="preserve">partnership interests of LG1 as part of the work plan.  </w:t>
      </w:r>
    </w:p>
    <w:p w14:paraId="051A9C0C" w14:textId="77777777" w:rsidR="00F0324F" w:rsidRDefault="00D5260C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Analysis and preparation of a request to Special LP</w:t>
      </w:r>
      <w:r w:rsidR="00F0324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for an early exit in 2027 from LG2 and LG3.  </w:t>
      </w:r>
    </w:p>
    <w:p w14:paraId="6787E9D0" w14:textId="77777777" w:rsidR="002A4260" w:rsidRDefault="00895AAA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Management and administration of the elements of the work plan including follow-up with the Special LP, the various lenders</w:t>
      </w:r>
      <w:r w:rsidR="00F96F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and required consent parties</w:t>
      </w:r>
      <w:r w:rsidR="001045F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="001045F7">
        <w:rPr>
          <w:rFonts w:ascii="Times New Roman" w:eastAsiaTheme="minorEastAsia" w:hAnsi="Times New Roman" w:cs="Times New Roman"/>
          <w:bCs/>
          <w:sz w:val="28"/>
          <w:szCs w:val="28"/>
        </w:rPr>
        <w:t>in order to</w:t>
      </w:r>
      <w:proofErr w:type="gramEnd"/>
      <w:r w:rsidR="001045F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achieve a transfer closing in the first quarter of 2027.</w:t>
      </w:r>
    </w:p>
    <w:p w14:paraId="597DD515" w14:textId="29F1A57A" w:rsidR="00A56F94" w:rsidRDefault="002A4260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The existing real property tax abatement and PILOT Agreements</w:t>
      </w:r>
      <w:r w:rsidR="006D384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will need to be modified to reflect the ownership change.  The consultant</w:t>
      </w:r>
      <w:r w:rsidR="00AA14A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will provide the framework and economic analysis for the </w:t>
      </w:r>
      <w:r w:rsidR="00907B38">
        <w:rPr>
          <w:rFonts w:ascii="Times New Roman" w:eastAsiaTheme="minorEastAsia" w:hAnsi="Times New Roman" w:cs="Times New Roman"/>
          <w:bCs/>
          <w:sz w:val="28"/>
          <w:szCs w:val="28"/>
        </w:rPr>
        <w:t>proposed modifications</w:t>
      </w:r>
      <w:r w:rsidR="00E04A43">
        <w:rPr>
          <w:rFonts w:ascii="Times New Roman" w:eastAsiaTheme="minorEastAsia" w:hAnsi="Times New Roman" w:cs="Times New Roman"/>
          <w:bCs/>
          <w:sz w:val="28"/>
          <w:szCs w:val="28"/>
        </w:rPr>
        <w:t>, review those with RHA and assist RHA in communicating and negotiating those</w:t>
      </w:r>
      <w:r w:rsidR="00CE6C7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modifications.</w:t>
      </w:r>
      <w:r w:rsidR="001045F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</w:p>
    <w:p w14:paraId="779775C1" w14:textId="0862C871" w:rsidR="008B6D60" w:rsidRPr="002C2AB2" w:rsidRDefault="00A56F94" w:rsidP="008B6D60">
      <w:pPr>
        <w:pStyle w:val="ListParagraph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Throughout this process</w:t>
      </w:r>
      <w:r w:rsidR="00597D0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the RHA requires the consultant to </w:t>
      </w:r>
      <w:r w:rsidR="00F07986">
        <w:rPr>
          <w:rFonts w:ascii="Times New Roman" w:eastAsiaTheme="minorEastAsia" w:hAnsi="Times New Roman" w:cs="Times New Roman"/>
          <w:bCs/>
          <w:sz w:val="28"/>
          <w:szCs w:val="28"/>
        </w:rPr>
        <w:t xml:space="preserve">communicate with, provide training and advice to the RHA’s Executive Director </w:t>
      </w:r>
      <w:r w:rsidR="00BF5015">
        <w:rPr>
          <w:rFonts w:ascii="Times New Roman" w:eastAsiaTheme="minorEastAsia" w:hAnsi="Times New Roman" w:cs="Times New Roman"/>
          <w:bCs/>
          <w:sz w:val="28"/>
          <w:szCs w:val="28"/>
        </w:rPr>
        <w:t xml:space="preserve">and staff as capacity building for the RHA.   </w:t>
      </w:r>
      <w:r w:rsidR="0097704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E0C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0C47B3F0" w14:textId="77777777" w:rsidR="000D5FF0" w:rsidRPr="002C2AB2" w:rsidRDefault="000D5FF0" w:rsidP="000D5FF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2F23CE9" w14:textId="4381F234" w:rsidR="005E6E0A" w:rsidRPr="002C2AB2" w:rsidRDefault="005E6E0A" w:rsidP="000D5FF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REPSONSE DUE:</w:t>
      </w: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  <w:r w:rsidR="00E00984">
        <w:rPr>
          <w:rFonts w:ascii="Times New Roman" w:eastAsiaTheme="minorEastAsia" w:hAnsi="Times New Roman" w:cs="Times New Roman"/>
          <w:bCs/>
          <w:sz w:val="28"/>
          <w:szCs w:val="28"/>
        </w:rPr>
        <w:t>March</w:t>
      </w:r>
      <w:r w:rsidR="0046673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31</w:t>
      </w:r>
      <w:r w:rsidR="001D0F7F" w:rsidRPr="002C2AB2">
        <w:rPr>
          <w:rFonts w:ascii="Times New Roman" w:eastAsiaTheme="minorEastAsia" w:hAnsi="Times New Roman" w:cs="Times New Roman"/>
          <w:bCs/>
          <w:sz w:val="28"/>
          <w:szCs w:val="28"/>
        </w:rPr>
        <w:t>, 202</w:t>
      </w:r>
      <w:r w:rsidR="00E00984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</w:p>
    <w:p w14:paraId="3D80EE1B" w14:textId="42659E63" w:rsidR="008E4636" w:rsidRPr="002C2AB2" w:rsidRDefault="008E4636" w:rsidP="000D5FF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In your response please include:</w:t>
      </w:r>
    </w:p>
    <w:p w14:paraId="1A1EEBF3" w14:textId="497CE022" w:rsidR="008E4636" w:rsidRPr="002C2AB2" w:rsidRDefault="008E4636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A cover </w:t>
      </w:r>
      <w:proofErr w:type="gramStart"/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letter</w:t>
      </w:r>
      <w:r w:rsidR="003B4C92" w:rsidRPr="002C2AB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proofErr w:type="gramEnd"/>
    </w:p>
    <w:p w14:paraId="219FF491" w14:textId="3665F94F" w:rsidR="003B4C92" w:rsidRPr="002C2AB2" w:rsidRDefault="003B4C92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The proposed cost of the </w:t>
      </w:r>
      <w:r w:rsidR="00E00984">
        <w:rPr>
          <w:rFonts w:ascii="Times New Roman" w:eastAsiaTheme="minorEastAsia" w:hAnsi="Times New Roman" w:cs="Times New Roman"/>
          <w:bCs/>
          <w:sz w:val="28"/>
          <w:szCs w:val="28"/>
        </w:rPr>
        <w:t>services</w:t>
      </w:r>
      <w:r w:rsidR="00F008B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including any proposed reimbursable </w:t>
      </w:r>
      <w:proofErr w:type="gramStart"/>
      <w:r w:rsidR="00F008B7">
        <w:rPr>
          <w:rFonts w:ascii="Times New Roman" w:eastAsiaTheme="minorEastAsia" w:hAnsi="Times New Roman" w:cs="Times New Roman"/>
          <w:bCs/>
          <w:sz w:val="28"/>
          <w:szCs w:val="28"/>
        </w:rPr>
        <w:t>expenses</w:t>
      </w: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proofErr w:type="gramEnd"/>
    </w:p>
    <w:p w14:paraId="2655813B" w14:textId="65C11098" w:rsidR="003B4C92" w:rsidRPr="002C2AB2" w:rsidRDefault="003B4C92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The time frame proposed for completion o</w:t>
      </w:r>
      <w:r w:rsidR="003E25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f any necessary documents review </w:t>
      </w:r>
      <w:r w:rsidR="003E25B2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and the drafting of the initial notices and consent </w:t>
      </w:r>
      <w:proofErr w:type="gramStart"/>
      <w:r w:rsidR="003E25B2">
        <w:rPr>
          <w:rFonts w:ascii="Times New Roman" w:eastAsiaTheme="minorEastAsia" w:hAnsi="Times New Roman" w:cs="Times New Roman"/>
          <w:bCs/>
          <w:sz w:val="28"/>
          <w:szCs w:val="28"/>
        </w:rPr>
        <w:t>requests</w:t>
      </w: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proofErr w:type="gramEnd"/>
    </w:p>
    <w:p w14:paraId="319E2A7D" w14:textId="73861015" w:rsidR="003B4C92" w:rsidRPr="002C2AB2" w:rsidRDefault="00B61496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A list of the information and data your firm requires the RHA to provide</w:t>
      </w:r>
      <w:r w:rsidR="00FD47F9"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your firm as you undertake the </w:t>
      </w:r>
      <w:proofErr w:type="gramStart"/>
      <w:r w:rsidR="00FD47F9" w:rsidRPr="002C2AB2">
        <w:rPr>
          <w:rFonts w:ascii="Times New Roman" w:eastAsiaTheme="minorEastAsia" w:hAnsi="Times New Roman" w:cs="Times New Roman"/>
          <w:bCs/>
          <w:sz w:val="28"/>
          <w:szCs w:val="28"/>
        </w:rPr>
        <w:t>study;</w:t>
      </w:r>
      <w:proofErr w:type="gramEnd"/>
    </w:p>
    <w:p w14:paraId="73448201" w14:textId="5DA4377B" w:rsidR="00FD47F9" w:rsidRPr="002C2AB2" w:rsidRDefault="00FD47F9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A qualification </w:t>
      </w:r>
      <w:proofErr w:type="gramStart"/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statement;</w:t>
      </w:r>
      <w:proofErr w:type="gramEnd"/>
    </w:p>
    <w:p w14:paraId="66C39152" w14:textId="1BBE7C04" w:rsidR="00FD47F9" w:rsidRPr="002C2AB2" w:rsidRDefault="005E6E0A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Three </w:t>
      </w:r>
      <w:r w:rsidR="00277C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relevant </w:t>
      </w:r>
      <w:proofErr w:type="gramStart"/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>references;</w:t>
      </w:r>
      <w:proofErr w:type="gramEnd"/>
    </w:p>
    <w:p w14:paraId="5C4BFCC2" w14:textId="60C16C82" w:rsidR="005E6E0A" w:rsidRPr="002C2AB2" w:rsidRDefault="005E6E0A" w:rsidP="008E4636">
      <w:pPr>
        <w:pStyle w:val="ListParagraph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And a list of similar </w:t>
      </w:r>
      <w:r w:rsidR="00907B38">
        <w:rPr>
          <w:rFonts w:ascii="Times New Roman" w:eastAsiaTheme="minorEastAsia" w:hAnsi="Times New Roman" w:cs="Times New Roman"/>
          <w:bCs/>
          <w:sz w:val="28"/>
          <w:szCs w:val="28"/>
        </w:rPr>
        <w:t xml:space="preserve">engagements </w:t>
      </w:r>
      <w:r w:rsidR="00907B38" w:rsidRPr="002C2AB2">
        <w:rPr>
          <w:rFonts w:ascii="Times New Roman" w:eastAsiaTheme="minorEastAsia" w:hAnsi="Times New Roman" w:cs="Times New Roman"/>
          <w:bCs/>
          <w:sz w:val="28"/>
          <w:szCs w:val="28"/>
        </w:rPr>
        <w:t>your</w:t>
      </w:r>
      <w:r w:rsidRPr="002C2A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firm has performed.</w:t>
      </w:r>
    </w:p>
    <w:p w14:paraId="7DAF0428" w14:textId="77777777" w:rsidR="002C17FC" w:rsidRPr="002C2AB2" w:rsidRDefault="002C17FC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56A281EF" w14:textId="77777777" w:rsidR="00A617E5" w:rsidRPr="002C2AB2" w:rsidRDefault="00A617E5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7570D912" w14:textId="53EA8605" w:rsidR="00A617E5" w:rsidRPr="002C2AB2" w:rsidRDefault="00A617E5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sz w:val="28"/>
          <w:szCs w:val="28"/>
        </w:rPr>
        <w:t xml:space="preserve">Please submit your response </w:t>
      </w:r>
      <w:proofErr w:type="spellStart"/>
      <w:r w:rsidR="0023392D" w:rsidRPr="002C2AB2">
        <w:rPr>
          <w:rFonts w:ascii="Times New Roman" w:eastAsiaTheme="minorEastAsia" w:hAnsi="Times New Roman" w:cs="Times New Roman"/>
          <w:sz w:val="28"/>
          <w:szCs w:val="28"/>
        </w:rPr>
        <w:t>vial email</w:t>
      </w:r>
      <w:proofErr w:type="spellEnd"/>
      <w:r w:rsidR="0023392D" w:rsidRPr="002C2AB2">
        <w:rPr>
          <w:rFonts w:ascii="Times New Roman" w:eastAsiaTheme="minorEastAsia" w:hAnsi="Times New Roman" w:cs="Times New Roman"/>
          <w:sz w:val="28"/>
          <w:szCs w:val="28"/>
        </w:rPr>
        <w:t xml:space="preserve"> to:</w:t>
      </w:r>
    </w:p>
    <w:p w14:paraId="761D06DB" w14:textId="0440C8B4" w:rsidR="0023392D" w:rsidRPr="002C2AB2" w:rsidRDefault="0023392D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sz w:val="28"/>
          <w:szCs w:val="28"/>
        </w:rPr>
        <w:t>Tami Lucia, Executive Director</w:t>
      </w:r>
    </w:p>
    <w:p w14:paraId="3F3CF377" w14:textId="7542EE6A" w:rsidR="0023392D" w:rsidRPr="002C2AB2" w:rsidRDefault="0023392D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sz w:val="28"/>
          <w:szCs w:val="28"/>
        </w:rPr>
        <w:t>Rome Housing Authority</w:t>
      </w:r>
    </w:p>
    <w:p w14:paraId="3F97AD20" w14:textId="17528EF9" w:rsidR="0065613A" w:rsidRPr="002C2AB2" w:rsidRDefault="008E2AF3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hyperlink r:id="rId9" w:history="1">
        <w:r w:rsidRPr="002C2AB2">
          <w:rPr>
            <w:rStyle w:val="Hyperlink"/>
            <w:rFonts w:ascii="Times New Roman" w:eastAsiaTheme="minorEastAsia" w:hAnsi="Times New Roman" w:cs="Times New Roman"/>
            <w:sz w:val="28"/>
            <w:szCs w:val="28"/>
          </w:rPr>
          <w:t>t.lucia@rmeha.com</w:t>
        </w:r>
      </w:hyperlink>
    </w:p>
    <w:p w14:paraId="48AEF6FE" w14:textId="77777777" w:rsidR="008E2AF3" w:rsidRPr="002C2AB2" w:rsidRDefault="008E2AF3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p w14:paraId="4C058EE0" w14:textId="1472750E" w:rsidR="008E2AF3" w:rsidRPr="002C2AB2" w:rsidRDefault="008E2AF3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2C2AB2">
        <w:rPr>
          <w:rFonts w:ascii="Times New Roman" w:eastAsiaTheme="minorEastAsia" w:hAnsi="Times New Roman" w:cs="Times New Roman"/>
          <w:sz w:val="28"/>
          <w:szCs w:val="28"/>
        </w:rPr>
        <w:t xml:space="preserve">Please address any questions you may </w:t>
      </w:r>
      <w:r w:rsidR="003C0EB3">
        <w:rPr>
          <w:rFonts w:ascii="Times New Roman" w:eastAsiaTheme="minorEastAsia" w:hAnsi="Times New Roman" w:cs="Times New Roman"/>
          <w:sz w:val="28"/>
          <w:szCs w:val="28"/>
        </w:rPr>
        <w:t>contact</w:t>
      </w:r>
      <w:r w:rsidRPr="002C2A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73F">
        <w:rPr>
          <w:rFonts w:ascii="Times New Roman" w:eastAsiaTheme="minorEastAsia" w:hAnsi="Times New Roman" w:cs="Times New Roman"/>
          <w:sz w:val="28"/>
          <w:szCs w:val="28"/>
        </w:rPr>
        <w:t>Tami Lucia.</w:t>
      </w:r>
    </w:p>
    <w:p w14:paraId="0E8D856B" w14:textId="2DED1036" w:rsidR="008E2AF3" w:rsidRPr="002C2AB2" w:rsidRDefault="008E2AF3" w:rsidP="006F78F3">
      <w:pPr>
        <w:widowControl w:val="0"/>
        <w:kinsoku w:val="0"/>
        <w:overflowPunct w:val="0"/>
        <w:autoSpaceDE w:val="0"/>
        <w:autoSpaceDN w:val="0"/>
        <w:adjustRightInd w:val="0"/>
        <w:spacing w:after="120" w:line="360" w:lineRule="auto"/>
        <w:ind w:left="72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</w:p>
    <w:sectPr w:rsidR="008E2AF3" w:rsidRPr="002C2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FABC" w14:textId="77777777" w:rsidR="001D5E33" w:rsidRDefault="001D5E33" w:rsidP="00C356A4">
      <w:pPr>
        <w:spacing w:after="0" w:line="240" w:lineRule="auto"/>
      </w:pPr>
      <w:r>
        <w:separator/>
      </w:r>
    </w:p>
  </w:endnote>
  <w:endnote w:type="continuationSeparator" w:id="0">
    <w:p w14:paraId="23865AB2" w14:textId="77777777" w:rsidR="001D5E33" w:rsidRDefault="001D5E33" w:rsidP="00C3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7460" w14:textId="77777777" w:rsidR="001D5E33" w:rsidRDefault="001D5E33" w:rsidP="00C356A4">
      <w:pPr>
        <w:spacing w:after="0" w:line="240" w:lineRule="auto"/>
      </w:pPr>
      <w:r>
        <w:separator/>
      </w:r>
    </w:p>
  </w:footnote>
  <w:footnote w:type="continuationSeparator" w:id="0">
    <w:p w14:paraId="40806EE9" w14:textId="77777777" w:rsidR="001D5E33" w:rsidRDefault="001D5E33" w:rsidP="00C3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D18"/>
    <w:multiLevelType w:val="hybridMultilevel"/>
    <w:tmpl w:val="9D729178"/>
    <w:lvl w:ilvl="0" w:tplc="47F0474C">
      <w:start w:val="1"/>
      <w:numFmt w:val="upperLetter"/>
      <w:pStyle w:val="Header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A45FF"/>
    <w:multiLevelType w:val="hybridMultilevel"/>
    <w:tmpl w:val="69F0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05FC"/>
    <w:multiLevelType w:val="hybridMultilevel"/>
    <w:tmpl w:val="455410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773B2"/>
    <w:multiLevelType w:val="hybridMultilevel"/>
    <w:tmpl w:val="6ADAACAE"/>
    <w:lvl w:ilvl="0" w:tplc="CA92E0E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D1A"/>
    <w:multiLevelType w:val="hybridMultilevel"/>
    <w:tmpl w:val="CA1C3BE0"/>
    <w:lvl w:ilvl="0" w:tplc="765061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079A8"/>
    <w:multiLevelType w:val="hybridMultilevel"/>
    <w:tmpl w:val="D87CC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24AF"/>
    <w:multiLevelType w:val="hybridMultilevel"/>
    <w:tmpl w:val="1C0EC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D93A6B"/>
    <w:multiLevelType w:val="hybridMultilevel"/>
    <w:tmpl w:val="C3309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4B135E"/>
    <w:multiLevelType w:val="hybridMultilevel"/>
    <w:tmpl w:val="746CC968"/>
    <w:lvl w:ilvl="0" w:tplc="47F2602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BB74E9"/>
    <w:multiLevelType w:val="hybridMultilevel"/>
    <w:tmpl w:val="14CC311A"/>
    <w:lvl w:ilvl="0" w:tplc="2AE862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EA34D2"/>
    <w:multiLevelType w:val="hybridMultilevel"/>
    <w:tmpl w:val="1C9ABA76"/>
    <w:lvl w:ilvl="0" w:tplc="F208C096">
      <w:start w:val="1"/>
      <w:numFmt w:val="bullet"/>
      <w:pStyle w:val="Bullet2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478D3D9F"/>
    <w:multiLevelType w:val="hybridMultilevel"/>
    <w:tmpl w:val="285E1136"/>
    <w:lvl w:ilvl="0" w:tplc="CC406CB4">
      <w:start w:val="1"/>
      <w:numFmt w:val="decimal"/>
      <w:pStyle w:val="Number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67DDB"/>
    <w:multiLevelType w:val="hybridMultilevel"/>
    <w:tmpl w:val="A9DC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32AA04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F16B2"/>
    <w:multiLevelType w:val="hybridMultilevel"/>
    <w:tmpl w:val="D7649E36"/>
    <w:lvl w:ilvl="0" w:tplc="0C1E5E9A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C1692"/>
    <w:multiLevelType w:val="hybridMultilevel"/>
    <w:tmpl w:val="35BA7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621DE"/>
    <w:multiLevelType w:val="hybridMultilevel"/>
    <w:tmpl w:val="21A05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AF0C10"/>
    <w:multiLevelType w:val="hybridMultilevel"/>
    <w:tmpl w:val="E38027A8"/>
    <w:lvl w:ilvl="0" w:tplc="128E2E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934"/>
    <w:multiLevelType w:val="hybridMultilevel"/>
    <w:tmpl w:val="511892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6F7170"/>
    <w:multiLevelType w:val="hybridMultilevel"/>
    <w:tmpl w:val="4E2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26E15"/>
    <w:multiLevelType w:val="hybridMultilevel"/>
    <w:tmpl w:val="DC124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21885839">
    <w:abstractNumId w:val="1"/>
  </w:num>
  <w:num w:numId="2" w16cid:durableId="800266821">
    <w:abstractNumId w:val="9"/>
  </w:num>
  <w:num w:numId="3" w16cid:durableId="1061445645">
    <w:abstractNumId w:val="0"/>
  </w:num>
  <w:num w:numId="4" w16cid:durableId="1885672431">
    <w:abstractNumId w:val="2"/>
  </w:num>
  <w:num w:numId="5" w16cid:durableId="1705790975">
    <w:abstractNumId w:val="10"/>
  </w:num>
  <w:num w:numId="6" w16cid:durableId="774862983">
    <w:abstractNumId w:val="16"/>
  </w:num>
  <w:num w:numId="7" w16cid:durableId="683088892">
    <w:abstractNumId w:val="11"/>
  </w:num>
  <w:num w:numId="8" w16cid:durableId="2145004412">
    <w:abstractNumId w:val="3"/>
  </w:num>
  <w:num w:numId="9" w16cid:durableId="469640384">
    <w:abstractNumId w:val="13"/>
  </w:num>
  <w:num w:numId="10" w16cid:durableId="555511079">
    <w:abstractNumId w:val="3"/>
    <w:lvlOverride w:ilvl="0">
      <w:startOverride w:val="1"/>
    </w:lvlOverride>
  </w:num>
  <w:num w:numId="11" w16cid:durableId="183173168">
    <w:abstractNumId w:val="0"/>
    <w:lvlOverride w:ilvl="0">
      <w:startOverride w:val="1"/>
    </w:lvlOverride>
  </w:num>
  <w:num w:numId="12" w16cid:durableId="1375151387">
    <w:abstractNumId w:val="0"/>
    <w:lvlOverride w:ilvl="0">
      <w:startOverride w:val="1"/>
    </w:lvlOverride>
  </w:num>
  <w:num w:numId="13" w16cid:durableId="888683060">
    <w:abstractNumId w:val="19"/>
  </w:num>
  <w:num w:numId="14" w16cid:durableId="165901855">
    <w:abstractNumId w:val="17"/>
  </w:num>
  <w:num w:numId="15" w16cid:durableId="1207721754">
    <w:abstractNumId w:val="4"/>
  </w:num>
  <w:num w:numId="16" w16cid:durableId="817646561">
    <w:abstractNumId w:val="6"/>
  </w:num>
  <w:num w:numId="17" w16cid:durableId="1194882319">
    <w:abstractNumId w:val="7"/>
  </w:num>
  <w:num w:numId="18" w16cid:durableId="1358235684">
    <w:abstractNumId w:val="12"/>
  </w:num>
  <w:num w:numId="19" w16cid:durableId="643588523">
    <w:abstractNumId w:val="15"/>
  </w:num>
  <w:num w:numId="20" w16cid:durableId="1455367156">
    <w:abstractNumId w:val="8"/>
  </w:num>
  <w:num w:numId="21" w16cid:durableId="1403212884">
    <w:abstractNumId w:val="14"/>
  </w:num>
  <w:num w:numId="22" w16cid:durableId="1964922156">
    <w:abstractNumId w:val="5"/>
  </w:num>
  <w:num w:numId="23" w16cid:durableId="13563437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C"/>
    <w:rsid w:val="00002526"/>
    <w:rsid w:val="000159FE"/>
    <w:rsid w:val="000414AB"/>
    <w:rsid w:val="000422E5"/>
    <w:rsid w:val="000523EC"/>
    <w:rsid w:val="000619AA"/>
    <w:rsid w:val="0007026E"/>
    <w:rsid w:val="000A7AB7"/>
    <w:rsid w:val="000C37D4"/>
    <w:rsid w:val="000D46F6"/>
    <w:rsid w:val="000D5FF0"/>
    <w:rsid w:val="000F1CFA"/>
    <w:rsid w:val="001045F7"/>
    <w:rsid w:val="00113EEA"/>
    <w:rsid w:val="001458E3"/>
    <w:rsid w:val="00152D1B"/>
    <w:rsid w:val="00154684"/>
    <w:rsid w:val="001711C1"/>
    <w:rsid w:val="00181B07"/>
    <w:rsid w:val="00194A56"/>
    <w:rsid w:val="001B12C4"/>
    <w:rsid w:val="001D0F7F"/>
    <w:rsid w:val="001D5E33"/>
    <w:rsid w:val="001F168A"/>
    <w:rsid w:val="001F78E8"/>
    <w:rsid w:val="0022286C"/>
    <w:rsid w:val="002272DE"/>
    <w:rsid w:val="002319A1"/>
    <w:rsid w:val="0023392D"/>
    <w:rsid w:val="00233AFF"/>
    <w:rsid w:val="0024444E"/>
    <w:rsid w:val="0026099D"/>
    <w:rsid w:val="0026455A"/>
    <w:rsid w:val="00271325"/>
    <w:rsid w:val="00277CF1"/>
    <w:rsid w:val="00283A0B"/>
    <w:rsid w:val="00293483"/>
    <w:rsid w:val="002A4260"/>
    <w:rsid w:val="002B6F47"/>
    <w:rsid w:val="002C17FC"/>
    <w:rsid w:val="002C2AB2"/>
    <w:rsid w:val="002E052D"/>
    <w:rsid w:val="00314105"/>
    <w:rsid w:val="00317455"/>
    <w:rsid w:val="00325D68"/>
    <w:rsid w:val="003464DF"/>
    <w:rsid w:val="003468F1"/>
    <w:rsid w:val="003609B7"/>
    <w:rsid w:val="00361437"/>
    <w:rsid w:val="003B4C92"/>
    <w:rsid w:val="003B7F27"/>
    <w:rsid w:val="003C0EB3"/>
    <w:rsid w:val="003E25B2"/>
    <w:rsid w:val="003E3953"/>
    <w:rsid w:val="003F1ADC"/>
    <w:rsid w:val="003F6F3D"/>
    <w:rsid w:val="00455DAE"/>
    <w:rsid w:val="00465D80"/>
    <w:rsid w:val="0046673F"/>
    <w:rsid w:val="00467AE7"/>
    <w:rsid w:val="004730D6"/>
    <w:rsid w:val="00475955"/>
    <w:rsid w:val="00482A95"/>
    <w:rsid w:val="0049794B"/>
    <w:rsid w:val="004A2937"/>
    <w:rsid w:val="00513B58"/>
    <w:rsid w:val="00515636"/>
    <w:rsid w:val="00524975"/>
    <w:rsid w:val="005304E8"/>
    <w:rsid w:val="00536E6F"/>
    <w:rsid w:val="00554B0D"/>
    <w:rsid w:val="00566DA9"/>
    <w:rsid w:val="00570887"/>
    <w:rsid w:val="00597D03"/>
    <w:rsid w:val="005A48BE"/>
    <w:rsid w:val="005C31FC"/>
    <w:rsid w:val="005E35E6"/>
    <w:rsid w:val="005E4532"/>
    <w:rsid w:val="005E6E0A"/>
    <w:rsid w:val="005F485F"/>
    <w:rsid w:val="005F7C81"/>
    <w:rsid w:val="00605C56"/>
    <w:rsid w:val="006137A5"/>
    <w:rsid w:val="0065613A"/>
    <w:rsid w:val="00666F37"/>
    <w:rsid w:val="006A1A8B"/>
    <w:rsid w:val="006A6054"/>
    <w:rsid w:val="006A6A2F"/>
    <w:rsid w:val="006B14FD"/>
    <w:rsid w:val="006B60F1"/>
    <w:rsid w:val="006D3849"/>
    <w:rsid w:val="006F3639"/>
    <w:rsid w:val="006F78F3"/>
    <w:rsid w:val="00711849"/>
    <w:rsid w:val="00734DE0"/>
    <w:rsid w:val="00747502"/>
    <w:rsid w:val="00765424"/>
    <w:rsid w:val="0078560F"/>
    <w:rsid w:val="007949C7"/>
    <w:rsid w:val="007E6F8F"/>
    <w:rsid w:val="007F00D8"/>
    <w:rsid w:val="008213C7"/>
    <w:rsid w:val="00862A71"/>
    <w:rsid w:val="00862CC9"/>
    <w:rsid w:val="0087207A"/>
    <w:rsid w:val="00895AAA"/>
    <w:rsid w:val="00897BB4"/>
    <w:rsid w:val="008A23F8"/>
    <w:rsid w:val="008B2A6C"/>
    <w:rsid w:val="008B5785"/>
    <w:rsid w:val="008B6D60"/>
    <w:rsid w:val="008B7A28"/>
    <w:rsid w:val="008B7FD6"/>
    <w:rsid w:val="008D6FD2"/>
    <w:rsid w:val="008D7931"/>
    <w:rsid w:val="008E1D12"/>
    <w:rsid w:val="008E2AF3"/>
    <w:rsid w:val="008E4636"/>
    <w:rsid w:val="00907B38"/>
    <w:rsid w:val="0097704F"/>
    <w:rsid w:val="0098442B"/>
    <w:rsid w:val="009C2C2F"/>
    <w:rsid w:val="009C4289"/>
    <w:rsid w:val="009D0FD3"/>
    <w:rsid w:val="009E0CAC"/>
    <w:rsid w:val="009F6C24"/>
    <w:rsid w:val="00A043A7"/>
    <w:rsid w:val="00A56F94"/>
    <w:rsid w:val="00A617E5"/>
    <w:rsid w:val="00A86A8F"/>
    <w:rsid w:val="00A95CA6"/>
    <w:rsid w:val="00AA14A5"/>
    <w:rsid w:val="00AB587C"/>
    <w:rsid w:val="00AC25EF"/>
    <w:rsid w:val="00AD65B7"/>
    <w:rsid w:val="00AE09D6"/>
    <w:rsid w:val="00B0727E"/>
    <w:rsid w:val="00B5244A"/>
    <w:rsid w:val="00B61496"/>
    <w:rsid w:val="00B81F2E"/>
    <w:rsid w:val="00B96D9F"/>
    <w:rsid w:val="00BC4E54"/>
    <w:rsid w:val="00BD7693"/>
    <w:rsid w:val="00BF351D"/>
    <w:rsid w:val="00BF5015"/>
    <w:rsid w:val="00BF7E97"/>
    <w:rsid w:val="00C0646C"/>
    <w:rsid w:val="00C07F8C"/>
    <w:rsid w:val="00C11E4F"/>
    <w:rsid w:val="00C144B1"/>
    <w:rsid w:val="00C356A4"/>
    <w:rsid w:val="00C41539"/>
    <w:rsid w:val="00C600A7"/>
    <w:rsid w:val="00C93940"/>
    <w:rsid w:val="00C9600A"/>
    <w:rsid w:val="00CB1671"/>
    <w:rsid w:val="00CB731C"/>
    <w:rsid w:val="00CE6C7B"/>
    <w:rsid w:val="00CF63E7"/>
    <w:rsid w:val="00D33BDA"/>
    <w:rsid w:val="00D5260C"/>
    <w:rsid w:val="00D728F4"/>
    <w:rsid w:val="00D8314E"/>
    <w:rsid w:val="00D87937"/>
    <w:rsid w:val="00DC1FE2"/>
    <w:rsid w:val="00DD77BB"/>
    <w:rsid w:val="00DD79EB"/>
    <w:rsid w:val="00E00984"/>
    <w:rsid w:val="00E04A43"/>
    <w:rsid w:val="00E13F43"/>
    <w:rsid w:val="00E253C8"/>
    <w:rsid w:val="00E3685B"/>
    <w:rsid w:val="00E43EEA"/>
    <w:rsid w:val="00E83724"/>
    <w:rsid w:val="00E877B6"/>
    <w:rsid w:val="00E96257"/>
    <w:rsid w:val="00E96A51"/>
    <w:rsid w:val="00ED2644"/>
    <w:rsid w:val="00EE00E3"/>
    <w:rsid w:val="00EF6696"/>
    <w:rsid w:val="00F008B7"/>
    <w:rsid w:val="00F0324F"/>
    <w:rsid w:val="00F07986"/>
    <w:rsid w:val="00F171DC"/>
    <w:rsid w:val="00F51B36"/>
    <w:rsid w:val="00F96F48"/>
    <w:rsid w:val="00FC436A"/>
    <w:rsid w:val="00FD47F9"/>
    <w:rsid w:val="00FE6C7F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6B41"/>
  <w15:docId w15:val="{E02F3534-7079-47AE-93A6-0F081429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A8F"/>
    <w:pPr>
      <w:keepNext/>
      <w:keepLines/>
      <w:numPr>
        <w:numId w:val="8"/>
      </w:numPr>
      <w:spacing w:before="240" w:after="240"/>
      <w:ind w:left="36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6F37"/>
    <w:rPr>
      <w:color w:val="0000FF" w:themeColor="hyperlink"/>
      <w:u w:val="single"/>
    </w:rPr>
  </w:style>
  <w:style w:type="paragraph" w:customStyle="1" w:styleId="Text">
    <w:name w:val="Text"/>
    <w:basedOn w:val="Normal"/>
    <w:link w:val="TextChar"/>
    <w:qFormat/>
    <w:rsid w:val="009C2C2F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Header2">
    <w:name w:val="Header 2"/>
    <w:basedOn w:val="Normal"/>
    <w:link w:val="Header2Char"/>
    <w:qFormat/>
    <w:rsid w:val="003609B7"/>
    <w:pPr>
      <w:widowControl w:val="0"/>
      <w:numPr>
        <w:numId w:val="3"/>
      </w:numPr>
      <w:spacing w:before="240" w:after="120" w:line="240" w:lineRule="auto"/>
      <w:contextualSpacing/>
      <w:jc w:val="both"/>
    </w:pPr>
    <w:rPr>
      <w:rFonts w:ascii="Times New Roman" w:eastAsia="Times New Roman" w:hAnsi="Times New Roman" w:cs="Times New Roman"/>
      <w:b/>
      <w:snapToGrid w:val="0"/>
      <w:sz w:val="24"/>
    </w:rPr>
  </w:style>
  <w:style w:type="character" w:customStyle="1" w:styleId="TextChar">
    <w:name w:val="Text Char"/>
    <w:basedOn w:val="DefaultParagraphFont"/>
    <w:link w:val="Text"/>
    <w:rsid w:val="009C2C2F"/>
    <w:rPr>
      <w:rFonts w:ascii="Times New Roman" w:eastAsia="Times New Roman" w:hAnsi="Times New Roman" w:cs="Times New Roman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6A8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er2Char">
    <w:name w:val="Header 2 Char"/>
    <w:basedOn w:val="DefaultParagraphFont"/>
    <w:link w:val="Header2"/>
    <w:rsid w:val="003609B7"/>
    <w:rPr>
      <w:rFonts w:ascii="Times New Roman" w:eastAsia="Times New Roman" w:hAnsi="Times New Roman" w:cs="Times New Roman"/>
      <w:b/>
      <w:snapToGrid w:val="0"/>
      <w:sz w:val="24"/>
    </w:rPr>
  </w:style>
  <w:style w:type="paragraph" w:customStyle="1" w:styleId="Bullet1">
    <w:name w:val="Bullet 1"/>
    <w:basedOn w:val="Text"/>
    <w:link w:val="Bullet1Char"/>
    <w:qFormat/>
    <w:rsid w:val="00D87937"/>
    <w:pPr>
      <w:numPr>
        <w:numId w:val="9"/>
      </w:numPr>
      <w:spacing w:before="120" w:after="240"/>
      <w:jc w:val="left"/>
    </w:pPr>
  </w:style>
  <w:style w:type="paragraph" w:customStyle="1" w:styleId="Bullet2">
    <w:name w:val="Bullet 2"/>
    <w:basedOn w:val="Normal"/>
    <w:link w:val="Bullet2Char"/>
    <w:qFormat/>
    <w:rsid w:val="00747502"/>
    <w:pPr>
      <w:widowControl w:val="0"/>
      <w:numPr>
        <w:numId w:val="5"/>
      </w:numPr>
      <w:tabs>
        <w:tab w:val="left" w:pos="-1440"/>
      </w:tabs>
      <w:spacing w:before="120" w:after="120" w:line="240" w:lineRule="auto"/>
      <w:ind w:left="1440"/>
      <w:jc w:val="both"/>
    </w:pPr>
    <w:rPr>
      <w:rFonts w:ascii="Times New Roman" w:eastAsia="Times New Roman" w:hAnsi="Times New Roman" w:cs="Times New Roman"/>
      <w:snapToGrid w:val="0"/>
    </w:rPr>
  </w:style>
  <w:style w:type="character" w:customStyle="1" w:styleId="Bullet1Char">
    <w:name w:val="Bullet 1 Char"/>
    <w:basedOn w:val="TextChar"/>
    <w:link w:val="Bullet1"/>
    <w:rsid w:val="00D87937"/>
    <w:rPr>
      <w:rFonts w:ascii="Times New Roman" w:eastAsia="Times New Roman" w:hAnsi="Times New Roman" w:cs="Times New Roman"/>
      <w:snapToGrid w:val="0"/>
      <w:sz w:val="24"/>
    </w:rPr>
  </w:style>
  <w:style w:type="paragraph" w:customStyle="1" w:styleId="Number1">
    <w:name w:val="Number 1"/>
    <w:basedOn w:val="Normal"/>
    <w:link w:val="Number1Char"/>
    <w:qFormat/>
    <w:rsid w:val="00747502"/>
    <w:pPr>
      <w:widowControl w:val="0"/>
      <w:numPr>
        <w:numId w:val="7"/>
      </w:numPr>
      <w:tabs>
        <w:tab w:val="left" w:pos="-144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</w:rPr>
  </w:style>
  <w:style w:type="character" w:customStyle="1" w:styleId="Bullet2Char">
    <w:name w:val="Bullet 2 Char"/>
    <w:basedOn w:val="DefaultParagraphFont"/>
    <w:link w:val="Bullet2"/>
    <w:rsid w:val="00747502"/>
    <w:rPr>
      <w:rFonts w:ascii="Times New Roman" w:eastAsia="Times New Roman" w:hAnsi="Times New Roman" w:cs="Times New Roman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C3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umber1Char">
    <w:name w:val="Number 1 Char"/>
    <w:basedOn w:val="DefaultParagraphFont"/>
    <w:link w:val="Number1"/>
    <w:rsid w:val="00747502"/>
    <w:rPr>
      <w:rFonts w:ascii="Times New Roman" w:eastAsia="Times New Roman" w:hAnsi="Times New Roman" w:cs="Times New Roman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C356A4"/>
  </w:style>
  <w:style w:type="paragraph" w:styleId="Footer">
    <w:name w:val="footer"/>
    <w:basedOn w:val="Normal"/>
    <w:link w:val="FooterChar"/>
    <w:uiPriority w:val="99"/>
    <w:unhideWhenUsed/>
    <w:rsid w:val="00C35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A4"/>
  </w:style>
  <w:style w:type="paragraph" w:customStyle="1" w:styleId="Level1">
    <w:name w:val="Level 1"/>
    <w:basedOn w:val="Normal"/>
    <w:rsid w:val="00AE09D6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.lucia@rme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524F-E8BB-47F5-87F3-3E5512C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Kruger</dc:creator>
  <cp:lastModifiedBy>Tami  Lucia</cp:lastModifiedBy>
  <cp:revision>2</cp:revision>
  <cp:lastPrinted>2013-09-23T15:17:00Z</cp:lastPrinted>
  <dcterms:created xsi:type="dcterms:W3CDTF">2025-02-20T02:11:00Z</dcterms:created>
  <dcterms:modified xsi:type="dcterms:W3CDTF">2025-02-20T02:11:00Z</dcterms:modified>
</cp:coreProperties>
</file>