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A669E" w14:textId="77777777" w:rsidR="00492117" w:rsidRDefault="00492117" w:rsidP="00492117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March 2018</w:t>
      </w:r>
    </w:p>
    <w:p w14:paraId="32FF7F6F" w14:textId="77777777" w:rsidR="00492117" w:rsidRDefault="00492117" w:rsidP="00492117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0EC89C78" w14:textId="77777777" w:rsidR="00492117" w:rsidRPr="00492117" w:rsidRDefault="00492117" w:rsidP="00492117">
      <w:pPr>
        <w:rPr>
          <w:rFonts w:ascii="Arial" w:eastAsia="Times New Roman" w:hAnsi="Arial" w:cs="Times New Roman"/>
          <w:color w:val="000000"/>
          <w:sz w:val="20"/>
          <w:szCs w:val="20"/>
        </w:rPr>
      </w:pPr>
      <w:r w:rsidRPr="00492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br/>
      </w:r>
      <w:r w:rsidR="00385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WEALTH ADVISERS BOOST DISCOUNT BROKERS </w:t>
      </w:r>
    </w:p>
    <w:p w14:paraId="41276496" w14:textId="77777777" w:rsidR="00492117" w:rsidRPr="00492117" w:rsidRDefault="00492117" w:rsidP="00492117">
      <w:pPr>
        <w:rPr>
          <w:rFonts w:ascii="Arial" w:eastAsia="Times New Roman" w:hAnsi="Arial" w:cs="Times New Roman"/>
          <w:color w:val="000000"/>
          <w:sz w:val="20"/>
          <w:szCs w:val="20"/>
        </w:rPr>
      </w:pPr>
      <w:r w:rsidRPr="004921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By Lisa </w:t>
      </w:r>
      <w:proofErr w:type="spellStart"/>
      <w:r w:rsidRPr="004921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Beilfuss</w:t>
      </w:r>
      <w:proofErr w:type="spellEnd"/>
    </w:p>
    <w:p w14:paraId="1F4AA2CA" w14:textId="77777777" w:rsidR="00492117" w:rsidRPr="00492117" w:rsidRDefault="00492117" w:rsidP="00492117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0D53E020" w14:textId="77777777" w:rsidR="00492117" w:rsidRPr="00492117" w:rsidRDefault="00492117" w:rsidP="00492117">
      <w:pPr>
        <w:rPr>
          <w:rFonts w:ascii="Arial" w:eastAsia="Times New Roman" w:hAnsi="Arial" w:cs="Times New Roman"/>
          <w:color w:val="000000"/>
          <w:sz w:val="20"/>
          <w:szCs w:val="20"/>
        </w:rPr>
      </w:pPr>
      <w:r w:rsidRPr="004921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"Business is booming for discount brokerages. But this time the players driving the boom aren't day traders chasing dot-com riches.  They are </w:t>
      </w:r>
      <w:r w:rsidRPr="00492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independent financial professionals known as registered investment advisers</w:t>
      </w:r>
      <w:r w:rsidRPr="004921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who manage rosters of typically affluent clients and trade on their behalf with the assets held at the brokerage firms.</w:t>
      </w:r>
    </w:p>
    <w:p w14:paraId="65C9DCB3" w14:textId="77777777" w:rsidR="00492117" w:rsidRPr="00492117" w:rsidRDefault="00492117" w:rsidP="00492117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0C24BE42" w14:textId="77777777" w:rsidR="00492117" w:rsidRPr="00492117" w:rsidRDefault="00492117" w:rsidP="00492117">
      <w:pPr>
        <w:rPr>
          <w:rFonts w:ascii="Arial" w:eastAsia="Times New Roman" w:hAnsi="Arial" w:cs="Times New Roman"/>
          <w:color w:val="000000"/>
          <w:sz w:val="20"/>
          <w:szCs w:val="20"/>
        </w:rPr>
      </w:pPr>
      <w:r w:rsidRPr="004921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Two of the firms leading the way in serving these customers, </w:t>
      </w:r>
      <w:r w:rsidRPr="00492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Charles Schwab Corp. and TD Ameritrade</w:t>
      </w:r>
      <w:r w:rsidRPr="004921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Holding Corp., have pulled in about $200 billion combined in net new assets this year, most of which has come from the independent advisers, according to the companies.</w:t>
      </w:r>
    </w:p>
    <w:p w14:paraId="78A3ADC9" w14:textId="77777777" w:rsidR="00492117" w:rsidRPr="00492117" w:rsidRDefault="00492117" w:rsidP="00492117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3A4EE09F" w14:textId="77777777" w:rsidR="00492117" w:rsidRPr="00492117" w:rsidRDefault="00492117" w:rsidP="00492117">
      <w:pPr>
        <w:rPr>
          <w:rFonts w:ascii="Arial" w:eastAsia="Times New Roman" w:hAnsi="Arial" w:cs="Times New Roman"/>
          <w:color w:val="000000"/>
          <w:sz w:val="20"/>
          <w:szCs w:val="20"/>
        </w:rPr>
      </w:pPr>
      <w:r w:rsidRPr="00492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While the discount brokers have long served independent advisers, the business has picked up in recent years.</w:t>
      </w:r>
      <w:r w:rsidRPr="004921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 "</w:t>
      </w:r>
      <w:proofErr w:type="gramStart"/>
      <w:r w:rsidRPr="004921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firms</w:t>
      </w:r>
      <w:proofErr w:type="gramEnd"/>
      <w:r w:rsidRPr="004921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that set up custody businesses for financial advisers are reaping the benefit," said Devin Ryan, managing director at JMP Securities LLC, as</w:t>
      </w:r>
      <w:r w:rsidRPr="00492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 independent advisers "have been the fastest-growing area of the wealth-management industry."</w:t>
      </w:r>
    </w:p>
    <w:p w14:paraId="7F0BFD1D" w14:textId="77777777" w:rsidR="00492117" w:rsidRPr="00492117" w:rsidRDefault="00492117" w:rsidP="00492117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09FA3B13" w14:textId="77777777" w:rsidR="00492117" w:rsidRPr="00492117" w:rsidRDefault="00492117" w:rsidP="00492117">
      <w:pPr>
        <w:rPr>
          <w:rFonts w:ascii="Arial" w:eastAsia="Times New Roman" w:hAnsi="Arial" w:cs="Times New Roman"/>
          <w:color w:val="000000"/>
          <w:sz w:val="20"/>
          <w:szCs w:val="20"/>
        </w:rPr>
      </w:pPr>
      <w:r w:rsidRPr="004921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The boom underscores two trends that have been upending the wealth-management sector in recent years.  The first is a wave of </w:t>
      </w:r>
      <w:r w:rsidRPr="00492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traditional brokers leaving firms like Bank of America Corp's Merrill Lynch,</w:t>
      </w:r>
      <w:r w:rsidRPr="004921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 w:rsidRPr="00492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and Morgan Stanley</w:t>
      </w:r>
      <w:r w:rsidRPr="004921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as they seek to maintain greater control over their business and less pressure to market certain types of products, from</w:t>
      </w:r>
      <w:r w:rsidRPr="00492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 proprietary funds to credit cards and mortgages</w:t>
      </w:r>
      <w:r w:rsidRPr="004921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 The second is a new federal regulation known as the</w:t>
      </w:r>
      <w:r w:rsidR="00385DF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bookmarkStart w:id="0" w:name="_GoBack"/>
      <w:bookmarkEnd w:id="0"/>
      <w:r w:rsidRPr="00492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fiduciary rule, aimed at curbing conflicted investment advice </w:t>
      </w:r>
      <w:r w:rsidRPr="004921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that has forced traditional brokers to retool their business models.</w:t>
      </w:r>
    </w:p>
    <w:p w14:paraId="5FB8ECFE" w14:textId="77777777" w:rsidR="00492117" w:rsidRPr="00492117" w:rsidRDefault="00492117" w:rsidP="00492117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5468A2BD" w14:textId="77777777" w:rsidR="00492117" w:rsidRPr="00492117" w:rsidRDefault="00492117" w:rsidP="00492117">
      <w:pPr>
        <w:rPr>
          <w:rFonts w:ascii="Arial" w:eastAsia="Times New Roman" w:hAnsi="Arial" w:cs="Times New Roman"/>
          <w:color w:val="000000"/>
          <w:sz w:val="20"/>
          <w:szCs w:val="20"/>
        </w:rPr>
      </w:pPr>
      <w:r w:rsidRPr="00492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By 2020, research firm </w:t>
      </w:r>
      <w:proofErr w:type="spellStart"/>
      <w:r w:rsidRPr="00492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Cerulli</w:t>
      </w:r>
      <w:proofErr w:type="spellEnd"/>
      <w:r w:rsidRPr="00492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Associates predicts that independent advisers will control more assets than Merrill Lynch, Morgan Stanley, UBS Group AG, and other major brokerages combined.</w:t>
      </w:r>
      <w:r w:rsidRPr="004921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At Ameritrade new client assets on the adviser side surpassed last years' results by more than 50%, CEO Tim Hockey said in October, marking a record year.   </w:t>
      </w:r>
    </w:p>
    <w:p w14:paraId="4D381E07" w14:textId="77777777" w:rsidR="00492117" w:rsidRPr="00492117" w:rsidRDefault="00492117" w:rsidP="00492117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7CE4C58F" w14:textId="77777777" w:rsidR="00492117" w:rsidRPr="00492117" w:rsidRDefault="00492117" w:rsidP="00492117">
      <w:pPr>
        <w:rPr>
          <w:rFonts w:ascii="Arial" w:eastAsia="Times New Roman" w:hAnsi="Arial" w:cs="Times New Roman"/>
          <w:color w:val="000000"/>
          <w:sz w:val="20"/>
          <w:szCs w:val="20"/>
        </w:rPr>
      </w:pPr>
      <w:r w:rsidRPr="00492117">
        <w:rPr>
          <w:rFonts w:ascii="Times New Roman" w:eastAsia="Times New Roman" w:hAnsi="Times New Roman" w:cs="Times New Roman"/>
          <w:i/>
          <w:iCs/>
          <w:color w:val="000000"/>
        </w:rPr>
        <w:t>Executives and </w:t>
      </w:r>
      <w:r w:rsidRPr="004921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analysts</w:t>
      </w:r>
      <w:r w:rsidRPr="00492117">
        <w:rPr>
          <w:rFonts w:ascii="Times New Roman" w:eastAsia="Times New Roman" w:hAnsi="Times New Roman" w:cs="Times New Roman"/>
          <w:i/>
          <w:iCs/>
          <w:color w:val="000000"/>
        </w:rPr>
        <w:t> say the trends behind the discount brokerage boom are poised to continue, thanks in part to an increase in consumer awareness about the </w:t>
      </w:r>
      <w:r w:rsidRPr="0049211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impact of investment fees</w:t>
      </w:r>
      <w:r w:rsidRPr="00492117">
        <w:rPr>
          <w:rFonts w:ascii="Times New Roman" w:eastAsia="Times New Roman" w:hAnsi="Times New Roman" w:cs="Times New Roman"/>
          <w:i/>
          <w:iCs/>
          <w:color w:val="000000"/>
        </w:rPr>
        <w:t> and the difference between brokers and advisers. </w:t>
      </w:r>
      <w:r w:rsidRPr="0049211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R</w:t>
      </w:r>
      <w:r w:rsidRPr="00492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egistered investment advisers have for decades been required to put clients' interests first,</w:t>
      </w:r>
      <w:r w:rsidRPr="004921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and typically charge fees, while brokers have operated under a standard in which they could recommend products that would pay them the most in commissions as long as the investment was deemed suitable.</w:t>
      </w:r>
    </w:p>
    <w:p w14:paraId="6F7C090A" w14:textId="77777777" w:rsidR="00492117" w:rsidRPr="00492117" w:rsidRDefault="00492117" w:rsidP="00492117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0473BBD9" w14:textId="77777777" w:rsidR="00492117" w:rsidRPr="00492117" w:rsidRDefault="00492117" w:rsidP="00492117">
      <w:pPr>
        <w:rPr>
          <w:rFonts w:ascii="Arial" w:eastAsia="Times New Roman" w:hAnsi="Arial" w:cs="Times New Roman"/>
          <w:color w:val="000000"/>
          <w:sz w:val="20"/>
          <w:szCs w:val="20"/>
        </w:rPr>
      </w:pPr>
      <w:r w:rsidRPr="00492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"Fee-based, fiduciary models are the fastest growing areas of the industry,"</w:t>
      </w:r>
      <w:r w:rsidRPr="004921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said JMP Securities' Mr. Ryan. Schwab and Ameritrade both attribute their strong net new asset growth largely to independent adviser clients." </w:t>
      </w:r>
    </w:p>
    <w:p w14:paraId="66FA2702" w14:textId="77777777" w:rsidR="00492117" w:rsidRPr="00492117" w:rsidRDefault="00492117" w:rsidP="00492117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25B753E4" w14:textId="77777777" w:rsidR="00492117" w:rsidRPr="00492117" w:rsidRDefault="00492117" w:rsidP="00492117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92117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J.P. Diversified Asset Management LLC is a Registered Investment Adviser. As a Registered Investment Adviser we are under a fiduciary duty to place our clients interests before our </w:t>
      </w:r>
      <w: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 xml:space="preserve">own.  JPD Asset Management LLC </w:t>
      </w:r>
      <w:r w:rsidRPr="00492117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</w:rPr>
        <w:t>utilizes the services of TD Ameritrade as our custodian. We are actively seeking new clients who share our investment philosophy and are willing to commit to investing a minimum level of assets. </w:t>
      </w:r>
    </w:p>
    <w:p w14:paraId="051A1558" w14:textId="77777777" w:rsidR="00492117" w:rsidRPr="00492117" w:rsidRDefault="00492117" w:rsidP="00492117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54B17755" w14:textId="77777777" w:rsidR="00492117" w:rsidRPr="00492117" w:rsidRDefault="00492117" w:rsidP="00492117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92117">
        <w:rPr>
          <w:rFonts w:ascii="Helvetica" w:eastAsia="Times New Roman" w:hAnsi="Helvetica" w:cs="Times New Roman"/>
          <w:color w:val="000000"/>
          <w:sz w:val="20"/>
          <w:szCs w:val="20"/>
        </w:rPr>
        <w:t>PAUL ZINNO</w:t>
      </w:r>
    </w:p>
    <w:p w14:paraId="373BD1B8" w14:textId="77777777" w:rsidR="00492117" w:rsidRPr="00492117" w:rsidRDefault="00492117" w:rsidP="00492117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92117">
        <w:rPr>
          <w:rFonts w:ascii="Helvetica" w:eastAsia="Times New Roman" w:hAnsi="Helvetica" w:cs="Times New Roman"/>
          <w:color w:val="000000"/>
          <w:sz w:val="20"/>
          <w:szCs w:val="20"/>
        </w:rPr>
        <w:fldChar w:fldCharType="begin"/>
      </w:r>
      <w:r w:rsidRPr="00492117">
        <w:rPr>
          <w:rFonts w:ascii="Helvetica" w:eastAsia="Times New Roman" w:hAnsi="Helvetica" w:cs="Times New Roman"/>
          <w:color w:val="000000"/>
          <w:sz w:val="20"/>
          <w:szCs w:val="20"/>
        </w:rPr>
        <w:instrText xml:space="preserve"> HYPERLINK "mailto:pz03@aol.com" \t "_blank" </w:instrText>
      </w:r>
      <w:r w:rsidRPr="00492117">
        <w:rPr>
          <w:rFonts w:ascii="Helvetica" w:eastAsia="Times New Roman" w:hAnsi="Helvetica" w:cs="Times New Roman"/>
          <w:color w:val="000000"/>
          <w:sz w:val="20"/>
          <w:szCs w:val="20"/>
        </w:rPr>
      </w:r>
      <w:r w:rsidRPr="00492117">
        <w:rPr>
          <w:rFonts w:ascii="Helvetica" w:eastAsia="Times New Roman" w:hAnsi="Helvetica" w:cs="Times New Roman"/>
          <w:color w:val="000000"/>
          <w:sz w:val="20"/>
          <w:szCs w:val="20"/>
        </w:rPr>
        <w:fldChar w:fldCharType="separate"/>
      </w:r>
      <w:r w:rsidRPr="00492117">
        <w:rPr>
          <w:rFonts w:ascii="Helvetica" w:eastAsia="Times New Roman" w:hAnsi="Helvetica" w:cs="Times New Roman"/>
          <w:color w:val="0000FF"/>
          <w:sz w:val="20"/>
          <w:szCs w:val="20"/>
          <w:u w:val="single"/>
        </w:rPr>
        <w:t>pz03@aol.com</w:t>
      </w:r>
      <w:r w:rsidRPr="00492117">
        <w:rPr>
          <w:rFonts w:ascii="Helvetica" w:eastAsia="Times New Roman" w:hAnsi="Helvetica" w:cs="Times New Roman"/>
          <w:color w:val="000000"/>
          <w:sz w:val="20"/>
          <w:szCs w:val="20"/>
        </w:rPr>
        <w:fldChar w:fldCharType="end"/>
      </w:r>
    </w:p>
    <w:p w14:paraId="0CE95185" w14:textId="77777777" w:rsidR="00192EC8" w:rsidRDefault="00192EC8"/>
    <w:sectPr w:rsidR="00192EC8" w:rsidSect="00192E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17"/>
    <w:rsid w:val="00192EC8"/>
    <w:rsid w:val="00385DFE"/>
    <w:rsid w:val="0049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814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2117"/>
  </w:style>
  <w:style w:type="character" w:styleId="Hyperlink">
    <w:name w:val="Hyperlink"/>
    <w:basedOn w:val="DefaultParagraphFont"/>
    <w:uiPriority w:val="99"/>
    <w:semiHidden/>
    <w:unhideWhenUsed/>
    <w:rsid w:val="004921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2117"/>
  </w:style>
  <w:style w:type="character" w:styleId="Hyperlink">
    <w:name w:val="Hyperlink"/>
    <w:basedOn w:val="DefaultParagraphFont"/>
    <w:uiPriority w:val="99"/>
    <w:semiHidden/>
    <w:unhideWhenUsed/>
    <w:rsid w:val="00492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2719</Characters>
  <Application>Microsoft Macintosh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Zinno</dc:creator>
  <cp:keywords/>
  <dc:description/>
  <cp:lastModifiedBy>Paul Zinno</cp:lastModifiedBy>
  <cp:revision>2</cp:revision>
  <dcterms:created xsi:type="dcterms:W3CDTF">2018-04-03T18:23:00Z</dcterms:created>
  <dcterms:modified xsi:type="dcterms:W3CDTF">2018-04-03T18:32:00Z</dcterms:modified>
</cp:coreProperties>
</file>