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Child Care Task Force 4/11/22</w:t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See slide show for market analysis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 Groups: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Finance and Strategy: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-members spoke out about the importance of joining a group for more in depth conversation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-the need to raise pay “make the job sexy”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Facilities and infrastructure: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-need to reach landlords and get them to be willing to rent to childcare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-Location matters so much when choosing location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-Need incentives to get providers in the door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-Licensors are at capacity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-how do we communicate with intent?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Program and Policy: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-Viability for both programs and families. Misalignment seen in this area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-State and national policy changes are happening and still need more—lots of work to be done there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-The difference in state policies around overnight care, standard hours care, rules, etc. lots of discrepancies.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-schools host many programs, need to continue to strengthen these relationships, loss of contracts can impact whole communities.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Workforce: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-we have not met this month, will be happening week of the 25th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-Adding new members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Discussion: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Adam: what is our final vision?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Annessa: What about benefits? OHP limits need to be taken into acct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-Ernest: Looking at cost breakdown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Kari—Childcare frequently feels like triage. Our goal is that people who want/need childcare can afford it. We need people to want to have childcare as a career.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Brittany Hill-Changing the stigma around being in early learning.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Beth Unverzagt: It might be really interesting to have Brittany use the calculator for her business and then take all the taxes (because that’s not included) and see the graphs of that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Kari Lyons: big thanks to Dani for being awesome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Notes and chats are posted. Feel free to text, call, or email Dani/Ernest in-between sessions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c3TN3lA/VTS0NN5oV9SqHilGbw==">AMUW2mVeAqBniolc1+nF3Z27NEEV24MksvfdIP2XvkSIhXvTciefp+9RLC0Qw/JJEdDzeHLG3VHEy2O2sgGykDr0okyccPp22r163FD7qWJLejMtsbRQTQIDGF8xKeY6De5sDGTM5KtU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2022-04-12T01:02:00Z</dcterms:created>
  <dc:creator>Butler, Sophia</dc:creator>
</cp:coreProperties>
</file>