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6" w:rsidRDefault="00F67246" w:rsidP="003E26F1">
      <w:r>
        <w:t>What does success look like?</w:t>
      </w:r>
      <w:bookmarkStart w:id="0" w:name="_GoBack"/>
      <w:bookmarkEnd w:id="0"/>
    </w:p>
    <w:p w:rsidR="00F8246E" w:rsidRDefault="003E26F1" w:rsidP="003E26F1">
      <w:pPr>
        <w:pStyle w:val="ListParagraph"/>
        <w:numPr>
          <w:ilvl w:val="0"/>
          <w:numId w:val="1"/>
        </w:numPr>
      </w:pPr>
      <w:r w:rsidRPr="003E26F1">
        <w:t>Parents having a choice of care to take their children too and being able to afford it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Remove barriers that we have control over!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Corporations or companies get a break if they provide childcare for their employees. A system of incentives.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"Odd Hour Care" available.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Hospitals having onsite childcare for their employees.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Zoning Issues are favorable to childcare.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Support mentorship of new child care providers by seasoned child care providers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Have a liaison to county zoning/permitting office for child care providers.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Parents having a choice of quality affordable care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Need systems - comprehensive systems to meet the needs of families. Oregon lacks systems and structures. There can be local control, but needs to be county or state systems of support.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Feeling of Security for families, children and staff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Affordable, safe, quality child care for everyone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Quality, cost, equity, and access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Child care that meets the family needs and culture.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Consistency in where kids attend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>
        <w:t>Creative solutions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proofErr w:type="gramStart"/>
      <w:r w:rsidRPr="003E26F1">
        <w:t>identify</w:t>
      </w:r>
      <w:proofErr w:type="gramEnd"/>
      <w:r w:rsidRPr="003E26F1">
        <w:t xml:space="preserve"> one or more legislative champions!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All children in Clackamas have opportunities and families have choices. Providers/Teachers have competitive wages to be able to be paid to work and want to work in the early learning system.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How do we get there: city/county zoning reform (allowable use)</w:t>
      </w:r>
      <w:proofErr w:type="gramStart"/>
      <w:r w:rsidRPr="003E26F1">
        <w:t>.</w:t>
      </w:r>
      <w:proofErr w:type="gramEnd"/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 xml:space="preserve">How do we get there: sustainable and equitable </w:t>
      </w:r>
      <w:proofErr w:type="gramStart"/>
      <w:r w:rsidRPr="003E26F1">
        <w:t>funding.</w:t>
      </w:r>
      <w:proofErr w:type="gramEnd"/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 xml:space="preserve">Child care providers are well trained, especially to work </w:t>
      </w:r>
      <w:proofErr w:type="spellStart"/>
      <w:r w:rsidRPr="003E26F1">
        <w:t>wtih</w:t>
      </w:r>
      <w:proofErr w:type="spellEnd"/>
      <w:r w:rsidRPr="003E26F1">
        <w:t xml:space="preserve"> special needs kids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Care that is affordable for families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Increasing public investment in early childhood so parents alone don't have to pay the full cost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All children have a child care place where they are supported and developing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Consideration of trauma and trauma-informed support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Making sure there is linguistically diverse care, culturally informed care</w:t>
      </w:r>
    </w:p>
    <w:p w:rsidR="003E26F1" w:rsidRDefault="003E26F1" w:rsidP="003E26F1">
      <w:r>
        <w:t>Path to get there: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CCR&amp;R trainings to providers who don't speak English (Russian, etc.)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Honor &amp; recognize the skills, expertise, and training in immigrant and refugee community</w:t>
      </w:r>
    </w:p>
    <w:p w:rsidR="003E26F1" w:rsidRDefault="003E26F1" w:rsidP="003E26F1">
      <w:pPr>
        <w:pStyle w:val="ListParagraph"/>
        <w:numPr>
          <w:ilvl w:val="0"/>
          <w:numId w:val="1"/>
        </w:numPr>
      </w:pPr>
      <w:r w:rsidRPr="003E26F1">
        <w:t>Improved ORO or ORO work around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Child care workers who make a housing wage with benefits, time off when needed, and a sense of support from the community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Early learning educators and after-school care workers feel valued and recognize this is a career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Support for mental health and burnout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affordable as soon as possible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geographically available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seamless integrated P-3 up to K12 education, access to everyone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lastRenderedPageBreak/>
        <w:t>market and branding; central place for information dissemination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Accessibility - need more options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quality and safe experiences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available for child care who want or need that in 2years - in 5 years it's affordable for all who want or need it - in 10 years it's free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Options for child care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 xml:space="preserve">Victory looks like the child care system in </w:t>
      </w:r>
      <w:r>
        <w:t>Europe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culturally-specific options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joyful nurturing and loving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choice for parents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Professional supports in place for workforce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Wages compensatory with anyone building infrastructure</w:t>
      </w:r>
    </w:p>
    <w:p w:rsidR="00F67246" w:rsidRDefault="00F67246" w:rsidP="00F67246">
      <w:pPr>
        <w:pStyle w:val="ListParagraph"/>
        <w:numPr>
          <w:ilvl w:val="0"/>
          <w:numId w:val="1"/>
        </w:numPr>
      </w:pPr>
      <w:r w:rsidRPr="00F67246">
        <w:t>supported workforce</w:t>
      </w:r>
    </w:p>
    <w:sectPr w:rsidR="00F6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0368"/>
    <w:multiLevelType w:val="hybridMultilevel"/>
    <w:tmpl w:val="AD9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F1"/>
    <w:rsid w:val="003E26F1"/>
    <w:rsid w:val="00F67246"/>
    <w:rsid w:val="00F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A3F02-2FE4-4A9E-8E04-63DC77E9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Sophia</dc:creator>
  <cp:keywords/>
  <dc:description/>
  <cp:lastModifiedBy>Butler, Sophia</cp:lastModifiedBy>
  <cp:revision>1</cp:revision>
  <dcterms:created xsi:type="dcterms:W3CDTF">2021-11-15T22:33:00Z</dcterms:created>
  <dcterms:modified xsi:type="dcterms:W3CDTF">2021-11-15T22:51:00Z</dcterms:modified>
</cp:coreProperties>
</file>