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E92C2" w14:textId="66FE1172" w:rsidR="00091D5C" w:rsidRPr="00E85309" w:rsidRDefault="00091D5C" w:rsidP="00E85309">
      <w:pPr>
        <w:jc w:val="center"/>
        <w:rPr>
          <w:b/>
        </w:rPr>
      </w:pPr>
      <w:r w:rsidRPr="00E85309">
        <w:rPr>
          <w:b/>
        </w:rPr>
        <w:t>GARI Discussion Paper 2018</w:t>
      </w:r>
    </w:p>
    <w:p w14:paraId="3BF0337B" w14:textId="18608D89" w:rsidR="00091D5C" w:rsidRPr="00E85309" w:rsidRDefault="00091D5C" w:rsidP="00E85309">
      <w:pPr>
        <w:jc w:val="center"/>
        <w:rPr>
          <w:b/>
        </w:rPr>
      </w:pPr>
      <w:r w:rsidRPr="00E85309">
        <w:rPr>
          <w:b/>
        </w:rPr>
        <w:t>“Crossing the Adaptation Gap”</w:t>
      </w:r>
      <w:r w:rsidR="00E85309">
        <w:rPr>
          <w:b/>
        </w:rPr>
        <w:t xml:space="preserve"> [working title]</w:t>
      </w:r>
      <w:bookmarkStart w:id="0" w:name="_GoBack"/>
      <w:bookmarkEnd w:id="0"/>
    </w:p>
    <w:p w14:paraId="48434C18" w14:textId="58CB0AF6" w:rsidR="00091D5C" w:rsidRDefault="00091D5C" w:rsidP="004A64BD"/>
    <w:p w14:paraId="00705BD5" w14:textId="74F98583" w:rsidR="00091D5C" w:rsidRDefault="00091D5C" w:rsidP="004A64BD">
      <w:r>
        <w:t>DRAFT OUTLINE</w:t>
      </w:r>
    </w:p>
    <w:p w14:paraId="26BD5211" w14:textId="77777777" w:rsidR="00091D5C" w:rsidRDefault="00091D5C" w:rsidP="00091D5C"/>
    <w:p w14:paraId="1673B99A" w14:textId="6C695870" w:rsidR="00091D5C" w:rsidRDefault="00091D5C" w:rsidP="004A64BD">
      <w:pPr>
        <w:pStyle w:val="ListParagraph"/>
        <w:numPr>
          <w:ilvl w:val="0"/>
          <w:numId w:val="1"/>
        </w:numPr>
      </w:pPr>
      <w:r>
        <w:t>Executive Summary</w:t>
      </w:r>
    </w:p>
    <w:p w14:paraId="2072AC70" w14:textId="60815ADE" w:rsidR="00091D5C" w:rsidRDefault="00091D5C" w:rsidP="00091D5C">
      <w:pPr>
        <w:pStyle w:val="ListParagraph"/>
        <w:numPr>
          <w:ilvl w:val="1"/>
          <w:numId w:val="1"/>
        </w:numPr>
      </w:pPr>
      <w:r>
        <w:t>Overview Summary</w:t>
      </w:r>
    </w:p>
    <w:p w14:paraId="5D87F01B" w14:textId="6C333B83" w:rsidR="00091D5C" w:rsidRDefault="00091D5C" w:rsidP="00091D5C">
      <w:pPr>
        <w:pStyle w:val="ListParagraph"/>
        <w:numPr>
          <w:ilvl w:val="1"/>
          <w:numId w:val="1"/>
        </w:numPr>
      </w:pPr>
      <w:r>
        <w:t>Recommendations [ poll of GARI participants forthcoming ]</w:t>
      </w:r>
    </w:p>
    <w:p w14:paraId="047F0854" w14:textId="77777777" w:rsidR="00091D5C" w:rsidRDefault="00091D5C" w:rsidP="00091D5C">
      <w:pPr>
        <w:pStyle w:val="ListParagraph"/>
        <w:ind w:left="1440"/>
      </w:pPr>
    </w:p>
    <w:p w14:paraId="305A2B40" w14:textId="2383E84E" w:rsidR="00DC094D" w:rsidRDefault="004A64BD" w:rsidP="004A64BD">
      <w:pPr>
        <w:pStyle w:val="ListParagraph"/>
        <w:numPr>
          <w:ilvl w:val="0"/>
          <w:numId w:val="1"/>
        </w:numPr>
      </w:pPr>
      <w:r>
        <w:t>Overview</w:t>
      </w:r>
    </w:p>
    <w:p w14:paraId="0E3A0A8C" w14:textId="77777777" w:rsidR="004A64BD" w:rsidRDefault="004A64BD" w:rsidP="004A64BD">
      <w:pPr>
        <w:pStyle w:val="ListParagraph"/>
        <w:numPr>
          <w:ilvl w:val="1"/>
          <w:numId w:val="1"/>
        </w:numPr>
      </w:pPr>
      <w:r>
        <w:t>Ongoing Risk and Impact</w:t>
      </w:r>
    </w:p>
    <w:p w14:paraId="63B35D98" w14:textId="66B55001" w:rsidR="004A64BD" w:rsidRDefault="004A64BD" w:rsidP="004A64BD">
      <w:pPr>
        <w:pStyle w:val="ListParagraph"/>
        <w:numPr>
          <w:ilvl w:val="2"/>
          <w:numId w:val="1"/>
        </w:numPr>
      </w:pPr>
      <w:r>
        <w:t>Continued warming</w:t>
      </w:r>
      <w:r w:rsidR="00091D5C">
        <w:t xml:space="preserve"> (heat data, heatwaves, projections)</w:t>
      </w:r>
    </w:p>
    <w:p w14:paraId="731A8E05" w14:textId="592E9415" w:rsidR="004A64BD" w:rsidRDefault="004A64BD" w:rsidP="004A64BD">
      <w:pPr>
        <w:pStyle w:val="ListParagraph"/>
        <w:numPr>
          <w:ilvl w:val="2"/>
          <w:numId w:val="1"/>
        </w:numPr>
      </w:pPr>
      <w:r>
        <w:t>Extreme Events</w:t>
      </w:r>
      <w:r w:rsidR="00091D5C">
        <w:t xml:space="preserve"> (hurricanes, typhoons, fire, flood events)</w:t>
      </w:r>
    </w:p>
    <w:p w14:paraId="5CC7550B" w14:textId="186F3C2F" w:rsidR="004A64BD" w:rsidRDefault="004A64BD" w:rsidP="004A64BD">
      <w:pPr>
        <w:pStyle w:val="ListParagraph"/>
        <w:numPr>
          <w:ilvl w:val="2"/>
          <w:numId w:val="1"/>
        </w:numPr>
      </w:pPr>
      <w:r>
        <w:t>Knock on effects</w:t>
      </w:r>
      <w:r w:rsidR="00091D5C">
        <w:t xml:space="preserve"> (humanitarian and economic impacts)</w:t>
      </w:r>
    </w:p>
    <w:p w14:paraId="7E649D5A" w14:textId="01216515" w:rsidR="00091D5C" w:rsidRDefault="00091D5C" w:rsidP="00091D5C">
      <w:pPr>
        <w:pStyle w:val="ListParagraph"/>
        <w:numPr>
          <w:ilvl w:val="1"/>
          <w:numId w:val="1"/>
        </w:numPr>
      </w:pPr>
      <w:r>
        <w:t>Outlook and projections</w:t>
      </w:r>
    </w:p>
    <w:p w14:paraId="792F7618" w14:textId="77777777" w:rsidR="00091D5C" w:rsidRDefault="00091D5C" w:rsidP="00091D5C">
      <w:pPr>
        <w:pStyle w:val="ListParagraph"/>
        <w:ind w:left="1440"/>
      </w:pPr>
    </w:p>
    <w:p w14:paraId="66167151" w14:textId="77777777" w:rsidR="004A64BD" w:rsidRDefault="004A64BD" w:rsidP="004A64BD">
      <w:pPr>
        <w:pStyle w:val="ListParagraph"/>
        <w:numPr>
          <w:ilvl w:val="0"/>
          <w:numId w:val="1"/>
        </w:numPr>
      </w:pPr>
      <w:r>
        <w:t>Developments in Metrics</w:t>
      </w:r>
    </w:p>
    <w:p w14:paraId="060626F7" w14:textId="2A1696B5" w:rsidR="004A64BD" w:rsidRDefault="004A64BD" w:rsidP="004A64BD">
      <w:pPr>
        <w:pStyle w:val="ListParagraph"/>
        <w:numPr>
          <w:ilvl w:val="1"/>
          <w:numId w:val="1"/>
        </w:numPr>
      </w:pPr>
      <w:r>
        <w:t>TCFD</w:t>
      </w:r>
      <w:r w:rsidR="00091D5C">
        <w:t xml:space="preserve"> – overview and current status of support/adoption</w:t>
      </w:r>
    </w:p>
    <w:p w14:paraId="351192D8" w14:textId="583C7B45" w:rsidR="004A64BD" w:rsidRDefault="004A64BD" w:rsidP="004A64BD">
      <w:pPr>
        <w:pStyle w:val="ListParagraph"/>
        <w:numPr>
          <w:ilvl w:val="1"/>
          <w:numId w:val="1"/>
        </w:numPr>
      </w:pPr>
      <w:r>
        <w:t>Article 173</w:t>
      </w:r>
      <w:r w:rsidR="00091D5C">
        <w:t xml:space="preserve"> – overview and current status</w:t>
      </w:r>
    </w:p>
    <w:p w14:paraId="7E3B3C63" w14:textId="44E3277B" w:rsidR="004A64BD" w:rsidRDefault="004A64BD" w:rsidP="004A64BD">
      <w:pPr>
        <w:pStyle w:val="ListParagraph"/>
        <w:numPr>
          <w:ilvl w:val="1"/>
          <w:numId w:val="1"/>
        </w:numPr>
      </w:pPr>
      <w:r>
        <w:t>UNEP-FI</w:t>
      </w:r>
      <w:r w:rsidR="00091D5C">
        <w:t xml:space="preserve"> – analysis of TCFD</w:t>
      </w:r>
    </w:p>
    <w:p w14:paraId="41888C97" w14:textId="76CB0049" w:rsidR="004A64BD" w:rsidRDefault="004A64BD" w:rsidP="004A64BD">
      <w:pPr>
        <w:pStyle w:val="ListParagraph"/>
        <w:numPr>
          <w:ilvl w:val="1"/>
          <w:numId w:val="1"/>
        </w:numPr>
      </w:pPr>
      <w:r>
        <w:t>EU Taxonomy</w:t>
      </w:r>
      <w:r w:rsidR="00091D5C">
        <w:t xml:space="preserve"> – following HLEG, focus on climate adaptation by 2019</w:t>
      </w:r>
    </w:p>
    <w:p w14:paraId="2E86429D" w14:textId="79167655" w:rsidR="004A64BD" w:rsidRDefault="004A64BD" w:rsidP="004A64BD">
      <w:pPr>
        <w:pStyle w:val="ListParagraph"/>
        <w:numPr>
          <w:ilvl w:val="1"/>
          <w:numId w:val="1"/>
        </w:numPr>
      </w:pPr>
      <w:r>
        <w:t>Rating Agencies</w:t>
      </w:r>
      <w:r w:rsidR="00091D5C">
        <w:t xml:space="preserve"> – recent developments on climate risk disclosure</w:t>
      </w:r>
    </w:p>
    <w:p w14:paraId="6FB65EFE" w14:textId="77777777" w:rsidR="004A64BD" w:rsidRDefault="004A64BD" w:rsidP="004A64BD">
      <w:pPr>
        <w:pStyle w:val="ListParagraph"/>
        <w:numPr>
          <w:ilvl w:val="1"/>
          <w:numId w:val="1"/>
        </w:numPr>
      </w:pPr>
      <w:r>
        <w:t>Private Investor Disclosure Commitments</w:t>
      </w:r>
    </w:p>
    <w:p w14:paraId="42672DEF" w14:textId="77777777" w:rsidR="004A64BD" w:rsidRDefault="004A64BD" w:rsidP="004A64BD">
      <w:pPr>
        <w:pStyle w:val="ListParagraph"/>
        <w:numPr>
          <w:ilvl w:val="2"/>
          <w:numId w:val="1"/>
        </w:numPr>
      </w:pPr>
      <w:r>
        <w:t>SWFs</w:t>
      </w:r>
    </w:p>
    <w:p w14:paraId="0B5A06D0" w14:textId="77777777" w:rsidR="004A64BD" w:rsidRDefault="004A64BD" w:rsidP="004A64BD">
      <w:pPr>
        <w:pStyle w:val="ListParagraph"/>
        <w:numPr>
          <w:ilvl w:val="2"/>
          <w:numId w:val="1"/>
        </w:numPr>
      </w:pPr>
      <w:r>
        <w:t>Asset Owners</w:t>
      </w:r>
    </w:p>
    <w:p w14:paraId="17C41D00" w14:textId="77777777" w:rsidR="004A64BD" w:rsidRDefault="004A64BD" w:rsidP="004A64BD">
      <w:pPr>
        <w:pStyle w:val="ListParagraph"/>
        <w:numPr>
          <w:ilvl w:val="2"/>
          <w:numId w:val="1"/>
        </w:numPr>
      </w:pPr>
      <w:r>
        <w:t>GCAS</w:t>
      </w:r>
    </w:p>
    <w:p w14:paraId="59994EC2" w14:textId="77777777" w:rsidR="004A64BD" w:rsidRDefault="004A64BD" w:rsidP="004A64BD">
      <w:pPr>
        <w:pStyle w:val="ListParagraph"/>
        <w:numPr>
          <w:ilvl w:val="2"/>
          <w:numId w:val="1"/>
        </w:numPr>
      </w:pPr>
      <w:r>
        <w:t>NY Climate Week</w:t>
      </w:r>
    </w:p>
    <w:p w14:paraId="696F466F" w14:textId="2CD28203" w:rsidR="004A64BD" w:rsidRDefault="00091D5C" w:rsidP="004A64BD">
      <w:pPr>
        <w:pStyle w:val="ListParagraph"/>
        <w:numPr>
          <w:ilvl w:val="2"/>
          <w:numId w:val="1"/>
        </w:numPr>
      </w:pPr>
      <w:r>
        <w:t>COP24 upcoming</w:t>
      </w:r>
    </w:p>
    <w:p w14:paraId="22D285E2" w14:textId="742A6E44" w:rsidR="00091D5C" w:rsidRDefault="00091D5C" w:rsidP="00091D5C">
      <w:pPr>
        <w:pStyle w:val="ListParagraph"/>
        <w:numPr>
          <w:ilvl w:val="1"/>
          <w:numId w:val="1"/>
        </w:numPr>
      </w:pPr>
      <w:r>
        <w:t>Recommendations for Investors</w:t>
      </w:r>
    </w:p>
    <w:p w14:paraId="1AD50F02" w14:textId="47E2EEAC" w:rsidR="00091D5C" w:rsidRDefault="00091D5C" w:rsidP="00091D5C">
      <w:pPr>
        <w:pStyle w:val="ListParagraph"/>
        <w:numPr>
          <w:ilvl w:val="2"/>
          <w:numId w:val="1"/>
        </w:numPr>
      </w:pPr>
      <w:r>
        <w:t>TCFD</w:t>
      </w:r>
      <w:r w:rsidR="004B33D8">
        <w:t xml:space="preserve"> / disclosure</w:t>
      </w:r>
    </w:p>
    <w:p w14:paraId="38858409" w14:textId="29751C93" w:rsidR="00091D5C" w:rsidRDefault="00091D5C" w:rsidP="00091D5C">
      <w:pPr>
        <w:pStyle w:val="ListParagraph"/>
        <w:numPr>
          <w:ilvl w:val="2"/>
          <w:numId w:val="1"/>
        </w:numPr>
      </w:pPr>
      <w:r>
        <w:t>Credit Ratings Awareness</w:t>
      </w:r>
    </w:p>
    <w:p w14:paraId="0CD5FFC2" w14:textId="77D03F19" w:rsidR="00091D5C" w:rsidRDefault="00E85309" w:rsidP="00091D5C">
      <w:pPr>
        <w:pStyle w:val="ListParagraph"/>
        <w:numPr>
          <w:ilvl w:val="2"/>
          <w:numId w:val="1"/>
        </w:numPr>
      </w:pPr>
      <w:r>
        <w:t>Metrics recommendations</w:t>
      </w:r>
    </w:p>
    <w:p w14:paraId="6CEE07FB" w14:textId="77777777" w:rsidR="004A64BD" w:rsidRDefault="004A64BD" w:rsidP="004A64BD">
      <w:pPr>
        <w:pStyle w:val="ListParagraph"/>
        <w:numPr>
          <w:ilvl w:val="0"/>
          <w:numId w:val="1"/>
        </w:numPr>
      </w:pPr>
      <w:r>
        <w:t>Developments in Opportunities</w:t>
      </w:r>
    </w:p>
    <w:p w14:paraId="02B52B76" w14:textId="77777777" w:rsidR="004A64BD" w:rsidRDefault="004A64BD" w:rsidP="004A64BD">
      <w:pPr>
        <w:pStyle w:val="ListParagraph"/>
        <w:numPr>
          <w:ilvl w:val="1"/>
          <w:numId w:val="1"/>
        </w:numPr>
      </w:pPr>
      <w:r>
        <w:t>Overall Data: CPI Climate Finance Flows Tracker</w:t>
      </w:r>
    </w:p>
    <w:p w14:paraId="7B510A55" w14:textId="77777777" w:rsidR="004A64BD" w:rsidRDefault="004A64BD" w:rsidP="004A64BD">
      <w:pPr>
        <w:pStyle w:val="ListParagraph"/>
        <w:numPr>
          <w:ilvl w:val="1"/>
          <w:numId w:val="1"/>
        </w:numPr>
      </w:pPr>
      <w:r>
        <w:t>Development Community: MDB 2017 Report</w:t>
      </w:r>
    </w:p>
    <w:p w14:paraId="6F064F1F" w14:textId="77777777" w:rsidR="004A64BD" w:rsidRDefault="004A64BD" w:rsidP="004A64BD">
      <w:pPr>
        <w:pStyle w:val="ListParagraph"/>
        <w:numPr>
          <w:ilvl w:val="1"/>
          <w:numId w:val="1"/>
        </w:numPr>
      </w:pPr>
      <w:r>
        <w:t>Europe: Climate-KIC, MARCO</w:t>
      </w:r>
    </w:p>
    <w:p w14:paraId="60164CEC" w14:textId="77777777" w:rsidR="004A64BD" w:rsidRDefault="004A64BD" w:rsidP="004A64BD">
      <w:pPr>
        <w:pStyle w:val="ListParagraph"/>
        <w:numPr>
          <w:ilvl w:val="1"/>
          <w:numId w:val="1"/>
        </w:numPr>
      </w:pPr>
      <w:r>
        <w:t>Asia: MUMS</w:t>
      </w:r>
    </w:p>
    <w:p w14:paraId="5291F2E5" w14:textId="0B11A86F" w:rsidR="004A64BD" w:rsidRDefault="004A64BD" w:rsidP="004A64BD">
      <w:pPr>
        <w:pStyle w:val="ListParagraph"/>
        <w:numPr>
          <w:ilvl w:val="1"/>
          <w:numId w:val="1"/>
        </w:numPr>
      </w:pPr>
      <w:r>
        <w:t>Private Sector Initiatives: CRAFT, Acumen, Forestry, Agriculture</w:t>
      </w:r>
    </w:p>
    <w:p w14:paraId="3F7751A9" w14:textId="494C45A6" w:rsidR="00E85309" w:rsidRDefault="00E85309" w:rsidP="004A64BD">
      <w:pPr>
        <w:pStyle w:val="ListParagraph"/>
        <w:numPr>
          <w:ilvl w:val="1"/>
          <w:numId w:val="1"/>
        </w:numPr>
      </w:pPr>
      <w:r>
        <w:t>Recommendations for Investors</w:t>
      </w:r>
    </w:p>
    <w:p w14:paraId="0E18C813" w14:textId="2C124867" w:rsidR="00E85309" w:rsidRDefault="00E85309" w:rsidP="00E85309">
      <w:pPr>
        <w:pStyle w:val="ListParagraph"/>
        <w:numPr>
          <w:ilvl w:val="2"/>
          <w:numId w:val="1"/>
        </w:numPr>
      </w:pPr>
      <w:r>
        <w:t>Investment Opportunities</w:t>
      </w:r>
    </w:p>
    <w:p w14:paraId="44200A04" w14:textId="77777777" w:rsidR="004A64BD" w:rsidRDefault="004A64BD" w:rsidP="004A64BD">
      <w:pPr>
        <w:pStyle w:val="ListParagraph"/>
        <w:numPr>
          <w:ilvl w:val="0"/>
          <w:numId w:val="1"/>
        </w:numPr>
      </w:pPr>
      <w:r>
        <w:t>Outlook and Next Steps</w:t>
      </w:r>
    </w:p>
    <w:sectPr w:rsidR="004A64BD" w:rsidSect="00E21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644A1"/>
    <w:multiLevelType w:val="hybridMultilevel"/>
    <w:tmpl w:val="19C852DC"/>
    <w:lvl w:ilvl="0" w:tplc="C2C6D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BD"/>
    <w:rsid w:val="00091D5C"/>
    <w:rsid w:val="001B1BD9"/>
    <w:rsid w:val="004A64BD"/>
    <w:rsid w:val="004B33D8"/>
    <w:rsid w:val="008165CE"/>
    <w:rsid w:val="00E218E0"/>
    <w:rsid w:val="00E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1D6F4"/>
  <w15:chartTrackingRefBased/>
  <w15:docId w15:val="{F25430B0-857F-2E40-970B-1712F75C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Koh</dc:creator>
  <cp:keywords/>
  <dc:description/>
  <cp:lastModifiedBy>Jay Koh</cp:lastModifiedBy>
  <cp:revision>3</cp:revision>
  <dcterms:created xsi:type="dcterms:W3CDTF">2018-09-23T18:11:00Z</dcterms:created>
  <dcterms:modified xsi:type="dcterms:W3CDTF">2018-09-23T18:21:00Z</dcterms:modified>
</cp:coreProperties>
</file>