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B8986" w14:textId="2831554D" w:rsidR="00B62AF8" w:rsidRDefault="00764ED4">
      <w:r>
        <w:rPr>
          <w:noProof/>
        </w:rPr>
        <w:drawing>
          <wp:inline distT="0" distB="0" distL="0" distR="0" wp14:anchorId="07A22D10" wp14:editId="240BC363">
            <wp:extent cx="5732145" cy="177292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1134F" w14:textId="08B9C7B4" w:rsidR="00CB2470" w:rsidRPr="00CB2470" w:rsidRDefault="00CB2470">
      <w:pPr>
        <w:rPr>
          <w:b/>
          <w:sz w:val="40"/>
          <w:szCs w:val="40"/>
        </w:rPr>
      </w:pPr>
      <w:r>
        <w:rPr>
          <w:b/>
          <w:sz w:val="40"/>
          <w:szCs w:val="40"/>
        </w:rPr>
        <w:t>Procedures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7"/>
        <w:gridCol w:w="6660"/>
      </w:tblGrid>
      <w:tr w:rsidR="00A77702" w14:paraId="20D8817E" w14:textId="77777777" w:rsidTr="00B343A6">
        <w:trPr>
          <w:trHeight w:val="567"/>
        </w:trPr>
        <w:tc>
          <w:tcPr>
            <w:tcW w:w="2357" w:type="dxa"/>
          </w:tcPr>
          <w:p w14:paraId="556CC1DB" w14:textId="2BE2E012" w:rsidR="00A77702" w:rsidRDefault="00414469">
            <w:r>
              <w:t>Title</w:t>
            </w:r>
          </w:p>
        </w:tc>
        <w:tc>
          <w:tcPr>
            <w:tcW w:w="6660" w:type="dxa"/>
          </w:tcPr>
          <w:p w14:paraId="4855DBA7" w14:textId="1AE13C66" w:rsidR="00A77702" w:rsidRPr="00D1306B" w:rsidRDefault="00193D2F" w:rsidP="00193D2F">
            <w:pPr>
              <w:autoSpaceDE w:val="0"/>
              <w:autoSpaceDN w:val="0"/>
              <w:adjustRightInd w:val="0"/>
              <w:rPr>
                <w:rFonts w:eastAsia="OpenSans" w:cstheme="minorHAnsi"/>
                <w:kern w:val="0"/>
              </w:rPr>
            </w:pPr>
            <w:r>
              <w:rPr>
                <w:rFonts w:eastAsia="OpenSans" w:cstheme="minorHAnsi"/>
                <w:kern w:val="0"/>
              </w:rPr>
              <w:t>R</w:t>
            </w:r>
            <w:r w:rsidR="00D1306B" w:rsidRPr="00D1306B">
              <w:rPr>
                <w:rFonts w:eastAsia="OpenSans" w:cstheme="minorHAnsi"/>
                <w:kern w:val="0"/>
              </w:rPr>
              <w:t xml:space="preserve">esources to </w:t>
            </w:r>
            <w:r w:rsidR="00462239">
              <w:rPr>
                <w:rFonts w:eastAsia="OpenSans" w:cstheme="minorHAnsi"/>
                <w:kern w:val="0"/>
              </w:rPr>
              <w:t>S</w:t>
            </w:r>
            <w:r w:rsidR="00D1306B" w:rsidRPr="00D1306B">
              <w:rPr>
                <w:rFonts w:eastAsia="OpenSans" w:cstheme="minorHAnsi"/>
                <w:kern w:val="0"/>
              </w:rPr>
              <w:t xml:space="preserve">upport </w:t>
            </w:r>
            <w:r w:rsidR="00462239">
              <w:rPr>
                <w:rFonts w:eastAsia="OpenSans" w:cstheme="minorHAnsi"/>
                <w:kern w:val="0"/>
              </w:rPr>
              <w:t>P</w:t>
            </w:r>
            <w:r w:rsidR="00D1306B" w:rsidRPr="00D1306B">
              <w:rPr>
                <w:rFonts w:eastAsia="OpenSans" w:cstheme="minorHAnsi"/>
                <w:kern w:val="0"/>
              </w:rPr>
              <w:t>rogram.</w:t>
            </w:r>
          </w:p>
        </w:tc>
      </w:tr>
      <w:tr w:rsidR="00B343A6" w14:paraId="7F001B6F" w14:textId="77777777" w:rsidTr="00B343A6">
        <w:trPr>
          <w:trHeight w:val="567"/>
        </w:trPr>
        <w:tc>
          <w:tcPr>
            <w:tcW w:w="2357" w:type="dxa"/>
          </w:tcPr>
          <w:p w14:paraId="65205915" w14:textId="6736E728" w:rsidR="00B343A6" w:rsidRDefault="00414469">
            <w:r>
              <w:t>Category</w:t>
            </w:r>
          </w:p>
        </w:tc>
        <w:tc>
          <w:tcPr>
            <w:tcW w:w="6660" w:type="dxa"/>
          </w:tcPr>
          <w:p w14:paraId="58F5A9E7" w14:textId="2611D589" w:rsidR="00414469" w:rsidRPr="00414469" w:rsidRDefault="00D1306B" w:rsidP="00414469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Learning and assessment resources</w:t>
            </w:r>
          </w:p>
          <w:p w14:paraId="25065538" w14:textId="6383F136" w:rsidR="00B343A6" w:rsidRPr="00BF3507" w:rsidRDefault="00B343A6"/>
        </w:tc>
      </w:tr>
      <w:tr w:rsidR="00A77702" w14:paraId="293629CE" w14:textId="77777777" w:rsidTr="00B343A6">
        <w:trPr>
          <w:trHeight w:val="567"/>
        </w:trPr>
        <w:tc>
          <w:tcPr>
            <w:tcW w:w="2357" w:type="dxa"/>
          </w:tcPr>
          <w:p w14:paraId="2CEC80DD" w14:textId="68015BFA" w:rsidR="00A77702" w:rsidRDefault="0008557F">
            <w:r>
              <w:t>Document ID</w:t>
            </w:r>
          </w:p>
        </w:tc>
        <w:tc>
          <w:tcPr>
            <w:tcW w:w="6660" w:type="dxa"/>
          </w:tcPr>
          <w:p w14:paraId="081859B5" w14:textId="2E74FD5D" w:rsidR="00A77702" w:rsidRDefault="00D1306B">
            <w:r>
              <w:t>2.4</w:t>
            </w:r>
          </w:p>
        </w:tc>
      </w:tr>
      <w:tr w:rsidR="00B343A6" w14:paraId="6B5554BC" w14:textId="77777777" w:rsidTr="00B343A6">
        <w:trPr>
          <w:trHeight w:val="567"/>
        </w:trPr>
        <w:tc>
          <w:tcPr>
            <w:tcW w:w="2357" w:type="dxa"/>
          </w:tcPr>
          <w:p w14:paraId="6DCB701B" w14:textId="79B9BD4F" w:rsidR="00B343A6" w:rsidRDefault="0008557F" w:rsidP="0074546B">
            <w:r>
              <w:t>Version</w:t>
            </w:r>
          </w:p>
        </w:tc>
        <w:tc>
          <w:tcPr>
            <w:tcW w:w="6660" w:type="dxa"/>
          </w:tcPr>
          <w:p w14:paraId="3098A742" w14:textId="6581361E" w:rsidR="00B343A6" w:rsidRDefault="0008557F" w:rsidP="0074546B">
            <w:r>
              <w:t>1.0</w:t>
            </w:r>
          </w:p>
        </w:tc>
      </w:tr>
      <w:tr w:rsidR="00A77702" w14:paraId="1D0B87A2" w14:textId="77777777" w:rsidTr="00B343A6">
        <w:trPr>
          <w:trHeight w:val="567"/>
        </w:trPr>
        <w:tc>
          <w:tcPr>
            <w:tcW w:w="2357" w:type="dxa"/>
          </w:tcPr>
          <w:p w14:paraId="32F68266" w14:textId="278B225D" w:rsidR="00A77702" w:rsidRDefault="00A77702">
            <w:r>
              <w:t>Date</w:t>
            </w:r>
          </w:p>
        </w:tc>
        <w:tc>
          <w:tcPr>
            <w:tcW w:w="6660" w:type="dxa"/>
          </w:tcPr>
          <w:p w14:paraId="35F542AC" w14:textId="11E90A8A" w:rsidR="00A77702" w:rsidRDefault="009E07AA">
            <w:r w:rsidRPr="009E07AA">
              <w:rPr>
                <w:b/>
                <w:bCs/>
                <w:i/>
                <w:iCs/>
              </w:rPr>
              <w:t>10/01/25</w:t>
            </w:r>
          </w:p>
        </w:tc>
      </w:tr>
      <w:tr w:rsidR="00A77702" w14:paraId="258DB103" w14:textId="77777777" w:rsidTr="00B343A6">
        <w:trPr>
          <w:trHeight w:val="567"/>
        </w:trPr>
        <w:tc>
          <w:tcPr>
            <w:tcW w:w="2357" w:type="dxa"/>
          </w:tcPr>
          <w:p w14:paraId="1DEE8E64" w14:textId="26445948" w:rsidR="00A77702" w:rsidRDefault="00A77702">
            <w:r>
              <w:t>Purpose</w:t>
            </w:r>
          </w:p>
        </w:tc>
        <w:tc>
          <w:tcPr>
            <w:tcW w:w="6660" w:type="dxa"/>
          </w:tcPr>
          <w:p w14:paraId="51245A22" w14:textId="77777777" w:rsidR="003252AE" w:rsidRPr="00616760" w:rsidRDefault="003252AE" w:rsidP="003252AE">
            <w:pPr>
              <w:pStyle w:val="Heading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16760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Aerie SACE Curricula: A Personalized Approach</w:t>
            </w:r>
          </w:p>
          <w:p w14:paraId="7AA2A310" w14:textId="08D3716F" w:rsidR="003252AE" w:rsidRPr="003252AE" w:rsidRDefault="003252AE" w:rsidP="003252AE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252AE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At Aerie, we believe in empowering students to take ownership of their learning journey.</w:t>
            </w:r>
            <w:r w:rsidRPr="003252AE">
              <w:rPr>
                <w:rFonts w:asciiTheme="minorHAnsi" w:hAnsiTheme="minorHAnsi" w:cstheme="minorHAnsi"/>
                <w:sz w:val="22"/>
                <w:szCs w:val="22"/>
              </w:rPr>
              <w:t xml:space="preserve"> Our SACE curricula are designed to provide a flexible and supportive environment where students can explore their interests and achieve their goals.</w:t>
            </w:r>
            <w:r w:rsidR="00D05D7A">
              <w:rPr>
                <w:rFonts w:asciiTheme="minorHAnsi" w:hAnsiTheme="minorHAnsi" w:cstheme="minorHAnsi"/>
                <w:sz w:val="22"/>
                <w:szCs w:val="22"/>
              </w:rPr>
              <w:t xml:space="preserve"> We use SACE guidelines for assessment and assign progress as C (Complete at acceptable level) or NYC (Not yet complete at acceptable level)</w:t>
            </w:r>
            <w:r w:rsidR="00FE4AD3">
              <w:rPr>
                <w:rFonts w:asciiTheme="minorHAnsi" w:hAnsiTheme="minorHAnsi" w:cstheme="minorHAnsi"/>
                <w:sz w:val="22"/>
                <w:szCs w:val="22"/>
              </w:rPr>
              <w:t xml:space="preserve"> This has no intent of comparative grading. It refers to the teacher’s assessment of appropriate result for each child.</w:t>
            </w:r>
          </w:p>
          <w:p w14:paraId="4C569F69" w14:textId="2AAEBE60" w:rsidR="003252AE" w:rsidRPr="003252AE" w:rsidRDefault="003252AE" w:rsidP="003252AE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252AE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Key Features of Our Approach</w:t>
            </w:r>
            <w:r w:rsidR="00DD20E0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 xml:space="preserve"> involves access to the Internet</w:t>
            </w:r>
            <w:r w:rsidRPr="003252AE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:</w:t>
            </w:r>
          </w:p>
          <w:p w14:paraId="322E7010" w14:textId="49F47C44" w:rsidR="003252AE" w:rsidRPr="003252AE" w:rsidRDefault="003252AE" w:rsidP="003252A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cstheme="minorHAnsi"/>
              </w:rPr>
            </w:pPr>
            <w:r w:rsidRPr="003252AE">
              <w:rPr>
                <w:rStyle w:val="Strong"/>
                <w:rFonts w:cstheme="minorHAnsi"/>
              </w:rPr>
              <w:t>Student-Centered Learning:</w:t>
            </w:r>
            <w:r w:rsidRPr="003252AE">
              <w:rPr>
                <w:rFonts w:cstheme="minorHAnsi"/>
              </w:rPr>
              <w:t xml:space="preserve"> </w:t>
            </w:r>
            <w:r w:rsidR="00DE5A5A">
              <w:rPr>
                <w:rFonts w:cstheme="minorHAnsi"/>
              </w:rPr>
              <w:t xml:space="preserve">Students will </w:t>
            </w:r>
            <w:r w:rsidRPr="003252AE">
              <w:rPr>
                <w:rFonts w:cstheme="minorHAnsi"/>
              </w:rPr>
              <w:t>have the freedom to choose a curriculum</w:t>
            </w:r>
            <w:r w:rsidR="00DE5A5A">
              <w:rPr>
                <w:rFonts w:cstheme="minorHAnsi"/>
              </w:rPr>
              <w:t xml:space="preserve">, possibly from Open Access </w:t>
            </w:r>
            <w:proofErr w:type="gramStart"/>
            <w:r w:rsidR="00DE5A5A">
              <w:rPr>
                <w:rFonts w:cstheme="minorHAnsi"/>
              </w:rPr>
              <w:t xml:space="preserve">College </w:t>
            </w:r>
            <w:r w:rsidRPr="003252AE">
              <w:rPr>
                <w:rFonts w:cstheme="minorHAnsi"/>
              </w:rPr>
              <w:t xml:space="preserve"> that</w:t>
            </w:r>
            <w:proofErr w:type="gramEnd"/>
            <w:r w:rsidRPr="003252AE">
              <w:rPr>
                <w:rFonts w:cstheme="minorHAnsi"/>
              </w:rPr>
              <w:t xml:space="preserve"> aligns with your passions and aspirations.</w:t>
            </w:r>
          </w:p>
          <w:p w14:paraId="3A8DE563" w14:textId="63183F7C" w:rsidR="003252AE" w:rsidRPr="003252AE" w:rsidRDefault="003252AE" w:rsidP="003252A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cstheme="minorHAnsi"/>
              </w:rPr>
            </w:pPr>
            <w:r w:rsidRPr="003252AE">
              <w:rPr>
                <w:rStyle w:val="Strong"/>
                <w:rFonts w:cstheme="minorHAnsi"/>
              </w:rPr>
              <w:t>Personalized Support:</w:t>
            </w:r>
            <w:r w:rsidRPr="003252AE">
              <w:rPr>
                <w:rFonts w:cstheme="minorHAnsi"/>
              </w:rPr>
              <w:t xml:space="preserve"> Our experienced teachers will work closely with </w:t>
            </w:r>
            <w:r w:rsidR="00DE5A5A">
              <w:rPr>
                <w:rFonts w:cstheme="minorHAnsi"/>
              </w:rPr>
              <w:t>students</w:t>
            </w:r>
            <w:r w:rsidRPr="003252AE">
              <w:rPr>
                <w:rFonts w:cstheme="minorHAnsi"/>
              </w:rPr>
              <w:t xml:space="preserve"> to create a tailored learning plan that meets your individual needs.</w:t>
            </w:r>
          </w:p>
          <w:p w14:paraId="70A5DD0E" w14:textId="77777777" w:rsidR="003252AE" w:rsidRPr="003252AE" w:rsidRDefault="003252AE" w:rsidP="003252A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cstheme="minorHAnsi"/>
              </w:rPr>
            </w:pPr>
            <w:r w:rsidRPr="003252AE">
              <w:rPr>
                <w:rStyle w:val="Strong"/>
                <w:rFonts w:cstheme="minorHAnsi"/>
              </w:rPr>
              <w:t>Collaborative Learning:</w:t>
            </w:r>
            <w:r w:rsidRPr="003252AE">
              <w:rPr>
                <w:rFonts w:cstheme="minorHAnsi"/>
              </w:rPr>
              <w:t xml:space="preserve"> We encourage teamwork and partnership between students and teachers. Working together, we can achieve more.</w:t>
            </w:r>
          </w:p>
          <w:p w14:paraId="261E56FA" w14:textId="77777777" w:rsidR="003252AE" w:rsidRPr="003252AE" w:rsidRDefault="003252AE" w:rsidP="003252A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cstheme="minorHAnsi"/>
              </w:rPr>
            </w:pPr>
            <w:r w:rsidRPr="003252AE">
              <w:rPr>
                <w:rStyle w:val="Strong"/>
                <w:rFonts w:cstheme="minorHAnsi"/>
              </w:rPr>
              <w:t>Structured Approach:</w:t>
            </w:r>
            <w:r w:rsidRPr="003252AE">
              <w:rPr>
                <w:rFonts w:cstheme="minorHAnsi"/>
              </w:rPr>
              <w:t xml:space="preserve"> We'll provide sample learning plan formats to help you stay organized and on track.</w:t>
            </w:r>
          </w:p>
          <w:p w14:paraId="74FB7614" w14:textId="63C7D2A9" w:rsidR="003252AE" w:rsidRPr="003252AE" w:rsidRDefault="003252AE" w:rsidP="003252A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cstheme="minorHAnsi"/>
              </w:rPr>
            </w:pPr>
            <w:r w:rsidRPr="003252AE">
              <w:rPr>
                <w:rStyle w:val="Strong"/>
                <w:rFonts w:cstheme="minorHAnsi"/>
              </w:rPr>
              <w:t>Continuous Reflection:</w:t>
            </w:r>
            <w:r w:rsidRPr="003252AE">
              <w:rPr>
                <w:rFonts w:cstheme="minorHAnsi"/>
              </w:rPr>
              <w:t xml:space="preserve"> Daily reflection logs will allow </w:t>
            </w:r>
            <w:r w:rsidR="00DE5A5A">
              <w:rPr>
                <w:rFonts w:cstheme="minorHAnsi"/>
              </w:rPr>
              <w:t>students</w:t>
            </w:r>
            <w:r w:rsidRPr="003252AE">
              <w:rPr>
                <w:rFonts w:cstheme="minorHAnsi"/>
              </w:rPr>
              <w:t xml:space="preserve"> </w:t>
            </w:r>
            <w:r w:rsidRPr="003252AE">
              <w:rPr>
                <w:rFonts w:cstheme="minorHAnsi"/>
              </w:rPr>
              <w:lastRenderedPageBreak/>
              <w:t>to monitor your progress and identify areas for improvement.</w:t>
            </w:r>
          </w:p>
          <w:p w14:paraId="6DEDE57C" w14:textId="77777777" w:rsidR="003252AE" w:rsidRPr="003252AE" w:rsidRDefault="003252AE" w:rsidP="003252AE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252AE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How it Works:</w:t>
            </w:r>
          </w:p>
          <w:p w14:paraId="5A89A86D" w14:textId="47E739D4" w:rsidR="003252AE" w:rsidRPr="003252AE" w:rsidRDefault="003252AE" w:rsidP="003252A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cstheme="minorHAnsi"/>
              </w:rPr>
            </w:pPr>
            <w:r w:rsidRPr="003252AE">
              <w:rPr>
                <w:rStyle w:val="Strong"/>
                <w:rFonts w:cstheme="minorHAnsi"/>
              </w:rPr>
              <w:t>Curriculum Selection:</w:t>
            </w:r>
            <w:r w:rsidRPr="003252AE">
              <w:rPr>
                <w:rFonts w:cstheme="minorHAnsi"/>
              </w:rPr>
              <w:t xml:space="preserve"> Choose a SACE curriculum that interests </w:t>
            </w:r>
            <w:r w:rsidR="003E195E">
              <w:rPr>
                <w:rFonts w:cstheme="minorHAnsi"/>
              </w:rPr>
              <w:t>the student</w:t>
            </w:r>
          </w:p>
          <w:p w14:paraId="6E0F4A77" w14:textId="77777777" w:rsidR="003252AE" w:rsidRPr="003252AE" w:rsidRDefault="003252AE" w:rsidP="003252A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cstheme="minorHAnsi"/>
              </w:rPr>
            </w:pPr>
            <w:r w:rsidRPr="003252AE">
              <w:rPr>
                <w:rStyle w:val="Strong"/>
                <w:rFonts w:cstheme="minorHAnsi"/>
              </w:rPr>
              <w:t>Personalized Planning:</w:t>
            </w:r>
            <w:r w:rsidRPr="003252AE">
              <w:rPr>
                <w:rFonts w:cstheme="minorHAnsi"/>
              </w:rPr>
              <w:t xml:space="preserve"> Work with your teacher to develop a personalized learning plan.</w:t>
            </w:r>
          </w:p>
          <w:p w14:paraId="5BA8B482" w14:textId="77777777" w:rsidR="003252AE" w:rsidRPr="003252AE" w:rsidRDefault="003252AE" w:rsidP="003252A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cstheme="minorHAnsi"/>
              </w:rPr>
            </w:pPr>
            <w:r w:rsidRPr="003252AE">
              <w:rPr>
                <w:rStyle w:val="Strong"/>
                <w:rFonts w:cstheme="minorHAnsi"/>
              </w:rPr>
              <w:t>Learning and Reflection:</w:t>
            </w:r>
            <w:r w:rsidRPr="003252AE">
              <w:rPr>
                <w:rFonts w:cstheme="minorHAnsi"/>
              </w:rPr>
              <w:t xml:space="preserve"> Engage in your chosen curriculum and maintain a daily reflection log.</w:t>
            </w:r>
          </w:p>
          <w:p w14:paraId="7221D409" w14:textId="77777777" w:rsidR="003252AE" w:rsidRPr="003252AE" w:rsidRDefault="003252AE" w:rsidP="003252A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cstheme="minorHAnsi"/>
              </w:rPr>
            </w:pPr>
            <w:r w:rsidRPr="003252AE">
              <w:rPr>
                <w:rStyle w:val="Strong"/>
                <w:rFonts w:cstheme="minorHAnsi"/>
              </w:rPr>
              <w:t>Continuous Support:</w:t>
            </w:r>
            <w:r w:rsidRPr="003252AE">
              <w:rPr>
                <w:rFonts w:cstheme="minorHAnsi"/>
              </w:rPr>
              <w:t xml:space="preserve"> Receive ongoing guidance and support from your teacher.</w:t>
            </w:r>
          </w:p>
          <w:p w14:paraId="63D961E6" w14:textId="3E1B228E" w:rsidR="00A77702" w:rsidRPr="003252AE" w:rsidRDefault="00B203EC" w:rsidP="003252AE">
            <w:pPr>
              <w:pStyle w:val="NormalWeb"/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r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>Our program is d</w:t>
            </w:r>
            <w:r w:rsidR="003252AE">
              <w:rPr>
                <w:rStyle w:val="Strong"/>
                <w:rFonts w:asciiTheme="minorHAnsi" w:eastAsiaTheme="majorEastAsia" w:hAnsiTheme="minorHAnsi" w:cstheme="minorHAnsi"/>
                <w:sz w:val="22"/>
                <w:szCs w:val="22"/>
              </w:rPr>
              <w:t xml:space="preserve">esigned for students who need to restart their learning journey. </w:t>
            </w:r>
          </w:p>
        </w:tc>
      </w:tr>
      <w:tr w:rsidR="00A77702" w14:paraId="3627A940" w14:textId="77777777" w:rsidTr="00B343A6">
        <w:trPr>
          <w:trHeight w:val="567"/>
        </w:trPr>
        <w:tc>
          <w:tcPr>
            <w:tcW w:w="2357" w:type="dxa"/>
          </w:tcPr>
          <w:p w14:paraId="47CC8E9D" w14:textId="08FE424C" w:rsidR="00A77702" w:rsidRDefault="00A77702">
            <w:r>
              <w:lastRenderedPageBreak/>
              <w:t>Audience</w:t>
            </w:r>
          </w:p>
        </w:tc>
        <w:tc>
          <w:tcPr>
            <w:tcW w:w="6660" w:type="dxa"/>
          </w:tcPr>
          <w:p w14:paraId="0D8804AA" w14:textId="2759A041" w:rsidR="00A77702" w:rsidRDefault="00BF3507">
            <w:r>
              <w:t>Education Standards Board</w:t>
            </w:r>
          </w:p>
        </w:tc>
      </w:tr>
      <w:tr w:rsidR="00A77702" w14:paraId="7043C777" w14:textId="77777777" w:rsidTr="00B343A6">
        <w:trPr>
          <w:trHeight w:val="567"/>
        </w:trPr>
        <w:tc>
          <w:tcPr>
            <w:tcW w:w="2357" w:type="dxa"/>
          </w:tcPr>
          <w:p w14:paraId="2A94DEA2" w14:textId="4CB597FB" w:rsidR="00A77702" w:rsidRDefault="00E02DEF">
            <w:r>
              <w:t>Registration requirement</w:t>
            </w:r>
          </w:p>
        </w:tc>
        <w:tc>
          <w:tcPr>
            <w:tcW w:w="6660" w:type="dxa"/>
          </w:tcPr>
          <w:p w14:paraId="2C2DB349" w14:textId="499D66B1" w:rsidR="00A77702" w:rsidRDefault="00A77702">
            <w:r>
              <w:t xml:space="preserve">To </w:t>
            </w:r>
            <w:r w:rsidR="00520990">
              <w:t xml:space="preserve">satisfy the requirements of the </w:t>
            </w:r>
            <w:r w:rsidR="003E195E">
              <w:t>ESB</w:t>
            </w:r>
            <w:r w:rsidR="00520990">
              <w:t xml:space="preserve"> for registration as a school</w:t>
            </w:r>
          </w:p>
        </w:tc>
      </w:tr>
      <w:tr w:rsidR="00A77702" w14:paraId="532368B9" w14:textId="77777777" w:rsidTr="00B343A6">
        <w:trPr>
          <w:trHeight w:val="567"/>
        </w:trPr>
        <w:tc>
          <w:tcPr>
            <w:tcW w:w="2357" w:type="dxa"/>
          </w:tcPr>
          <w:p w14:paraId="1E5E1F2E" w14:textId="46EE2FDA" w:rsidR="00A77702" w:rsidRDefault="00A77702">
            <w:r>
              <w:t>Responsible person</w:t>
            </w:r>
          </w:p>
        </w:tc>
        <w:tc>
          <w:tcPr>
            <w:tcW w:w="6660" w:type="dxa"/>
          </w:tcPr>
          <w:p w14:paraId="1BDEF32B" w14:textId="08DB1BAD" w:rsidR="00A77702" w:rsidRDefault="00414469">
            <w:r>
              <w:t>Principal</w:t>
            </w:r>
          </w:p>
        </w:tc>
      </w:tr>
      <w:tr w:rsidR="00A77702" w14:paraId="708DA15B" w14:textId="77777777" w:rsidTr="00B343A6">
        <w:trPr>
          <w:trHeight w:val="567"/>
        </w:trPr>
        <w:tc>
          <w:tcPr>
            <w:tcW w:w="2357" w:type="dxa"/>
          </w:tcPr>
          <w:p w14:paraId="5282C6F7" w14:textId="6921705C" w:rsidR="00A77702" w:rsidRDefault="00A77702">
            <w:r>
              <w:t>Sign off by</w:t>
            </w:r>
          </w:p>
        </w:tc>
        <w:tc>
          <w:tcPr>
            <w:tcW w:w="6660" w:type="dxa"/>
          </w:tcPr>
          <w:p w14:paraId="65ED0ADD" w14:textId="77777777" w:rsidR="0096247F" w:rsidRPr="0096247F" w:rsidRDefault="0096247F" w:rsidP="0096247F">
            <w:r w:rsidRPr="0096247F">
              <w:t xml:space="preserve">Charity Board Chair, </w:t>
            </w:r>
            <w:proofErr w:type="spellStart"/>
            <w:r w:rsidRPr="0096247F">
              <w:t>Capt</w:t>
            </w:r>
            <w:proofErr w:type="spellEnd"/>
            <w:r w:rsidRPr="0096247F">
              <w:t xml:space="preserve"> Arthur Jones</w:t>
            </w:r>
          </w:p>
          <w:p w14:paraId="7E17C280" w14:textId="11E525CB" w:rsidR="00A77702" w:rsidRDefault="0096247F" w:rsidP="0096247F">
            <w:r w:rsidRPr="0096247F">
              <w:rPr>
                <w:noProof/>
              </w:rPr>
              <w:drawing>
                <wp:inline distT="0" distB="0" distL="0" distR="0" wp14:anchorId="54193402" wp14:editId="682FEEB3">
                  <wp:extent cx="1134110" cy="391795"/>
                  <wp:effectExtent l="0" t="0" r="8890" b="8255"/>
                  <wp:docPr id="908209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702" w14:paraId="4984DE63" w14:textId="77777777" w:rsidTr="00B343A6">
        <w:trPr>
          <w:trHeight w:val="567"/>
        </w:trPr>
        <w:tc>
          <w:tcPr>
            <w:tcW w:w="2357" w:type="dxa"/>
          </w:tcPr>
          <w:p w14:paraId="5C2CBD01" w14:textId="37BC323A" w:rsidR="00A77702" w:rsidRDefault="00A77702">
            <w:r>
              <w:t>Next review date</w:t>
            </w:r>
          </w:p>
        </w:tc>
        <w:tc>
          <w:tcPr>
            <w:tcW w:w="6660" w:type="dxa"/>
          </w:tcPr>
          <w:p w14:paraId="3B5BBD95" w14:textId="593AA081" w:rsidR="00A77702" w:rsidRDefault="00414469">
            <w:r>
              <w:t>Sept 2027</w:t>
            </w:r>
          </w:p>
        </w:tc>
      </w:tr>
      <w:tr w:rsidR="00A77702" w14:paraId="0F510F58" w14:textId="77777777" w:rsidTr="00B343A6">
        <w:trPr>
          <w:trHeight w:val="567"/>
        </w:trPr>
        <w:tc>
          <w:tcPr>
            <w:tcW w:w="2357" w:type="dxa"/>
          </w:tcPr>
          <w:p w14:paraId="22A23285" w14:textId="0749D1B0" w:rsidR="00A77702" w:rsidRDefault="005B1B9B">
            <w:r>
              <w:t>URL</w:t>
            </w:r>
          </w:p>
        </w:tc>
        <w:tc>
          <w:tcPr>
            <w:tcW w:w="6660" w:type="dxa"/>
          </w:tcPr>
          <w:p w14:paraId="4378E0B3" w14:textId="5432AFFE" w:rsidR="00A77702" w:rsidRDefault="00A77702"/>
        </w:tc>
      </w:tr>
    </w:tbl>
    <w:p w14:paraId="51D94E7C" w14:textId="77777777" w:rsidR="00B62AF8" w:rsidRDefault="00B62AF8"/>
    <w:p w14:paraId="18A4DBF7" w14:textId="77777777" w:rsidR="00B62AF8" w:rsidRDefault="00B62AF8"/>
    <w:sectPr w:rsidR="00B62AF8" w:rsidSect="000F67C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4AEDF" w14:textId="77777777" w:rsidR="001C75C1" w:rsidRDefault="001C75C1" w:rsidP="00764ED4">
      <w:pPr>
        <w:spacing w:after="0" w:line="240" w:lineRule="auto"/>
      </w:pPr>
      <w:r>
        <w:separator/>
      </w:r>
    </w:p>
  </w:endnote>
  <w:endnote w:type="continuationSeparator" w:id="0">
    <w:p w14:paraId="1E51CDB9" w14:textId="77777777" w:rsidR="001C75C1" w:rsidRDefault="001C75C1" w:rsidP="0076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BE131" w14:textId="77777777" w:rsidR="001C75C1" w:rsidRDefault="001C75C1" w:rsidP="00764ED4">
      <w:pPr>
        <w:spacing w:after="0" w:line="240" w:lineRule="auto"/>
      </w:pPr>
      <w:r>
        <w:separator/>
      </w:r>
    </w:p>
  </w:footnote>
  <w:footnote w:type="continuationSeparator" w:id="0">
    <w:p w14:paraId="1FD53DA7" w14:textId="77777777" w:rsidR="001C75C1" w:rsidRDefault="001C75C1" w:rsidP="00764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4D36"/>
    <w:multiLevelType w:val="multilevel"/>
    <w:tmpl w:val="9E9E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F68EC"/>
    <w:multiLevelType w:val="hybridMultilevel"/>
    <w:tmpl w:val="F18AE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F7191D"/>
    <w:multiLevelType w:val="multilevel"/>
    <w:tmpl w:val="4A88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CF3FD0"/>
    <w:multiLevelType w:val="multilevel"/>
    <w:tmpl w:val="A83ED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2D23D2"/>
    <w:multiLevelType w:val="hybridMultilevel"/>
    <w:tmpl w:val="E0FEF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51BE8"/>
    <w:multiLevelType w:val="hybridMultilevel"/>
    <w:tmpl w:val="C7049354"/>
    <w:lvl w:ilvl="0" w:tplc="BDB6788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067D2"/>
    <w:multiLevelType w:val="multilevel"/>
    <w:tmpl w:val="8708DEC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835609288">
    <w:abstractNumId w:val="5"/>
  </w:num>
  <w:num w:numId="2" w16cid:durableId="1350721896">
    <w:abstractNumId w:val="6"/>
  </w:num>
  <w:num w:numId="3" w16cid:durableId="459539682">
    <w:abstractNumId w:val="4"/>
  </w:num>
  <w:num w:numId="4" w16cid:durableId="1003163975">
    <w:abstractNumId w:val="1"/>
  </w:num>
  <w:num w:numId="5" w16cid:durableId="751856459">
    <w:abstractNumId w:val="0"/>
  </w:num>
  <w:num w:numId="6" w16cid:durableId="1633167829">
    <w:abstractNumId w:val="2"/>
  </w:num>
  <w:num w:numId="7" w16cid:durableId="1866479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xMTMzN7U0MjW0MLRQ0lEKTi0uzszPAykwNK4FAFHvwgstAAAA"/>
  </w:docVars>
  <w:rsids>
    <w:rsidRoot w:val="00A77702"/>
    <w:rsid w:val="0008557F"/>
    <w:rsid w:val="000F035F"/>
    <w:rsid w:val="000F67C7"/>
    <w:rsid w:val="00193D2F"/>
    <w:rsid w:val="001C75C1"/>
    <w:rsid w:val="00265303"/>
    <w:rsid w:val="00320213"/>
    <w:rsid w:val="0032276E"/>
    <w:rsid w:val="003252AE"/>
    <w:rsid w:val="003E195E"/>
    <w:rsid w:val="00414469"/>
    <w:rsid w:val="00462239"/>
    <w:rsid w:val="00520990"/>
    <w:rsid w:val="005B1B9B"/>
    <w:rsid w:val="00616760"/>
    <w:rsid w:val="00764ED4"/>
    <w:rsid w:val="00766AB6"/>
    <w:rsid w:val="008161D6"/>
    <w:rsid w:val="00836022"/>
    <w:rsid w:val="009518EF"/>
    <w:rsid w:val="0096247F"/>
    <w:rsid w:val="0099525C"/>
    <w:rsid w:val="009A392A"/>
    <w:rsid w:val="009D4E8F"/>
    <w:rsid w:val="009E07AA"/>
    <w:rsid w:val="00A21E76"/>
    <w:rsid w:val="00A77702"/>
    <w:rsid w:val="00AA2444"/>
    <w:rsid w:val="00AA4F1A"/>
    <w:rsid w:val="00B203EC"/>
    <w:rsid w:val="00B343A6"/>
    <w:rsid w:val="00B343C1"/>
    <w:rsid w:val="00B62AF8"/>
    <w:rsid w:val="00BB6C6B"/>
    <w:rsid w:val="00BF3507"/>
    <w:rsid w:val="00C147DF"/>
    <w:rsid w:val="00C21198"/>
    <w:rsid w:val="00C60978"/>
    <w:rsid w:val="00CB2470"/>
    <w:rsid w:val="00CE36CB"/>
    <w:rsid w:val="00D05D7A"/>
    <w:rsid w:val="00D1306B"/>
    <w:rsid w:val="00DD20E0"/>
    <w:rsid w:val="00DE5A5A"/>
    <w:rsid w:val="00E02DEF"/>
    <w:rsid w:val="00EB1914"/>
    <w:rsid w:val="00FA1B63"/>
    <w:rsid w:val="00FE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FA6B"/>
  <w15:docId w15:val="{83E008D1-3765-4A94-A960-19259D2E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70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70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70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7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70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70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70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7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7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7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7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7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7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7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7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70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70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70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702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A77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ED4"/>
  </w:style>
  <w:style w:type="paragraph" w:styleId="Footer">
    <w:name w:val="footer"/>
    <w:basedOn w:val="Normal"/>
    <w:link w:val="Foot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ED4"/>
  </w:style>
  <w:style w:type="paragraph" w:styleId="BalloonText">
    <w:name w:val="Balloon Text"/>
    <w:basedOn w:val="Normal"/>
    <w:link w:val="BalloonTextChar"/>
    <w:uiPriority w:val="99"/>
    <w:semiHidden/>
    <w:unhideWhenUsed/>
    <w:rsid w:val="0076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25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252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5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Jones</dc:creator>
  <cp:lastModifiedBy>Bouc</cp:lastModifiedBy>
  <cp:revision>2</cp:revision>
  <dcterms:created xsi:type="dcterms:W3CDTF">2025-01-14T02:08:00Z</dcterms:created>
  <dcterms:modified xsi:type="dcterms:W3CDTF">2025-01-14T02:08:00Z</dcterms:modified>
</cp:coreProperties>
</file>