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B8986" w14:textId="2831554D" w:rsidR="00B62AF8" w:rsidRDefault="00764ED4">
      <w:r>
        <w:rPr>
          <w:noProof/>
        </w:rPr>
        <w:drawing>
          <wp:inline distT="0" distB="0" distL="0" distR="0" wp14:anchorId="07A22D10" wp14:editId="240BC363">
            <wp:extent cx="5732145" cy="177292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8">
                      <a:extLst>
                        <a:ext uri="{28A0092B-C50C-407E-A947-70E740481C1C}">
                          <a14:useLocalDpi xmlns:a14="http://schemas.microsoft.com/office/drawing/2010/main" val="0"/>
                        </a:ext>
                      </a:extLst>
                    </a:blip>
                    <a:stretch>
                      <a:fillRect/>
                    </a:stretch>
                  </pic:blipFill>
                  <pic:spPr>
                    <a:xfrm>
                      <a:off x="0" y="0"/>
                      <a:ext cx="5732145" cy="1772920"/>
                    </a:xfrm>
                    <a:prstGeom prst="rect">
                      <a:avLst/>
                    </a:prstGeom>
                  </pic:spPr>
                </pic:pic>
              </a:graphicData>
            </a:graphic>
          </wp:inline>
        </w:drawing>
      </w:r>
    </w:p>
    <w:p w14:paraId="5FCF0A25" w14:textId="22F6B1E5" w:rsidR="00C06B48" w:rsidRPr="00C06B48" w:rsidRDefault="00C06B48">
      <w:pPr>
        <w:rPr>
          <w:b/>
          <w:sz w:val="40"/>
          <w:szCs w:val="40"/>
        </w:rPr>
      </w:pPr>
      <w:r>
        <w:rPr>
          <w:b/>
          <w:sz w:val="40"/>
          <w:szCs w:val="40"/>
        </w:rPr>
        <w:t>Policies</w:t>
      </w:r>
    </w:p>
    <w:tbl>
      <w:tblPr>
        <w:tblStyle w:val="TableGrid"/>
        <w:tblW w:w="0" w:type="auto"/>
        <w:tblLook w:val="04A0" w:firstRow="1" w:lastRow="0" w:firstColumn="1" w:lastColumn="0" w:noHBand="0" w:noVBand="1"/>
      </w:tblPr>
      <w:tblGrid>
        <w:gridCol w:w="2093"/>
        <w:gridCol w:w="6924"/>
      </w:tblGrid>
      <w:tr w:rsidR="00A77702" w14:paraId="20D8817E" w14:textId="77777777" w:rsidTr="0096276C">
        <w:trPr>
          <w:trHeight w:val="567"/>
        </w:trPr>
        <w:tc>
          <w:tcPr>
            <w:tcW w:w="2093" w:type="dxa"/>
          </w:tcPr>
          <w:p w14:paraId="556CC1DB" w14:textId="2BE2E012" w:rsidR="00A77702" w:rsidRDefault="00414469">
            <w:r>
              <w:t>Title</w:t>
            </w:r>
          </w:p>
        </w:tc>
        <w:tc>
          <w:tcPr>
            <w:tcW w:w="6924" w:type="dxa"/>
          </w:tcPr>
          <w:p w14:paraId="4855DBA7" w14:textId="576356F8" w:rsidR="00A77702" w:rsidRPr="00E2206A" w:rsidRDefault="008D3E9C" w:rsidP="002A13A7">
            <w:pPr>
              <w:autoSpaceDE w:val="0"/>
              <w:autoSpaceDN w:val="0"/>
              <w:adjustRightInd w:val="0"/>
              <w:rPr>
                <w:rFonts w:ascii="Calibri" w:hAnsi="Calibri" w:cs="Calibri"/>
                <w:kern w:val="0"/>
              </w:rPr>
            </w:pPr>
            <w:r>
              <w:rPr>
                <w:rFonts w:ascii="Calibri" w:hAnsi="Calibri" w:cs="Calibri"/>
                <w:kern w:val="0"/>
              </w:rPr>
              <w:t>Competent Management</w:t>
            </w:r>
            <w:r w:rsidR="006703A6">
              <w:rPr>
                <w:rFonts w:ascii="Calibri" w:hAnsi="Calibri" w:cs="Calibri"/>
                <w:kern w:val="0"/>
              </w:rPr>
              <w:t xml:space="preserve"> </w:t>
            </w:r>
          </w:p>
        </w:tc>
      </w:tr>
      <w:tr w:rsidR="00B343A6" w14:paraId="7F001B6F" w14:textId="77777777" w:rsidTr="0096276C">
        <w:trPr>
          <w:trHeight w:val="567"/>
        </w:trPr>
        <w:tc>
          <w:tcPr>
            <w:tcW w:w="2093" w:type="dxa"/>
          </w:tcPr>
          <w:p w14:paraId="65205915" w14:textId="6736E728" w:rsidR="00B343A6" w:rsidRDefault="00414469">
            <w:r>
              <w:t>Category</w:t>
            </w:r>
          </w:p>
        </w:tc>
        <w:tc>
          <w:tcPr>
            <w:tcW w:w="6924" w:type="dxa"/>
          </w:tcPr>
          <w:p w14:paraId="58F5A9E7" w14:textId="5C7FA2BE" w:rsidR="00414469" w:rsidRPr="00414469" w:rsidRDefault="00414469" w:rsidP="00414469">
            <w:pPr>
              <w:autoSpaceDE w:val="0"/>
              <w:autoSpaceDN w:val="0"/>
              <w:adjustRightInd w:val="0"/>
              <w:rPr>
                <w:rFonts w:cstheme="minorHAnsi"/>
                <w:kern w:val="0"/>
              </w:rPr>
            </w:pPr>
            <w:r w:rsidRPr="00414469">
              <w:rPr>
                <w:rFonts w:cstheme="minorHAnsi"/>
                <w:kern w:val="0"/>
              </w:rPr>
              <w:t xml:space="preserve">School Governance </w:t>
            </w:r>
          </w:p>
          <w:p w14:paraId="25065538" w14:textId="6383F136" w:rsidR="00B343A6" w:rsidRPr="00BF3507" w:rsidRDefault="00B343A6"/>
        </w:tc>
      </w:tr>
      <w:tr w:rsidR="00A77702" w14:paraId="293629CE" w14:textId="77777777" w:rsidTr="0096276C">
        <w:trPr>
          <w:trHeight w:val="567"/>
        </w:trPr>
        <w:tc>
          <w:tcPr>
            <w:tcW w:w="2093" w:type="dxa"/>
          </w:tcPr>
          <w:p w14:paraId="2CEC80DD" w14:textId="68015BFA" w:rsidR="00A77702" w:rsidRDefault="0008557F">
            <w:r>
              <w:t>Document ID</w:t>
            </w:r>
          </w:p>
        </w:tc>
        <w:tc>
          <w:tcPr>
            <w:tcW w:w="6924" w:type="dxa"/>
          </w:tcPr>
          <w:p w14:paraId="081859B5" w14:textId="6DC599E4" w:rsidR="00A77702" w:rsidRDefault="001C180D">
            <w:r>
              <w:t>1.4</w:t>
            </w:r>
          </w:p>
        </w:tc>
      </w:tr>
      <w:tr w:rsidR="00B343A6" w14:paraId="6B5554BC" w14:textId="77777777" w:rsidTr="0096276C">
        <w:trPr>
          <w:trHeight w:val="567"/>
        </w:trPr>
        <w:tc>
          <w:tcPr>
            <w:tcW w:w="2093" w:type="dxa"/>
          </w:tcPr>
          <w:p w14:paraId="6DCB701B" w14:textId="79B9BD4F" w:rsidR="00B343A6" w:rsidRDefault="0008557F" w:rsidP="0074546B">
            <w:r>
              <w:t>Version</w:t>
            </w:r>
          </w:p>
        </w:tc>
        <w:tc>
          <w:tcPr>
            <w:tcW w:w="6924" w:type="dxa"/>
          </w:tcPr>
          <w:p w14:paraId="3098A742" w14:textId="6581361E" w:rsidR="00B343A6" w:rsidRDefault="0008557F" w:rsidP="0074546B">
            <w:r>
              <w:t>1.0</w:t>
            </w:r>
          </w:p>
        </w:tc>
      </w:tr>
      <w:tr w:rsidR="00A77702" w14:paraId="1D0B87A2" w14:textId="77777777" w:rsidTr="0096276C">
        <w:trPr>
          <w:trHeight w:val="567"/>
        </w:trPr>
        <w:tc>
          <w:tcPr>
            <w:tcW w:w="2093" w:type="dxa"/>
          </w:tcPr>
          <w:p w14:paraId="32F68266" w14:textId="278B225D" w:rsidR="00A77702" w:rsidRDefault="00A77702">
            <w:r>
              <w:t>Date</w:t>
            </w:r>
          </w:p>
        </w:tc>
        <w:tc>
          <w:tcPr>
            <w:tcW w:w="6924" w:type="dxa"/>
          </w:tcPr>
          <w:p w14:paraId="35F542AC" w14:textId="41D409DE" w:rsidR="00A77702" w:rsidRDefault="008C3F33" w:rsidP="002A73AC">
            <w:r>
              <w:rPr>
                <w:kern w:val="0"/>
                <w14:ligatures w14:val="none"/>
              </w:rPr>
              <w:t>10/1/25</w:t>
            </w:r>
          </w:p>
        </w:tc>
      </w:tr>
      <w:tr w:rsidR="00A77702" w14:paraId="258DB103" w14:textId="77777777" w:rsidTr="0096276C">
        <w:trPr>
          <w:trHeight w:val="567"/>
        </w:trPr>
        <w:tc>
          <w:tcPr>
            <w:tcW w:w="2093" w:type="dxa"/>
          </w:tcPr>
          <w:p w14:paraId="1DEE8E64" w14:textId="26445948" w:rsidR="00A77702" w:rsidRDefault="00A77702">
            <w:r>
              <w:t>Purpose</w:t>
            </w:r>
          </w:p>
        </w:tc>
        <w:tc>
          <w:tcPr>
            <w:tcW w:w="6924" w:type="dxa"/>
          </w:tcPr>
          <w:p w14:paraId="7E151A70" w14:textId="21506BA0" w:rsidR="001D0747" w:rsidRDefault="008D3E9C" w:rsidP="00EE6AF8">
            <w:pPr>
              <w:autoSpaceDE w:val="0"/>
              <w:autoSpaceDN w:val="0"/>
              <w:adjustRightInd w:val="0"/>
              <w:rPr>
                <w:rFonts w:cstheme="minorHAnsi"/>
                <w:bCs/>
                <w:kern w:val="0"/>
              </w:rPr>
            </w:pPr>
            <w:r>
              <w:rPr>
                <w:rFonts w:cstheme="minorHAnsi"/>
                <w:bCs/>
                <w:kern w:val="0"/>
              </w:rPr>
              <w:t>Managing a residential Senior High school requires a board consisting of experienced educators, youth residence manage</w:t>
            </w:r>
            <w:r w:rsidR="00EE6AF8">
              <w:rPr>
                <w:rFonts w:cstheme="minorHAnsi"/>
                <w:bCs/>
                <w:kern w:val="0"/>
              </w:rPr>
              <w:t>r</w:t>
            </w:r>
            <w:r>
              <w:rPr>
                <w:rFonts w:cstheme="minorHAnsi"/>
                <w:bCs/>
                <w:kern w:val="0"/>
              </w:rPr>
              <w:t xml:space="preserve"> and the provision of vocational training</w:t>
            </w:r>
            <w:r w:rsidR="00061B59">
              <w:rPr>
                <w:rFonts w:cstheme="minorHAnsi"/>
                <w:bCs/>
                <w:kern w:val="0"/>
              </w:rPr>
              <w:t xml:space="preserve"> in hospitality skills</w:t>
            </w:r>
            <w:r>
              <w:rPr>
                <w:rFonts w:cstheme="minorHAnsi"/>
                <w:bCs/>
                <w:kern w:val="0"/>
              </w:rPr>
              <w:t>.</w:t>
            </w:r>
          </w:p>
          <w:p w14:paraId="63D961E6" w14:textId="6F53E3C0" w:rsidR="00B93965" w:rsidRPr="00200359" w:rsidRDefault="00B93965" w:rsidP="00EE6AF8">
            <w:pPr>
              <w:autoSpaceDE w:val="0"/>
              <w:autoSpaceDN w:val="0"/>
              <w:adjustRightInd w:val="0"/>
              <w:rPr>
                <w:rFonts w:cstheme="minorHAnsi"/>
                <w:bCs/>
                <w:kern w:val="0"/>
              </w:rPr>
            </w:pPr>
          </w:p>
        </w:tc>
      </w:tr>
      <w:tr w:rsidR="008D3E9C" w14:paraId="41B059B5" w14:textId="77777777" w:rsidTr="0096276C">
        <w:trPr>
          <w:trHeight w:val="567"/>
        </w:trPr>
        <w:tc>
          <w:tcPr>
            <w:tcW w:w="2093" w:type="dxa"/>
          </w:tcPr>
          <w:p w14:paraId="794C10E2" w14:textId="1586A04D" w:rsidR="008D3E9C" w:rsidRDefault="0096276C" w:rsidP="0096276C">
            <w:pPr>
              <w:autoSpaceDE w:val="0"/>
              <w:autoSpaceDN w:val="0"/>
              <w:adjustRightInd w:val="0"/>
              <w:jc w:val="both"/>
            </w:pPr>
            <w:r>
              <w:t>Complies with Law</w:t>
            </w:r>
          </w:p>
        </w:tc>
        <w:tc>
          <w:tcPr>
            <w:tcW w:w="6924" w:type="dxa"/>
          </w:tcPr>
          <w:p w14:paraId="12B47DEF" w14:textId="7727A931" w:rsidR="00C36229" w:rsidRPr="00C36229" w:rsidRDefault="0096276C" w:rsidP="008A2729">
            <w:pPr>
              <w:rPr>
                <w:b/>
              </w:rPr>
            </w:pPr>
            <w:r>
              <w:rPr>
                <w:b/>
              </w:rPr>
              <w:t>Aerie College</w:t>
            </w:r>
            <w:r w:rsidR="00C36229" w:rsidRPr="00C36229">
              <w:rPr>
                <w:b/>
              </w:rPr>
              <w:t xml:space="preserve"> fulfils all relevant State and Federal law.</w:t>
            </w:r>
          </w:p>
          <w:p w14:paraId="62E4AA84" w14:textId="1CB970FC" w:rsidR="008A2729" w:rsidRPr="00C36229" w:rsidRDefault="008A2729" w:rsidP="008A2729">
            <w:r>
              <w:t xml:space="preserve">The Board members, Principal and Deputy Principal, have retained teacher registration and have many years of experience in the management of schools, and RTO’s both State Government and Independent schools, including, management of a large outdoor adventure school camp business. They will bring the RTO scope into the VETIS part of the Aerie Curriculum. </w:t>
            </w:r>
          </w:p>
          <w:p w14:paraId="0AA444EF" w14:textId="77777777" w:rsidR="008D3E9C" w:rsidRDefault="008A2729" w:rsidP="00C36229">
            <w:r>
              <w:t>Board members with teacher registration will retain active engagement as the Wise Elder Teacher support role as the school enrolment grows</w:t>
            </w:r>
            <w:r w:rsidR="00C36229">
              <w:t xml:space="preserve"> with younger teaching staff</w:t>
            </w:r>
            <w:r>
              <w:t>.</w:t>
            </w:r>
          </w:p>
          <w:p w14:paraId="76309AD2" w14:textId="5F064C65" w:rsidR="00B93965" w:rsidRPr="00C36229" w:rsidRDefault="00B93965" w:rsidP="00C36229">
            <w:pPr>
              <w:rPr>
                <w:b/>
              </w:rPr>
            </w:pPr>
          </w:p>
        </w:tc>
      </w:tr>
      <w:tr w:rsidR="008A2729" w14:paraId="47F680F7" w14:textId="77777777" w:rsidTr="0096276C">
        <w:trPr>
          <w:trHeight w:val="567"/>
        </w:trPr>
        <w:tc>
          <w:tcPr>
            <w:tcW w:w="2093" w:type="dxa"/>
          </w:tcPr>
          <w:p w14:paraId="7DFF1DE1" w14:textId="77777777" w:rsidR="008A2729" w:rsidRDefault="0096276C" w:rsidP="0096276C">
            <w:pPr>
              <w:autoSpaceDE w:val="0"/>
              <w:autoSpaceDN w:val="0"/>
              <w:adjustRightInd w:val="0"/>
              <w:rPr>
                <w:rFonts w:cstheme="minorHAnsi"/>
                <w:bCs/>
                <w:kern w:val="0"/>
              </w:rPr>
            </w:pPr>
            <w:r>
              <w:rPr>
                <w:rFonts w:cstheme="minorHAnsi"/>
                <w:bCs/>
                <w:kern w:val="0"/>
              </w:rPr>
              <w:t>Recognised industry</w:t>
            </w:r>
          </w:p>
          <w:p w14:paraId="611F5F5F" w14:textId="518C6A86" w:rsidR="0096276C" w:rsidRPr="00D13598" w:rsidRDefault="0096276C" w:rsidP="0096276C">
            <w:pPr>
              <w:autoSpaceDE w:val="0"/>
              <w:autoSpaceDN w:val="0"/>
              <w:adjustRightInd w:val="0"/>
              <w:rPr>
                <w:rFonts w:cstheme="minorHAnsi"/>
                <w:bCs/>
                <w:kern w:val="0"/>
              </w:rPr>
            </w:pPr>
            <w:r>
              <w:rPr>
                <w:rFonts w:cstheme="minorHAnsi"/>
                <w:bCs/>
                <w:kern w:val="0"/>
              </w:rPr>
              <w:t>Accounting fimr</w:t>
            </w:r>
          </w:p>
        </w:tc>
        <w:tc>
          <w:tcPr>
            <w:tcW w:w="6924" w:type="dxa"/>
          </w:tcPr>
          <w:p w14:paraId="0FADA62C" w14:textId="24A6663B" w:rsidR="00C36229" w:rsidRPr="00C36229" w:rsidRDefault="00C36229" w:rsidP="008A2729">
            <w:pPr>
              <w:autoSpaceDE w:val="0"/>
              <w:autoSpaceDN w:val="0"/>
              <w:adjustRightInd w:val="0"/>
              <w:rPr>
                <w:rFonts w:cstheme="minorHAnsi"/>
                <w:b/>
                <w:kern w:val="0"/>
              </w:rPr>
            </w:pPr>
            <w:r w:rsidRPr="00C36229">
              <w:rPr>
                <w:rFonts w:cstheme="minorHAnsi"/>
                <w:b/>
                <w:kern w:val="0"/>
              </w:rPr>
              <w:t>Ensure financial viability and reporting</w:t>
            </w:r>
          </w:p>
          <w:p w14:paraId="34F781F9" w14:textId="3635A8BF" w:rsidR="008A2729" w:rsidRDefault="008A2729" w:rsidP="008A2729">
            <w:pPr>
              <w:autoSpaceDE w:val="0"/>
              <w:autoSpaceDN w:val="0"/>
              <w:adjustRightInd w:val="0"/>
              <w:rPr>
                <w:rFonts w:cstheme="minorHAnsi"/>
                <w:kern w:val="0"/>
              </w:rPr>
            </w:pPr>
            <w:r w:rsidRPr="008A2729">
              <w:rPr>
                <w:rFonts w:cstheme="minorHAnsi"/>
                <w:kern w:val="0"/>
              </w:rPr>
              <w:t>The Board will contract with Coles School Specialists to manage the school a</w:t>
            </w:r>
            <w:r>
              <w:rPr>
                <w:rFonts w:cstheme="minorHAnsi"/>
                <w:kern w:val="0"/>
              </w:rPr>
              <w:t>ccounti</w:t>
            </w:r>
            <w:r w:rsidRPr="008A2729">
              <w:rPr>
                <w:rFonts w:cstheme="minorHAnsi"/>
                <w:kern w:val="0"/>
              </w:rPr>
              <w:t>n</w:t>
            </w:r>
            <w:r>
              <w:rPr>
                <w:rFonts w:cstheme="minorHAnsi"/>
                <w:kern w:val="0"/>
              </w:rPr>
              <w:t>g</w:t>
            </w:r>
            <w:r w:rsidR="006F359C">
              <w:rPr>
                <w:rFonts w:cstheme="minorHAnsi"/>
                <w:kern w:val="0"/>
              </w:rPr>
              <w:t xml:space="preserve"> functions and prepare required</w:t>
            </w:r>
            <w:r w:rsidRPr="008A2729">
              <w:rPr>
                <w:rFonts w:cstheme="minorHAnsi"/>
                <w:kern w:val="0"/>
              </w:rPr>
              <w:t xml:space="preserve"> financial reporting</w:t>
            </w:r>
            <w:r w:rsidR="006F359C">
              <w:rPr>
                <w:rFonts w:cstheme="minorHAnsi"/>
                <w:kern w:val="0"/>
              </w:rPr>
              <w:t>.</w:t>
            </w:r>
          </w:p>
          <w:p w14:paraId="43978652" w14:textId="77777777" w:rsidR="00CF6B3C" w:rsidRDefault="00CF6B3C" w:rsidP="00C36229">
            <w:pPr>
              <w:autoSpaceDE w:val="0"/>
              <w:autoSpaceDN w:val="0"/>
              <w:adjustRightInd w:val="0"/>
              <w:rPr>
                <w:rFonts w:cstheme="minorHAnsi"/>
                <w:kern w:val="0"/>
              </w:rPr>
            </w:pPr>
          </w:p>
          <w:p w14:paraId="5AF53D3E" w14:textId="77777777" w:rsidR="008A2729" w:rsidRDefault="00CF6B3C" w:rsidP="00CF6B3C">
            <w:pPr>
              <w:autoSpaceDE w:val="0"/>
              <w:autoSpaceDN w:val="0"/>
              <w:adjustRightInd w:val="0"/>
              <w:rPr>
                <w:rFonts w:cstheme="minorHAnsi"/>
                <w:kern w:val="0"/>
              </w:rPr>
            </w:pPr>
            <w:r w:rsidRPr="008A2729">
              <w:rPr>
                <w:rFonts w:cstheme="minorHAnsi"/>
                <w:kern w:val="0"/>
              </w:rPr>
              <w:t xml:space="preserve">Coles School Specialists </w:t>
            </w:r>
            <w:r w:rsidR="006F359C">
              <w:rPr>
                <w:rFonts w:cstheme="minorHAnsi"/>
                <w:kern w:val="0"/>
              </w:rPr>
              <w:t>will prepare reports for board meeting and may attend on occasions.</w:t>
            </w:r>
          </w:p>
          <w:p w14:paraId="0B9AAD49" w14:textId="2708D6F3" w:rsidR="00B93965" w:rsidRPr="00C36229" w:rsidRDefault="00B93965" w:rsidP="00CF6B3C">
            <w:pPr>
              <w:autoSpaceDE w:val="0"/>
              <w:autoSpaceDN w:val="0"/>
              <w:adjustRightInd w:val="0"/>
              <w:rPr>
                <w:rFonts w:cstheme="minorHAnsi"/>
                <w:kern w:val="0"/>
              </w:rPr>
            </w:pPr>
          </w:p>
        </w:tc>
      </w:tr>
      <w:tr w:rsidR="006F359C" w14:paraId="5FA8C304" w14:textId="77777777" w:rsidTr="0096276C">
        <w:trPr>
          <w:trHeight w:val="567"/>
        </w:trPr>
        <w:tc>
          <w:tcPr>
            <w:tcW w:w="2093" w:type="dxa"/>
          </w:tcPr>
          <w:p w14:paraId="4707E27E" w14:textId="189FF82B" w:rsidR="006F359C" w:rsidRPr="00D13598" w:rsidRDefault="0096276C" w:rsidP="0096276C">
            <w:pPr>
              <w:autoSpaceDE w:val="0"/>
              <w:autoSpaceDN w:val="0"/>
              <w:adjustRightInd w:val="0"/>
              <w:rPr>
                <w:rFonts w:cstheme="minorHAnsi"/>
                <w:bCs/>
                <w:kern w:val="0"/>
              </w:rPr>
            </w:pPr>
            <w:r>
              <w:rPr>
                <w:rFonts w:cstheme="minorHAnsi"/>
                <w:bCs/>
                <w:kern w:val="0"/>
              </w:rPr>
              <w:t>World evidence of quality education approach</w:t>
            </w:r>
          </w:p>
        </w:tc>
        <w:tc>
          <w:tcPr>
            <w:tcW w:w="6924" w:type="dxa"/>
          </w:tcPr>
          <w:p w14:paraId="25F3034C" w14:textId="629C54CA" w:rsidR="00C36229" w:rsidRPr="00450623" w:rsidRDefault="00450623" w:rsidP="006F359C">
            <w:pPr>
              <w:autoSpaceDE w:val="0"/>
              <w:autoSpaceDN w:val="0"/>
              <w:adjustRightInd w:val="0"/>
              <w:rPr>
                <w:rFonts w:cstheme="minorHAnsi"/>
                <w:b/>
                <w:bCs/>
                <w:kern w:val="0"/>
              </w:rPr>
            </w:pPr>
            <w:r w:rsidRPr="00450623">
              <w:rPr>
                <w:rFonts w:cstheme="minorHAnsi"/>
                <w:b/>
                <w:kern w:val="0"/>
              </w:rPr>
              <w:t>Education</w:t>
            </w:r>
            <w:r w:rsidRPr="00450623">
              <w:rPr>
                <w:rFonts w:cstheme="minorHAnsi"/>
                <w:b/>
                <w:bCs/>
                <w:kern w:val="0"/>
              </w:rPr>
              <w:t xml:space="preserve"> philosophy and approach</w:t>
            </w:r>
          </w:p>
          <w:p w14:paraId="236CE01E" w14:textId="0E6C770F" w:rsidR="006F359C" w:rsidRDefault="00450623" w:rsidP="008A2729">
            <w:pPr>
              <w:autoSpaceDE w:val="0"/>
              <w:autoSpaceDN w:val="0"/>
              <w:adjustRightInd w:val="0"/>
              <w:rPr>
                <w:rFonts w:cstheme="minorHAnsi"/>
                <w:b/>
                <w:kern w:val="0"/>
              </w:rPr>
            </w:pPr>
            <w:r>
              <w:rPr>
                <w:rFonts w:cstheme="minorHAnsi"/>
                <w:kern w:val="0"/>
              </w:rPr>
              <w:t xml:space="preserve">The Aerie College </w:t>
            </w:r>
            <w:r w:rsidR="006F359C" w:rsidRPr="006F359C">
              <w:rPr>
                <w:rFonts w:cstheme="minorHAnsi"/>
                <w:kern w:val="0"/>
              </w:rPr>
              <w:t xml:space="preserve">approach </w:t>
            </w:r>
            <w:r w:rsidR="006F359C">
              <w:rPr>
                <w:rFonts w:cstheme="minorHAnsi"/>
                <w:kern w:val="0"/>
              </w:rPr>
              <w:t xml:space="preserve">will focus on the benefits or wilderness living experience, homeskills education and training, low cost travel and </w:t>
            </w:r>
            <w:r w:rsidR="00B93965">
              <w:rPr>
                <w:rFonts w:cstheme="minorHAnsi"/>
                <w:kern w:val="0"/>
              </w:rPr>
              <w:t xml:space="preserve">backpacker </w:t>
            </w:r>
            <w:r w:rsidR="006F359C">
              <w:rPr>
                <w:rFonts w:cstheme="minorHAnsi"/>
                <w:kern w:val="0"/>
              </w:rPr>
              <w:t xml:space="preserve">living lifestyle. It </w:t>
            </w:r>
            <w:r w:rsidR="006F359C" w:rsidRPr="006F359C">
              <w:rPr>
                <w:rFonts w:cstheme="minorHAnsi"/>
                <w:kern w:val="0"/>
              </w:rPr>
              <w:t xml:space="preserve">will ensure that this focus continues for the </w:t>
            </w:r>
            <w:r w:rsidR="006F359C" w:rsidRPr="006F359C">
              <w:rPr>
                <w:rFonts w:cstheme="minorHAnsi"/>
                <w:kern w:val="0"/>
              </w:rPr>
              <w:lastRenderedPageBreak/>
              <w:t xml:space="preserve">benefit our our students who </w:t>
            </w:r>
            <w:r w:rsidR="006F359C" w:rsidRPr="006F359C">
              <w:rPr>
                <w:rFonts w:cstheme="minorHAnsi"/>
                <w:bCs/>
                <w:kern w:val="0"/>
              </w:rPr>
              <w:t>need Special Assistance</w:t>
            </w:r>
            <w:r w:rsidR="006F359C">
              <w:rPr>
                <w:rFonts w:cstheme="minorHAnsi"/>
                <w:bCs/>
                <w:kern w:val="0"/>
              </w:rPr>
              <w:t xml:space="preserve"> </w:t>
            </w:r>
            <w:r>
              <w:rPr>
                <w:rFonts w:cstheme="minorHAnsi"/>
                <w:bCs/>
                <w:kern w:val="0"/>
              </w:rPr>
              <w:t xml:space="preserve">from </w:t>
            </w:r>
            <w:r w:rsidR="006F359C">
              <w:rPr>
                <w:rFonts w:cstheme="minorHAnsi"/>
                <w:bCs/>
                <w:kern w:val="0"/>
              </w:rPr>
              <w:t>a wide range of reasons and from many different family backgrounds</w:t>
            </w:r>
            <w:r w:rsidR="006F359C" w:rsidRPr="006F359C">
              <w:rPr>
                <w:rFonts w:cstheme="minorHAnsi"/>
                <w:b/>
                <w:kern w:val="0"/>
              </w:rPr>
              <w:t xml:space="preserve">. </w:t>
            </w:r>
          </w:p>
          <w:p w14:paraId="1488D038" w14:textId="29C5C6EB" w:rsidR="00B93965" w:rsidRPr="00B93965" w:rsidRDefault="00B93965" w:rsidP="008A2729">
            <w:pPr>
              <w:autoSpaceDE w:val="0"/>
              <w:autoSpaceDN w:val="0"/>
              <w:adjustRightInd w:val="0"/>
              <w:rPr>
                <w:rFonts w:cstheme="minorHAnsi"/>
                <w:kern w:val="0"/>
              </w:rPr>
            </w:pPr>
          </w:p>
        </w:tc>
      </w:tr>
      <w:tr w:rsidR="006F359C" w14:paraId="537A6975" w14:textId="77777777" w:rsidTr="0096276C">
        <w:trPr>
          <w:trHeight w:val="567"/>
        </w:trPr>
        <w:tc>
          <w:tcPr>
            <w:tcW w:w="2093" w:type="dxa"/>
          </w:tcPr>
          <w:p w14:paraId="4EE04C4E" w14:textId="7D37E053" w:rsidR="006F359C" w:rsidRPr="00D13598" w:rsidRDefault="0096276C" w:rsidP="0096276C">
            <w:pPr>
              <w:autoSpaceDE w:val="0"/>
              <w:autoSpaceDN w:val="0"/>
              <w:adjustRightInd w:val="0"/>
              <w:rPr>
                <w:rFonts w:cstheme="minorHAnsi"/>
                <w:bCs/>
                <w:kern w:val="0"/>
              </w:rPr>
            </w:pPr>
            <w:r>
              <w:rPr>
                <w:rFonts w:cstheme="minorHAnsi"/>
                <w:bCs/>
                <w:kern w:val="0"/>
              </w:rPr>
              <w:lastRenderedPageBreak/>
              <w:t>Complies with law</w:t>
            </w:r>
          </w:p>
        </w:tc>
        <w:tc>
          <w:tcPr>
            <w:tcW w:w="6924" w:type="dxa"/>
          </w:tcPr>
          <w:p w14:paraId="5C08596B" w14:textId="01417B00" w:rsidR="00450623" w:rsidRPr="00450623" w:rsidRDefault="00450623" w:rsidP="00450623">
            <w:pPr>
              <w:autoSpaceDE w:val="0"/>
              <w:autoSpaceDN w:val="0"/>
              <w:adjustRightInd w:val="0"/>
              <w:rPr>
                <w:rFonts w:cstheme="minorHAnsi"/>
                <w:b/>
                <w:bCs/>
                <w:kern w:val="0"/>
              </w:rPr>
            </w:pPr>
            <w:r w:rsidRPr="00450623">
              <w:rPr>
                <w:rFonts w:cstheme="minorHAnsi"/>
                <w:b/>
                <w:kern w:val="0"/>
              </w:rPr>
              <w:t>Aerie College in compliance with</w:t>
            </w:r>
            <w:r w:rsidRPr="00450623">
              <w:rPr>
                <w:rFonts w:cstheme="minorHAnsi"/>
                <w:b/>
                <w:bCs/>
                <w:kern w:val="0"/>
              </w:rPr>
              <w:t xml:space="preserve"> Commonwealth and State laws</w:t>
            </w:r>
          </w:p>
          <w:p w14:paraId="06446D91" w14:textId="77777777" w:rsidR="009E0BA9" w:rsidRDefault="008021D1" w:rsidP="008A2729">
            <w:pPr>
              <w:autoSpaceDE w:val="0"/>
              <w:autoSpaceDN w:val="0"/>
              <w:adjustRightInd w:val="0"/>
              <w:rPr>
                <w:rFonts w:cstheme="minorHAnsi"/>
                <w:kern w:val="0"/>
              </w:rPr>
            </w:pPr>
            <w:r>
              <w:rPr>
                <w:rFonts w:cstheme="minorHAnsi"/>
                <w:kern w:val="0"/>
              </w:rPr>
              <w:t>Australian youth are required to remain in schooling until their 17</w:t>
            </w:r>
            <w:r w:rsidRPr="008021D1">
              <w:rPr>
                <w:rFonts w:cstheme="minorHAnsi"/>
                <w:kern w:val="0"/>
                <w:vertAlign w:val="superscript"/>
              </w:rPr>
              <w:t>th</w:t>
            </w:r>
            <w:r>
              <w:rPr>
                <w:rFonts w:cstheme="minorHAnsi"/>
                <w:kern w:val="0"/>
              </w:rPr>
              <w:t xml:space="preserve"> Birthday, in effect the completion of the SA SACE years 11 and 12. </w:t>
            </w:r>
          </w:p>
          <w:p w14:paraId="675ABF3B" w14:textId="0A2C17CA" w:rsidR="006F359C" w:rsidRDefault="008021D1" w:rsidP="008A2729">
            <w:pPr>
              <w:autoSpaceDE w:val="0"/>
              <w:autoSpaceDN w:val="0"/>
              <w:adjustRightInd w:val="0"/>
              <w:rPr>
                <w:rFonts w:cstheme="minorHAnsi"/>
                <w:kern w:val="0"/>
              </w:rPr>
            </w:pPr>
            <w:r>
              <w:rPr>
                <w:rFonts w:cstheme="minorHAnsi"/>
                <w:kern w:val="0"/>
              </w:rPr>
              <w:t>The current State High School dropout rate prior to this age is 24%.</w:t>
            </w:r>
          </w:p>
          <w:p w14:paraId="5CB97ECC" w14:textId="783DEC18" w:rsidR="008021D1" w:rsidRDefault="008021D1" w:rsidP="008A2729">
            <w:pPr>
              <w:autoSpaceDE w:val="0"/>
              <w:autoSpaceDN w:val="0"/>
              <w:adjustRightInd w:val="0"/>
              <w:rPr>
                <w:rFonts w:cstheme="minorHAnsi"/>
                <w:kern w:val="0"/>
              </w:rPr>
            </w:pPr>
            <w:r>
              <w:rPr>
                <w:rFonts w:cstheme="minorHAnsi"/>
                <w:kern w:val="0"/>
              </w:rPr>
              <w:t xml:space="preserve">Aerie College </w:t>
            </w:r>
            <w:r w:rsidR="00450623">
              <w:rPr>
                <w:rFonts w:cstheme="minorHAnsi"/>
                <w:kern w:val="0"/>
              </w:rPr>
              <w:t xml:space="preserve">offers a residential alternative as special assistance to remain in school. Aerie will </w:t>
            </w:r>
            <w:r>
              <w:rPr>
                <w:rFonts w:cstheme="minorHAnsi"/>
                <w:kern w:val="0"/>
              </w:rPr>
              <w:t xml:space="preserve">maintain the key elements of schooling through use of the SACE </w:t>
            </w:r>
            <w:r w:rsidR="00B93965">
              <w:rPr>
                <w:rFonts w:cstheme="minorHAnsi"/>
                <w:kern w:val="0"/>
              </w:rPr>
              <w:t xml:space="preserve">and VETIS </w:t>
            </w:r>
            <w:r>
              <w:rPr>
                <w:rFonts w:cstheme="minorHAnsi"/>
                <w:kern w:val="0"/>
              </w:rPr>
              <w:t xml:space="preserve">curriculum options and the associated assessment standards. </w:t>
            </w:r>
          </w:p>
          <w:p w14:paraId="722024DB" w14:textId="77777777" w:rsidR="00B93965" w:rsidRDefault="00B93965" w:rsidP="008A2729">
            <w:pPr>
              <w:autoSpaceDE w:val="0"/>
              <w:autoSpaceDN w:val="0"/>
              <w:adjustRightInd w:val="0"/>
              <w:rPr>
                <w:rFonts w:cstheme="minorHAnsi"/>
                <w:kern w:val="0"/>
              </w:rPr>
            </w:pPr>
          </w:p>
          <w:p w14:paraId="23279EBA" w14:textId="77777777" w:rsidR="008021D1" w:rsidRDefault="008021D1" w:rsidP="008A2729">
            <w:pPr>
              <w:autoSpaceDE w:val="0"/>
              <w:autoSpaceDN w:val="0"/>
              <w:adjustRightInd w:val="0"/>
              <w:rPr>
                <w:rFonts w:cstheme="minorHAnsi"/>
                <w:kern w:val="0"/>
              </w:rPr>
            </w:pPr>
            <w:r>
              <w:rPr>
                <w:rFonts w:cstheme="minorHAnsi"/>
                <w:kern w:val="0"/>
              </w:rPr>
              <w:t xml:space="preserve">Subjects selected by students will be sourced from these curriculum documents and their completion requirements. </w:t>
            </w:r>
          </w:p>
          <w:p w14:paraId="7A975AB0" w14:textId="77777777" w:rsidR="008021D1" w:rsidRDefault="008021D1" w:rsidP="009E0BA9">
            <w:pPr>
              <w:autoSpaceDE w:val="0"/>
              <w:autoSpaceDN w:val="0"/>
              <w:adjustRightInd w:val="0"/>
              <w:rPr>
                <w:rFonts w:cstheme="minorHAnsi"/>
                <w:kern w:val="0"/>
              </w:rPr>
            </w:pPr>
            <w:r>
              <w:rPr>
                <w:rFonts w:cstheme="minorHAnsi"/>
                <w:kern w:val="0"/>
              </w:rPr>
              <w:t>Wi</w:t>
            </w:r>
            <w:r w:rsidR="00200359">
              <w:rPr>
                <w:rFonts w:cstheme="minorHAnsi"/>
                <w:kern w:val="0"/>
              </w:rPr>
              <w:t xml:space="preserve">lderness adventure learning </w:t>
            </w:r>
            <w:r w:rsidR="009E0BA9">
              <w:rPr>
                <w:rFonts w:cstheme="minorHAnsi"/>
                <w:kern w:val="0"/>
              </w:rPr>
              <w:t xml:space="preserve">leading to tourism leadership and </w:t>
            </w:r>
            <w:r w:rsidR="00200359">
              <w:rPr>
                <w:rFonts w:cstheme="minorHAnsi"/>
                <w:kern w:val="0"/>
              </w:rPr>
              <w:t>home skills will</w:t>
            </w:r>
            <w:r>
              <w:rPr>
                <w:rFonts w:cstheme="minorHAnsi"/>
                <w:kern w:val="0"/>
              </w:rPr>
              <w:t xml:space="preserve"> be the </w:t>
            </w:r>
            <w:r w:rsidR="00450623">
              <w:rPr>
                <w:rFonts w:cstheme="minorHAnsi"/>
                <w:kern w:val="0"/>
              </w:rPr>
              <w:t xml:space="preserve">dominant </w:t>
            </w:r>
            <w:r>
              <w:rPr>
                <w:rFonts w:cstheme="minorHAnsi"/>
                <w:kern w:val="0"/>
              </w:rPr>
              <w:t>teaching</w:t>
            </w:r>
            <w:r w:rsidR="00200359">
              <w:rPr>
                <w:rFonts w:cstheme="minorHAnsi"/>
                <w:kern w:val="0"/>
              </w:rPr>
              <w:t xml:space="preserve"> process.</w:t>
            </w:r>
          </w:p>
          <w:p w14:paraId="0DDC3218" w14:textId="0375613A" w:rsidR="00B93965" w:rsidRPr="008A2729" w:rsidRDefault="00B93965" w:rsidP="009E0BA9">
            <w:pPr>
              <w:autoSpaceDE w:val="0"/>
              <w:autoSpaceDN w:val="0"/>
              <w:adjustRightInd w:val="0"/>
              <w:rPr>
                <w:rFonts w:cstheme="minorHAnsi"/>
                <w:kern w:val="0"/>
              </w:rPr>
            </w:pPr>
          </w:p>
        </w:tc>
      </w:tr>
      <w:tr w:rsidR="00200359" w14:paraId="27F8983C" w14:textId="77777777" w:rsidTr="0096276C">
        <w:trPr>
          <w:trHeight w:val="567"/>
        </w:trPr>
        <w:tc>
          <w:tcPr>
            <w:tcW w:w="2093" w:type="dxa"/>
          </w:tcPr>
          <w:p w14:paraId="3904C92F" w14:textId="6229FA61" w:rsidR="00200359" w:rsidRPr="00D13598" w:rsidRDefault="0096276C" w:rsidP="0096276C">
            <w:pPr>
              <w:autoSpaceDE w:val="0"/>
              <w:autoSpaceDN w:val="0"/>
              <w:adjustRightInd w:val="0"/>
              <w:rPr>
                <w:rFonts w:cstheme="minorHAnsi"/>
                <w:bCs/>
                <w:kern w:val="0"/>
              </w:rPr>
            </w:pPr>
            <w:r>
              <w:rPr>
                <w:rFonts w:cstheme="minorHAnsi"/>
                <w:bCs/>
                <w:kern w:val="0"/>
              </w:rPr>
              <w:t>Qualified leadership</w:t>
            </w:r>
          </w:p>
        </w:tc>
        <w:tc>
          <w:tcPr>
            <w:tcW w:w="6924" w:type="dxa"/>
          </w:tcPr>
          <w:p w14:paraId="3ECBFF0F" w14:textId="3B31AC41" w:rsidR="00450623" w:rsidRPr="00450623" w:rsidRDefault="00450623" w:rsidP="00200359">
            <w:pPr>
              <w:autoSpaceDE w:val="0"/>
              <w:autoSpaceDN w:val="0"/>
              <w:adjustRightInd w:val="0"/>
              <w:rPr>
                <w:rFonts w:cstheme="minorHAnsi"/>
                <w:b/>
                <w:kern w:val="0"/>
              </w:rPr>
            </w:pPr>
            <w:r w:rsidRPr="00450623">
              <w:rPr>
                <w:rFonts w:cstheme="minorHAnsi"/>
                <w:b/>
                <w:kern w:val="0"/>
              </w:rPr>
              <w:t>Leadership staff to ensure continuing education services.</w:t>
            </w:r>
          </w:p>
          <w:p w14:paraId="1B7F0973" w14:textId="77777777" w:rsidR="00200359" w:rsidRDefault="00200359" w:rsidP="008A2729">
            <w:pPr>
              <w:autoSpaceDE w:val="0"/>
              <w:autoSpaceDN w:val="0"/>
              <w:adjustRightInd w:val="0"/>
              <w:rPr>
                <w:rFonts w:cstheme="minorHAnsi"/>
                <w:kern w:val="0"/>
              </w:rPr>
            </w:pPr>
            <w:r w:rsidRPr="00200359">
              <w:rPr>
                <w:rFonts w:cstheme="minorHAnsi"/>
                <w:kern w:val="0"/>
              </w:rPr>
              <w:t>As the enrolment expands the school wi</w:t>
            </w:r>
            <w:r w:rsidR="00450623">
              <w:rPr>
                <w:rFonts w:cstheme="minorHAnsi"/>
                <w:kern w:val="0"/>
              </w:rPr>
              <w:t xml:space="preserve">ll employ young teaching staff and the elders will </w:t>
            </w:r>
            <w:r w:rsidRPr="00200359">
              <w:rPr>
                <w:rFonts w:cstheme="minorHAnsi"/>
                <w:kern w:val="0"/>
              </w:rPr>
              <w:t>coach and mould then into the Aerie College teaching style. We expect to hold them as team leaders as the number of school campuses expand.</w:t>
            </w:r>
          </w:p>
          <w:p w14:paraId="07A6E054" w14:textId="45ECD375" w:rsidR="00B93965" w:rsidRDefault="00B93965" w:rsidP="008A2729">
            <w:pPr>
              <w:autoSpaceDE w:val="0"/>
              <w:autoSpaceDN w:val="0"/>
              <w:adjustRightInd w:val="0"/>
              <w:rPr>
                <w:rFonts w:cstheme="minorHAnsi"/>
                <w:kern w:val="0"/>
              </w:rPr>
            </w:pPr>
          </w:p>
        </w:tc>
      </w:tr>
      <w:tr w:rsidR="00200359" w14:paraId="11C61EA5" w14:textId="77777777" w:rsidTr="0096276C">
        <w:trPr>
          <w:trHeight w:val="567"/>
        </w:trPr>
        <w:tc>
          <w:tcPr>
            <w:tcW w:w="2093" w:type="dxa"/>
          </w:tcPr>
          <w:p w14:paraId="22576D5F" w14:textId="6C48E0A1" w:rsidR="00200359" w:rsidRPr="00200359" w:rsidRDefault="0096276C" w:rsidP="00200359">
            <w:pPr>
              <w:autoSpaceDE w:val="0"/>
              <w:autoSpaceDN w:val="0"/>
              <w:adjustRightInd w:val="0"/>
              <w:rPr>
                <w:rFonts w:cstheme="minorHAnsi"/>
                <w:bCs/>
                <w:kern w:val="0"/>
              </w:rPr>
            </w:pPr>
            <w:r>
              <w:rPr>
                <w:rFonts w:cstheme="minorHAnsi"/>
                <w:bCs/>
                <w:kern w:val="0"/>
              </w:rPr>
              <w:t>Fit &amp; proper persons</w:t>
            </w:r>
          </w:p>
          <w:p w14:paraId="52677047" w14:textId="77777777" w:rsidR="00200359" w:rsidRPr="00200359" w:rsidRDefault="00200359" w:rsidP="00200359">
            <w:pPr>
              <w:autoSpaceDE w:val="0"/>
              <w:autoSpaceDN w:val="0"/>
              <w:adjustRightInd w:val="0"/>
              <w:rPr>
                <w:rFonts w:cstheme="minorHAnsi"/>
                <w:bCs/>
                <w:kern w:val="0"/>
              </w:rPr>
            </w:pPr>
          </w:p>
        </w:tc>
        <w:tc>
          <w:tcPr>
            <w:tcW w:w="6924" w:type="dxa"/>
          </w:tcPr>
          <w:p w14:paraId="2FF501FE" w14:textId="5F8AB1B7" w:rsidR="00450623" w:rsidRPr="00D13598" w:rsidRDefault="00450623" w:rsidP="00D13598">
            <w:pPr>
              <w:autoSpaceDE w:val="0"/>
              <w:autoSpaceDN w:val="0"/>
              <w:adjustRightInd w:val="0"/>
              <w:rPr>
                <w:rFonts w:cstheme="minorHAnsi"/>
                <w:b/>
                <w:kern w:val="0"/>
              </w:rPr>
            </w:pPr>
            <w:r w:rsidRPr="00D13598">
              <w:rPr>
                <w:rFonts w:cstheme="minorHAnsi"/>
                <w:b/>
                <w:kern w:val="0"/>
              </w:rPr>
              <w:t>School leaders remain fit and proper</w:t>
            </w:r>
            <w:r w:rsidR="005E65E0" w:rsidRPr="00D13598">
              <w:rPr>
                <w:rFonts w:cstheme="minorHAnsi"/>
                <w:b/>
                <w:kern w:val="0"/>
              </w:rPr>
              <w:t xml:space="preserve"> persons.</w:t>
            </w:r>
          </w:p>
          <w:p w14:paraId="739A4FD3" w14:textId="77777777" w:rsidR="00200359" w:rsidRDefault="00200359" w:rsidP="00200359">
            <w:pPr>
              <w:autoSpaceDE w:val="0"/>
              <w:autoSpaceDN w:val="0"/>
              <w:adjustRightInd w:val="0"/>
              <w:rPr>
                <w:rFonts w:cstheme="minorHAnsi"/>
                <w:kern w:val="0"/>
              </w:rPr>
            </w:pPr>
            <w:r w:rsidRPr="00200359">
              <w:rPr>
                <w:rFonts w:cstheme="minorHAnsi"/>
                <w:kern w:val="0"/>
              </w:rPr>
              <w:t>When the need for replacement Board members occurs the board will select appropriate persons who agree with the general approach of the Earie College teaching model.</w:t>
            </w:r>
          </w:p>
          <w:p w14:paraId="654B3892" w14:textId="29790659" w:rsidR="00B93965" w:rsidRPr="00200359" w:rsidRDefault="00B93965" w:rsidP="00200359">
            <w:pPr>
              <w:autoSpaceDE w:val="0"/>
              <w:autoSpaceDN w:val="0"/>
              <w:adjustRightInd w:val="0"/>
              <w:rPr>
                <w:rFonts w:cstheme="minorHAnsi"/>
                <w:kern w:val="0"/>
              </w:rPr>
            </w:pPr>
          </w:p>
        </w:tc>
      </w:tr>
      <w:tr w:rsidR="00200359" w14:paraId="33504226" w14:textId="77777777" w:rsidTr="0096276C">
        <w:trPr>
          <w:trHeight w:val="567"/>
        </w:trPr>
        <w:tc>
          <w:tcPr>
            <w:tcW w:w="2093" w:type="dxa"/>
          </w:tcPr>
          <w:p w14:paraId="0E310630" w14:textId="794D96F3" w:rsidR="00200359" w:rsidRPr="00200359" w:rsidRDefault="0096276C" w:rsidP="00D13598">
            <w:pPr>
              <w:autoSpaceDE w:val="0"/>
              <w:autoSpaceDN w:val="0"/>
              <w:adjustRightInd w:val="0"/>
              <w:rPr>
                <w:rFonts w:cstheme="minorHAnsi"/>
                <w:bCs/>
                <w:kern w:val="0"/>
              </w:rPr>
            </w:pPr>
            <w:r>
              <w:rPr>
                <w:rFonts w:cstheme="minorHAnsi"/>
                <w:bCs/>
                <w:kern w:val="0"/>
              </w:rPr>
              <w:t>Prncipal responsible</w:t>
            </w:r>
            <w:bookmarkStart w:id="0" w:name="_GoBack"/>
            <w:bookmarkEnd w:id="0"/>
          </w:p>
        </w:tc>
        <w:tc>
          <w:tcPr>
            <w:tcW w:w="6924" w:type="dxa"/>
          </w:tcPr>
          <w:p w14:paraId="22F54BD1" w14:textId="071BC738" w:rsidR="00D13598" w:rsidRPr="00D13598" w:rsidRDefault="00D13598" w:rsidP="00200359">
            <w:pPr>
              <w:autoSpaceDE w:val="0"/>
              <w:autoSpaceDN w:val="0"/>
              <w:adjustRightInd w:val="0"/>
              <w:rPr>
                <w:rFonts w:cstheme="minorHAnsi"/>
                <w:b/>
                <w:kern w:val="0"/>
              </w:rPr>
            </w:pPr>
            <w:r w:rsidRPr="00D13598">
              <w:rPr>
                <w:rFonts w:cstheme="minorHAnsi"/>
                <w:b/>
                <w:bCs/>
                <w:kern w:val="0"/>
              </w:rPr>
              <w:t>Person responsible for compliance</w:t>
            </w:r>
          </w:p>
          <w:p w14:paraId="01F543B3" w14:textId="77777777" w:rsidR="00200359" w:rsidRDefault="00200359" w:rsidP="00200359">
            <w:pPr>
              <w:autoSpaceDE w:val="0"/>
              <w:autoSpaceDN w:val="0"/>
              <w:adjustRightInd w:val="0"/>
              <w:rPr>
                <w:rFonts w:cstheme="minorHAnsi"/>
                <w:kern w:val="0"/>
              </w:rPr>
            </w:pPr>
            <w:r>
              <w:rPr>
                <w:rFonts w:cstheme="minorHAnsi"/>
                <w:kern w:val="0"/>
              </w:rPr>
              <w:t>The Principal is responsible for</w:t>
            </w:r>
            <w:r w:rsidR="002A73AC">
              <w:rPr>
                <w:rFonts w:cstheme="minorHAnsi"/>
                <w:kern w:val="0"/>
              </w:rPr>
              <w:t xml:space="preserve"> maintenance of compliance on behalf of the Board.</w:t>
            </w:r>
          </w:p>
          <w:p w14:paraId="09C7067B" w14:textId="3B0FDD27" w:rsidR="00B93965" w:rsidRPr="00200359" w:rsidRDefault="00B93965" w:rsidP="00200359">
            <w:pPr>
              <w:autoSpaceDE w:val="0"/>
              <w:autoSpaceDN w:val="0"/>
              <w:adjustRightInd w:val="0"/>
              <w:rPr>
                <w:rFonts w:cstheme="minorHAnsi"/>
                <w:kern w:val="0"/>
              </w:rPr>
            </w:pPr>
          </w:p>
        </w:tc>
      </w:tr>
      <w:tr w:rsidR="00A77702" w14:paraId="3627A940" w14:textId="77777777" w:rsidTr="0096276C">
        <w:trPr>
          <w:trHeight w:val="567"/>
        </w:trPr>
        <w:tc>
          <w:tcPr>
            <w:tcW w:w="2093" w:type="dxa"/>
          </w:tcPr>
          <w:p w14:paraId="47CC8E9D" w14:textId="08FE424C" w:rsidR="00A77702" w:rsidRDefault="00A77702">
            <w:r>
              <w:t>Audience</w:t>
            </w:r>
          </w:p>
        </w:tc>
        <w:tc>
          <w:tcPr>
            <w:tcW w:w="6924" w:type="dxa"/>
          </w:tcPr>
          <w:p w14:paraId="192AF5FB" w14:textId="6D2A9194" w:rsidR="00CF6B3C" w:rsidRDefault="00B93965">
            <w:r>
              <w:t>ESB</w:t>
            </w:r>
            <w:r w:rsidR="00D13598">
              <w:t xml:space="preserve">, </w:t>
            </w:r>
          </w:p>
          <w:p w14:paraId="3AFC5A24" w14:textId="77777777" w:rsidR="00CF6B3C" w:rsidRDefault="00D13598">
            <w:r>
              <w:t xml:space="preserve">Parents of potential students, </w:t>
            </w:r>
          </w:p>
          <w:p w14:paraId="6B42D169" w14:textId="77777777" w:rsidR="00CF6B3C" w:rsidRDefault="00D13598">
            <w:r>
              <w:t xml:space="preserve">Government funding podies, </w:t>
            </w:r>
          </w:p>
          <w:p w14:paraId="3932C8AC" w14:textId="77777777" w:rsidR="00A77702" w:rsidRDefault="00D13598">
            <w:r>
              <w:t>Financial grant bodies.</w:t>
            </w:r>
          </w:p>
          <w:p w14:paraId="0D8804AA" w14:textId="7D689C02" w:rsidR="00B93965" w:rsidRDefault="00B93965"/>
        </w:tc>
      </w:tr>
      <w:tr w:rsidR="00A77702" w14:paraId="7043C777" w14:textId="77777777" w:rsidTr="0096276C">
        <w:trPr>
          <w:trHeight w:val="567"/>
        </w:trPr>
        <w:tc>
          <w:tcPr>
            <w:tcW w:w="2093" w:type="dxa"/>
          </w:tcPr>
          <w:p w14:paraId="2A94DEA2" w14:textId="4CB597FB" w:rsidR="00A77702" w:rsidRDefault="00E02DEF">
            <w:r>
              <w:t>Registration requirement</w:t>
            </w:r>
          </w:p>
        </w:tc>
        <w:tc>
          <w:tcPr>
            <w:tcW w:w="6924" w:type="dxa"/>
          </w:tcPr>
          <w:p w14:paraId="151FC8D7" w14:textId="77777777" w:rsidR="00A77702" w:rsidRDefault="00A77702" w:rsidP="00B93965">
            <w:r>
              <w:t xml:space="preserve">To </w:t>
            </w:r>
            <w:r w:rsidR="00520990">
              <w:t xml:space="preserve">satisfy the requirements of the </w:t>
            </w:r>
            <w:r w:rsidR="00B93965">
              <w:t xml:space="preserve">ESB </w:t>
            </w:r>
            <w:r w:rsidR="00520990">
              <w:t>for registration as a school</w:t>
            </w:r>
            <w:r w:rsidR="00D13598">
              <w:t xml:space="preserve"> and receive Government financial assistance</w:t>
            </w:r>
            <w:r w:rsidR="002A73AC">
              <w:t>.</w:t>
            </w:r>
          </w:p>
          <w:p w14:paraId="2C2DB349" w14:textId="17C6CE2E" w:rsidR="00B93965" w:rsidRDefault="00B93965" w:rsidP="00B93965"/>
        </w:tc>
      </w:tr>
      <w:tr w:rsidR="00A77702" w14:paraId="5AA92A0C" w14:textId="77777777" w:rsidTr="0096276C">
        <w:trPr>
          <w:trHeight w:val="567"/>
        </w:trPr>
        <w:tc>
          <w:tcPr>
            <w:tcW w:w="2093" w:type="dxa"/>
          </w:tcPr>
          <w:p w14:paraId="4A76D128" w14:textId="39EBF694" w:rsidR="00A77702" w:rsidRDefault="00EE6AF8">
            <w:r>
              <w:t xml:space="preserve">Charity </w:t>
            </w:r>
            <w:r w:rsidR="00A77702">
              <w:t>Background</w:t>
            </w:r>
          </w:p>
        </w:tc>
        <w:tc>
          <w:tcPr>
            <w:tcW w:w="6924" w:type="dxa"/>
          </w:tcPr>
          <w:p w14:paraId="10DC1DF4" w14:textId="4710E3A3" w:rsidR="00414469" w:rsidRPr="006703A6" w:rsidRDefault="002A13A7" w:rsidP="00414469">
            <w:pPr>
              <w:rPr>
                <w:bCs/>
              </w:rPr>
            </w:pPr>
            <w:r w:rsidRPr="006703A6">
              <w:rPr>
                <w:bCs/>
              </w:rPr>
              <w:t xml:space="preserve">1980 </w:t>
            </w:r>
            <w:r w:rsidR="00414469" w:rsidRPr="006703A6">
              <w:rPr>
                <w:bCs/>
              </w:rPr>
              <w:t>The charity was incorporated in South Australia on 20</w:t>
            </w:r>
            <w:r w:rsidR="00414469" w:rsidRPr="006703A6">
              <w:rPr>
                <w:bCs/>
                <w:vertAlign w:val="superscript"/>
              </w:rPr>
              <w:t>th</w:t>
            </w:r>
            <w:r w:rsidR="00414469" w:rsidRPr="006703A6">
              <w:rPr>
                <w:bCs/>
              </w:rPr>
              <w:t xml:space="preserve"> November as Encounter Coast Outdoor School Inc. to operate school camps in association with a resort property. </w:t>
            </w:r>
          </w:p>
          <w:p w14:paraId="3135E41A" w14:textId="77777777" w:rsidR="00CF6B3C" w:rsidRDefault="00CF6B3C" w:rsidP="00CE36CB">
            <w:pPr>
              <w:rPr>
                <w:bCs/>
              </w:rPr>
            </w:pPr>
          </w:p>
          <w:p w14:paraId="36AD4389" w14:textId="77777777" w:rsidR="00A77702" w:rsidRPr="006703A6" w:rsidRDefault="00414469" w:rsidP="00CE36CB">
            <w:pPr>
              <w:rPr>
                <w:bCs/>
              </w:rPr>
            </w:pPr>
            <w:r w:rsidRPr="006703A6">
              <w:rPr>
                <w:bCs/>
              </w:rPr>
              <w:t>1995 it was register</w:t>
            </w:r>
            <w:r w:rsidR="00CE36CB" w:rsidRPr="006703A6">
              <w:rPr>
                <w:bCs/>
              </w:rPr>
              <w:t>e</w:t>
            </w:r>
            <w:r w:rsidRPr="006703A6">
              <w:rPr>
                <w:bCs/>
              </w:rPr>
              <w:t>d as a Senior High school located in Grahams Castle Conference Centre, Goolwa, offering a specific senior school curric</w:t>
            </w:r>
            <w:r w:rsidR="00CE36CB" w:rsidRPr="006703A6">
              <w:rPr>
                <w:bCs/>
              </w:rPr>
              <w:t>u</w:t>
            </w:r>
            <w:r w:rsidRPr="006703A6">
              <w:rPr>
                <w:bCs/>
              </w:rPr>
              <w:t>lum related to the lower Murray and Coorong region.</w:t>
            </w:r>
          </w:p>
          <w:p w14:paraId="7B7C7828" w14:textId="77777777" w:rsidR="00CF6B3C" w:rsidRDefault="00CF6B3C" w:rsidP="00CE36CB">
            <w:pPr>
              <w:rPr>
                <w:bCs/>
              </w:rPr>
            </w:pPr>
          </w:p>
          <w:p w14:paraId="56909B8D" w14:textId="77777777" w:rsidR="00764397" w:rsidRPr="006703A6" w:rsidRDefault="00764397" w:rsidP="00CE36CB">
            <w:pPr>
              <w:rPr>
                <w:bCs/>
              </w:rPr>
            </w:pPr>
            <w:r w:rsidRPr="006703A6">
              <w:rPr>
                <w:bCs/>
              </w:rPr>
              <w:t>The charity has always remained financially viable and has no debts.</w:t>
            </w:r>
          </w:p>
          <w:p w14:paraId="711A9801" w14:textId="77777777" w:rsidR="00CF6B3C" w:rsidRDefault="00CF6B3C" w:rsidP="00764397">
            <w:pPr>
              <w:rPr>
                <w:bCs/>
              </w:rPr>
            </w:pPr>
          </w:p>
          <w:p w14:paraId="4B42BF13" w14:textId="68FB57EC" w:rsidR="00B93965" w:rsidRPr="00B93965" w:rsidRDefault="00CF6B3C" w:rsidP="00764397">
            <w:pPr>
              <w:rPr>
                <w:bCs/>
              </w:rPr>
            </w:pPr>
            <w:r>
              <w:rPr>
                <w:bCs/>
              </w:rPr>
              <w:t>The charity</w:t>
            </w:r>
            <w:r w:rsidR="00764397" w:rsidRPr="006703A6">
              <w:rPr>
                <w:bCs/>
              </w:rPr>
              <w:t xml:space="preserve"> maintains a vehicle </w:t>
            </w:r>
            <w:r w:rsidR="00EE6AF8">
              <w:rPr>
                <w:bCs/>
              </w:rPr>
              <w:t xml:space="preserve">on </w:t>
            </w:r>
            <w:r w:rsidR="00764397" w:rsidRPr="006703A6">
              <w:rPr>
                <w:bCs/>
              </w:rPr>
              <w:t>term purchase contact.</w:t>
            </w:r>
          </w:p>
        </w:tc>
      </w:tr>
      <w:tr w:rsidR="00A77702" w14:paraId="532368B9" w14:textId="77777777" w:rsidTr="0096276C">
        <w:trPr>
          <w:trHeight w:val="567"/>
        </w:trPr>
        <w:tc>
          <w:tcPr>
            <w:tcW w:w="2093" w:type="dxa"/>
          </w:tcPr>
          <w:p w14:paraId="1E5E1F2E" w14:textId="46EE2FDA" w:rsidR="00A77702" w:rsidRDefault="00A77702">
            <w:r>
              <w:lastRenderedPageBreak/>
              <w:t>Responsible person</w:t>
            </w:r>
          </w:p>
        </w:tc>
        <w:tc>
          <w:tcPr>
            <w:tcW w:w="6924" w:type="dxa"/>
          </w:tcPr>
          <w:p w14:paraId="1BDEF32B" w14:textId="08DB1BAD" w:rsidR="00A77702" w:rsidRDefault="00414469">
            <w:r>
              <w:t>Principal</w:t>
            </w:r>
          </w:p>
        </w:tc>
      </w:tr>
      <w:tr w:rsidR="00A77702" w14:paraId="708DA15B" w14:textId="77777777" w:rsidTr="0096276C">
        <w:trPr>
          <w:trHeight w:val="567"/>
        </w:trPr>
        <w:tc>
          <w:tcPr>
            <w:tcW w:w="2093" w:type="dxa"/>
          </w:tcPr>
          <w:p w14:paraId="5282C6F7" w14:textId="6921705C" w:rsidR="00A77702" w:rsidRDefault="00A77702">
            <w:r>
              <w:t>Sign off by</w:t>
            </w:r>
          </w:p>
        </w:tc>
        <w:tc>
          <w:tcPr>
            <w:tcW w:w="6924" w:type="dxa"/>
          </w:tcPr>
          <w:p w14:paraId="21313214" w14:textId="77777777" w:rsidR="00667B3E" w:rsidRDefault="00667B3E" w:rsidP="00667B3E">
            <w:r>
              <w:t>Charity Board Chair, Capt Arthur Jones</w:t>
            </w:r>
          </w:p>
          <w:p w14:paraId="7E17C280" w14:textId="0111A63D" w:rsidR="00A77702" w:rsidRDefault="00667B3E" w:rsidP="00667B3E">
            <w:r>
              <w:rPr>
                <w:noProof/>
                <w:kern w:val="0"/>
              </w:rPr>
              <w:drawing>
                <wp:inline distT="0" distB="0" distL="0" distR="0" wp14:anchorId="1B2CCFEB" wp14:editId="5661CD66">
                  <wp:extent cx="1141730" cy="391160"/>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1730" cy="391160"/>
                          </a:xfrm>
                          <a:prstGeom prst="rect">
                            <a:avLst/>
                          </a:prstGeom>
                          <a:noFill/>
                          <a:ln>
                            <a:noFill/>
                          </a:ln>
                        </pic:spPr>
                      </pic:pic>
                    </a:graphicData>
                  </a:graphic>
                </wp:inline>
              </w:drawing>
            </w:r>
          </w:p>
        </w:tc>
      </w:tr>
      <w:tr w:rsidR="00A77702" w14:paraId="4984DE63" w14:textId="77777777" w:rsidTr="0096276C">
        <w:trPr>
          <w:trHeight w:val="567"/>
        </w:trPr>
        <w:tc>
          <w:tcPr>
            <w:tcW w:w="2093" w:type="dxa"/>
          </w:tcPr>
          <w:p w14:paraId="5C2CBD01" w14:textId="37BC323A" w:rsidR="00A77702" w:rsidRDefault="00A77702">
            <w:r>
              <w:t>Next review date</w:t>
            </w:r>
          </w:p>
        </w:tc>
        <w:tc>
          <w:tcPr>
            <w:tcW w:w="6924" w:type="dxa"/>
          </w:tcPr>
          <w:p w14:paraId="3B5BBD95" w14:textId="593AA081" w:rsidR="00A77702" w:rsidRDefault="00414469">
            <w:r>
              <w:t>Sept 2027</w:t>
            </w:r>
          </w:p>
        </w:tc>
      </w:tr>
    </w:tbl>
    <w:p w14:paraId="51D94E7C" w14:textId="77777777" w:rsidR="00B62AF8" w:rsidRDefault="00B62AF8"/>
    <w:p w14:paraId="18A4DBF7" w14:textId="77777777" w:rsidR="00B62AF8" w:rsidRDefault="00B62AF8"/>
    <w:sectPr w:rsidR="00B62AF8" w:rsidSect="000F67C7">
      <w:pgSz w:w="11907" w:h="16840" w:code="9"/>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4C40F8" w15:done="0"/>
  <w15:commentEx w15:paraId="69681DC7" w15:done="0"/>
  <w15:commentEx w15:paraId="4C88055E" w15:done="0"/>
  <w15:commentEx w15:paraId="412CC5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BA639A" w16cex:dateUtc="2024-10-22T05:39:00Z"/>
  <w16cex:commentExtensible w16cex:durableId="1C089244" w16cex:dateUtc="2024-10-22T05:42:00Z"/>
  <w16cex:commentExtensible w16cex:durableId="20FA00CA" w16cex:dateUtc="2024-10-22T05:41:00Z"/>
  <w16cex:commentExtensible w16cex:durableId="508B6D80" w16cex:dateUtc="2024-10-22T0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4C40F8" w16cid:durableId="1ABA639A"/>
  <w16cid:commentId w16cid:paraId="69681DC7" w16cid:durableId="1C089244"/>
  <w16cid:commentId w16cid:paraId="4C88055E" w16cid:durableId="20FA00CA"/>
  <w16cid:commentId w16cid:paraId="412CC5BA" w16cid:durableId="508B6D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0774E" w14:textId="77777777" w:rsidR="00444053" w:rsidRDefault="00444053" w:rsidP="00764ED4">
      <w:pPr>
        <w:spacing w:after="0" w:line="240" w:lineRule="auto"/>
      </w:pPr>
      <w:r>
        <w:separator/>
      </w:r>
    </w:p>
  </w:endnote>
  <w:endnote w:type="continuationSeparator" w:id="0">
    <w:p w14:paraId="5D57A072" w14:textId="77777777" w:rsidR="00444053" w:rsidRDefault="00444053" w:rsidP="0076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67F89" w14:textId="77777777" w:rsidR="00444053" w:rsidRDefault="00444053" w:rsidP="00764ED4">
      <w:pPr>
        <w:spacing w:after="0" w:line="240" w:lineRule="auto"/>
      </w:pPr>
      <w:r>
        <w:separator/>
      </w:r>
    </w:p>
  </w:footnote>
  <w:footnote w:type="continuationSeparator" w:id="0">
    <w:p w14:paraId="43329559" w14:textId="77777777" w:rsidR="00444053" w:rsidRDefault="00444053" w:rsidP="00764E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C5F80"/>
    <w:multiLevelType w:val="hybridMultilevel"/>
    <w:tmpl w:val="C7B85B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2ABD3D9B"/>
    <w:multiLevelType w:val="hybridMultilevel"/>
    <w:tmpl w:val="2C7CF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94F2300"/>
    <w:multiLevelType w:val="hybridMultilevel"/>
    <w:tmpl w:val="D4FA2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9758F2"/>
    <w:multiLevelType w:val="hybridMultilevel"/>
    <w:tmpl w:val="2D244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D951BE8"/>
    <w:multiLevelType w:val="hybridMultilevel"/>
    <w:tmpl w:val="C7049354"/>
    <w:lvl w:ilvl="0" w:tplc="BDB678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ED067D2"/>
    <w:multiLevelType w:val="multilevel"/>
    <w:tmpl w:val="8708DEC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C ADELAIDE">
    <w15:presenceInfo w15:providerId="Windows Live" w15:userId="8a46793c02c5c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zQxMTMzN7U0MjW0MLRQ0lEKTi0uzszPAykwMqwFAIozsjstAAAA"/>
  </w:docVars>
  <w:rsids>
    <w:rsidRoot w:val="00A77702"/>
    <w:rsid w:val="00061B59"/>
    <w:rsid w:val="0008557F"/>
    <w:rsid w:val="000F035F"/>
    <w:rsid w:val="000F67C7"/>
    <w:rsid w:val="001C180D"/>
    <w:rsid w:val="001D0747"/>
    <w:rsid w:val="00200359"/>
    <w:rsid w:val="002559C2"/>
    <w:rsid w:val="002A13A7"/>
    <w:rsid w:val="002A73AC"/>
    <w:rsid w:val="0032276E"/>
    <w:rsid w:val="00414469"/>
    <w:rsid w:val="00420E8A"/>
    <w:rsid w:val="00444053"/>
    <w:rsid w:val="00450623"/>
    <w:rsid w:val="00520990"/>
    <w:rsid w:val="005B1B9B"/>
    <w:rsid w:val="005C65E3"/>
    <w:rsid w:val="005E65E0"/>
    <w:rsid w:val="00667B3E"/>
    <w:rsid w:val="006703A6"/>
    <w:rsid w:val="006F359C"/>
    <w:rsid w:val="00764397"/>
    <w:rsid w:val="00764ED4"/>
    <w:rsid w:val="00766AB6"/>
    <w:rsid w:val="008021D1"/>
    <w:rsid w:val="00836022"/>
    <w:rsid w:val="00892E00"/>
    <w:rsid w:val="008A2729"/>
    <w:rsid w:val="008C3F33"/>
    <w:rsid w:val="008D3E9C"/>
    <w:rsid w:val="0096276C"/>
    <w:rsid w:val="009D4E8F"/>
    <w:rsid w:val="009E0BA9"/>
    <w:rsid w:val="00A21E76"/>
    <w:rsid w:val="00A77702"/>
    <w:rsid w:val="00AA2444"/>
    <w:rsid w:val="00AA4F1A"/>
    <w:rsid w:val="00B343A6"/>
    <w:rsid w:val="00B343C1"/>
    <w:rsid w:val="00B62AF8"/>
    <w:rsid w:val="00B93965"/>
    <w:rsid w:val="00BB11E4"/>
    <w:rsid w:val="00BF3507"/>
    <w:rsid w:val="00C06B48"/>
    <w:rsid w:val="00C21198"/>
    <w:rsid w:val="00C36229"/>
    <w:rsid w:val="00C60978"/>
    <w:rsid w:val="00C70266"/>
    <w:rsid w:val="00C91EED"/>
    <w:rsid w:val="00CE36CB"/>
    <w:rsid w:val="00CE47CF"/>
    <w:rsid w:val="00CF6B3C"/>
    <w:rsid w:val="00D13598"/>
    <w:rsid w:val="00D73C9B"/>
    <w:rsid w:val="00DF2F2C"/>
    <w:rsid w:val="00E02DEF"/>
    <w:rsid w:val="00E2206A"/>
    <w:rsid w:val="00E82324"/>
    <w:rsid w:val="00EE6AF8"/>
    <w:rsid w:val="00EF462A"/>
    <w:rsid w:val="00FA1B63"/>
    <w:rsid w:val="00FB5D74"/>
    <w:rsid w:val="00FC6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770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7770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7770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7770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7770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77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7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7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7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70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7770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7770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7770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7770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777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7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7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702"/>
    <w:rPr>
      <w:rFonts w:eastAsiaTheme="majorEastAsia" w:cstheme="majorBidi"/>
      <w:color w:val="272727" w:themeColor="text1" w:themeTint="D8"/>
    </w:rPr>
  </w:style>
  <w:style w:type="paragraph" w:styleId="Title">
    <w:name w:val="Title"/>
    <w:basedOn w:val="Normal"/>
    <w:next w:val="Normal"/>
    <w:link w:val="TitleChar"/>
    <w:uiPriority w:val="10"/>
    <w:qFormat/>
    <w:rsid w:val="00A77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7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70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7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7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7702"/>
    <w:rPr>
      <w:i/>
      <w:iCs/>
      <w:color w:val="404040" w:themeColor="text1" w:themeTint="BF"/>
    </w:rPr>
  </w:style>
  <w:style w:type="paragraph" w:styleId="ListParagraph">
    <w:name w:val="List Paragraph"/>
    <w:basedOn w:val="Normal"/>
    <w:uiPriority w:val="34"/>
    <w:qFormat/>
    <w:rsid w:val="00A77702"/>
    <w:pPr>
      <w:ind w:left="720"/>
      <w:contextualSpacing/>
    </w:pPr>
  </w:style>
  <w:style w:type="character" w:styleId="IntenseEmphasis">
    <w:name w:val="Intense Emphasis"/>
    <w:basedOn w:val="DefaultParagraphFont"/>
    <w:uiPriority w:val="21"/>
    <w:qFormat/>
    <w:rsid w:val="00A77702"/>
    <w:rPr>
      <w:i/>
      <w:iCs/>
      <w:color w:val="365F91" w:themeColor="accent1" w:themeShade="BF"/>
    </w:rPr>
  </w:style>
  <w:style w:type="paragraph" w:styleId="IntenseQuote">
    <w:name w:val="Intense Quote"/>
    <w:basedOn w:val="Normal"/>
    <w:next w:val="Normal"/>
    <w:link w:val="IntenseQuoteChar"/>
    <w:uiPriority w:val="30"/>
    <w:qFormat/>
    <w:rsid w:val="00A7770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77702"/>
    <w:rPr>
      <w:i/>
      <w:iCs/>
      <w:color w:val="365F91" w:themeColor="accent1" w:themeShade="BF"/>
    </w:rPr>
  </w:style>
  <w:style w:type="character" w:styleId="IntenseReference">
    <w:name w:val="Intense Reference"/>
    <w:basedOn w:val="DefaultParagraphFont"/>
    <w:uiPriority w:val="32"/>
    <w:qFormat/>
    <w:rsid w:val="00A77702"/>
    <w:rPr>
      <w:b/>
      <w:bCs/>
      <w:smallCaps/>
      <w:color w:val="365F91" w:themeColor="accent1" w:themeShade="BF"/>
      <w:spacing w:val="5"/>
    </w:rPr>
  </w:style>
  <w:style w:type="table" w:styleId="TableGrid">
    <w:name w:val="Table Grid"/>
    <w:basedOn w:val="TableNormal"/>
    <w:uiPriority w:val="59"/>
    <w:rsid w:val="00A77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ED4"/>
  </w:style>
  <w:style w:type="paragraph" w:styleId="Footer">
    <w:name w:val="footer"/>
    <w:basedOn w:val="Normal"/>
    <w:link w:val="FooterChar"/>
    <w:uiPriority w:val="99"/>
    <w:unhideWhenUsed/>
    <w:rsid w:val="00764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ED4"/>
  </w:style>
  <w:style w:type="paragraph" w:styleId="BalloonText">
    <w:name w:val="Balloon Text"/>
    <w:basedOn w:val="Normal"/>
    <w:link w:val="BalloonTextChar"/>
    <w:uiPriority w:val="99"/>
    <w:semiHidden/>
    <w:unhideWhenUsed/>
    <w:rsid w:val="00764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ED4"/>
    <w:rPr>
      <w:rFonts w:ascii="Tahoma" w:hAnsi="Tahoma" w:cs="Tahoma"/>
      <w:sz w:val="16"/>
      <w:szCs w:val="16"/>
    </w:rPr>
  </w:style>
  <w:style w:type="character" w:styleId="CommentReference">
    <w:name w:val="annotation reference"/>
    <w:basedOn w:val="DefaultParagraphFont"/>
    <w:uiPriority w:val="99"/>
    <w:semiHidden/>
    <w:unhideWhenUsed/>
    <w:rsid w:val="006703A6"/>
    <w:rPr>
      <w:sz w:val="16"/>
      <w:szCs w:val="16"/>
    </w:rPr>
  </w:style>
  <w:style w:type="paragraph" w:styleId="CommentText">
    <w:name w:val="annotation text"/>
    <w:basedOn w:val="Normal"/>
    <w:link w:val="CommentTextChar"/>
    <w:uiPriority w:val="99"/>
    <w:semiHidden/>
    <w:unhideWhenUsed/>
    <w:rsid w:val="006703A6"/>
    <w:pPr>
      <w:spacing w:line="240" w:lineRule="auto"/>
    </w:pPr>
    <w:rPr>
      <w:sz w:val="20"/>
      <w:szCs w:val="20"/>
    </w:rPr>
  </w:style>
  <w:style w:type="character" w:customStyle="1" w:styleId="CommentTextChar">
    <w:name w:val="Comment Text Char"/>
    <w:basedOn w:val="DefaultParagraphFont"/>
    <w:link w:val="CommentText"/>
    <w:uiPriority w:val="99"/>
    <w:semiHidden/>
    <w:rsid w:val="006703A6"/>
    <w:rPr>
      <w:sz w:val="20"/>
      <w:szCs w:val="20"/>
    </w:rPr>
  </w:style>
  <w:style w:type="paragraph" w:styleId="CommentSubject">
    <w:name w:val="annotation subject"/>
    <w:basedOn w:val="CommentText"/>
    <w:next w:val="CommentText"/>
    <w:link w:val="CommentSubjectChar"/>
    <w:uiPriority w:val="99"/>
    <w:semiHidden/>
    <w:unhideWhenUsed/>
    <w:rsid w:val="006703A6"/>
    <w:rPr>
      <w:b/>
      <w:bCs/>
    </w:rPr>
  </w:style>
  <w:style w:type="character" w:customStyle="1" w:styleId="CommentSubjectChar">
    <w:name w:val="Comment Subject Char"/>
    <w:basedOn w:val="CommentTextChar"/>
    <w:link w:val="CommentSubject"/>
    <w:uiPriority w:val="99"/>
    <w:semiHidden/>
    <w:rsid w:val="006703A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770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7770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7770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7770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7770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77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7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7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7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70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7770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7770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7770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7770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777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7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7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702"/>
    <w:rPr>
      <w:rFonts w:eastAsiaTheme="majorEastAsia" w:cstheme="majorBidi"/>
      <w:color w:val="272727" w:themeColor="text1" w:themeTint="D8"/>
    </w:rPr>
  </w:style>
  <w:style w:type="paragraph" w:styleId="Title">
    <w:name w:val="Title"/>
    <w:basedOn w:val="Normal"/>
    <w:next w:val="Normal"/>
    <w:link w:val="TitleChar"/>
    <w:uiPriority w:val="10"/>
    <w:qFormat/>
    <w:rsid w:val="00A77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7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70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7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7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7702"/>
    <w:rPr>
      <w:i/>
      <w:iCs/>
      <w:color w:val="404040" w:themeColor="text1" w:themeTint="BF"/>
    </w:rPr>
  </w:style>
  <w:style w:type="paragraph" w:styleId="ListParagraph">
    <w:name w:val="List Paragraph"/>
    <w:basedOn w:val="Normal"/>
    <w:uiPriority w:val="34"/>
    <w:qFormat/>
    <w:rsid w:val="00A77702"/>
    <w:pPr>
      <w:ind w:left="720"/>
      <w:contextualSpacing/>
    </w:pPr>
  </w:style>
  <w:style w:type="character" w:styleId="IntenseEmphasis">
    <w:name w:val="Intense Emphasis"/>
    <w:basedOn w:val="DefaultParagraphFont"/>
    <w:uiPriority w:val="21"/>
    <w:qFormat/>
    <w:rsid w:val="00A77702"/>
    <w:rPr>
      <w:i/>
      <w:iCs/>
      <w:color w:val="365F91" w:themeColor="accent1" w:themeShade="BF"/>
    </w:rPr>
  </w:style>
  <w:style w:type="paragraph" w:styleId="IntenseQuote">
    <w:name w:val="Intense Quote"/>
    <w:basedOn w:val="Normal"/>
    <w:next w:val="Normal"/>
    <w:link w:val="IntenseQuoteChar"/>
    <w:uiPriority w:val="30"/>
    <w:qFormat/>
    <w:rsid w:val="00A7770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77702"/>
    <w:rPr>
      <w:i/>
      <w:iCs/>
      <w:color w:val="365F91" w:themeColor="accent1" w:themeShade="BF"/>
    </w:rPr>
  </w:style>
  <w:style w:type="character" w:styleId="IntenseReference">
    <w:name w:val="Intense Reference"/>
    <w:basedOn w:val="DefaultParagraphFont"/>
    <w:uiPriority w:val="32"/>
    <w:qFormat/>
    <w:rsid w:val="00A77702"/>
    <w:rPr>
      <w:b/>
      <w:bCs/>
      <w:smallCaps/>
      <w:color w:val="365F91" w:themeColor="accent1" w:themeShade="BF"/>
      <w:spacing w:val="5"/>
    </w:rPr>
  </w:style>
  <w:style w:type="table" w:styleId="TableGrid">
    <w:name w:val="Table Grid"/>
    <w:basedOn w:val="TableNormal"/>
    <w:uiPriority w:val="59"/>
    <w:rsid w:val="00A77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ED4"/>
  </w:style>
  <w:style w:type="paragraph" w:styleId="Footer">
    <w:name w:val="footer"/>
    <w:basedOn w:val="Normal"/>
    <w:link w:val="FooterChar"/>
    <w:uiPriority w:val="99"/>
    <w:unhideWhenUsed/>
    <w:rsid w:val="00764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ED4"/>
  </w:style>
  <w:style w:type="paragraph" w:styleId="BalloonText">
    <w:name w:val="Balloon Text"/>
    <w:basedOn w:val="Normal"/>
    <w:link w:val="BalloonTextChar"/>
    <w:uiPriority w:val="99"/>
    <w:semiHidden/>
    <w:unhideWhenUsed/>
    <w:rsid w:val="00764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ED4"/>
    <w:rPr>
      <w:rFonts w:ascii="Tahoma" w:hAnsi="Tahoma" w:cs="Tahoma"/>
      <w:sz w:val="16"/>
      <w:szCs w:val="16"/>
    </w:rPr>
  </w:style>
  <w:style w:type="character" w:styleId="CommentReference">
    <w:name w:val="annotation reference"/>
    <w:basedOn w:val="DefaultParagraphFont"/>
    <w:uiPriority w:val="99"/>
    <w:semiHidden/>
    <w:unhideWhenUsed/>
    <w:rsid w:val="006703A6"/>
    <w:rPr>
      <w:sz w:val="16"/>
      <w:szCs w:val="16"/>
    </w:rPr>
  </w:style>
  <w:style w:type="paragraph" w:styleId="CommentText">
    <w:name w:val="annotation text"/>
    <w:basedOn w:val="Normal"/>
    <w:link w:val="CommentTextChar"/>
    <w:uiPriority w:val="99"/>
    <w:semiHidden/>
    <w:unhideWhenUsed/>
    <w:rsid w:val="006703A6"/>
    <w:pPr>
      <w:spacing w:line="240" w:lineRule="auto"/>
    </w:pPr>
    <w:rPr>
      <w:sz w:val="20"/>
      <w:szCs w:val="20"/>
    </w:rPr>
  </w:style>
  <w:style w:type="character" w:customStyle="1" w:styleId="CommentTextChar">
    <w:name w:val="Comment Text Char"/>
    <w:basedOn w:val="DefaultParagraphFont"/>
    <w:link w:val="CommentText"/>
    <w:uiPriority w:val="99"/>
    <w:semiHidden/>
    <w:rsid w:val="006703A6"/>
    <w:rPr>
      <w:sz w:val="20"/>
      <w:szCs w:val="20"/>
    </w:rPr>
  </w:style>
  <w:style w:type="paragraph" w:styleId="CommentSubject">
    <w:name w:val="annotation subject"/>
    <w:basedOn w:val="CommentText"/>
    <w:next w:val="CommentText"/>
    <w:link w:val="CommentSubjectChar"/>
    <w:uiPriority w:val="99"/>
    <w:semiHidden/>
    <w:unhideWhenUsed/>
    <w:rsid w:val="006703A6"/>
    <w:rPr>
      <w:b/>
      <w:bCs/>
    </w:rPr>
  </w:style>
  <w:style w:type="character" w:customStyle="1" w:styleId="CommentSubjectChar">
    <w:name w:val="Comment Subject Char"/>
    <w:basedOn w:val="CommentTextChar"/>
    <w:link w:val="CommentSubject"/>
    <w:uiPriority w:val="99"/>
    <w:semiHidden/>
    <w:rsid w:val="006703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12627">
      <w:bodyDiv w:val="1"/>
      <w:marLeft w:val="0"/>
      <w:marRight w:val="0"/>
      <w:marTop w:val="0"/>
      <w:marBottom w:val="0"/>
      <w:divBdr>
        <w:top w:val="none" w:sz="0" w:space="0" w:color="auto"/>
        <w:left w:val="none" w:sz="0" w:space="0" w:color="auto"/>
        <w:bottom w:val="none" w:sz="0" w:space="0" w:color="auto"/>
        <w:right w:val="none" w:sz="0" w:space="0" w:color="auto"/>
      </w:divBdr>
    </w:div>
    <w:div w:id="1445154151">
      <w:bodyDiv w:val="1"/>
      <w:marLeft w:val="0"/>
      <w:marRight w:val="0"/>
      <w:marTop w:val="0"/>
      <w:marBottom w:val="0"/>
      <w:divBdr>
        <w:top w:val="none" w:sz="0" w:space="0" w:color="auto"/>
        <w:left w:val="none" w:sz="0" w:space="0" w:color="auto"/>
        <w:bottom w:val="none" w:sz="0" w:space="0" w:color="auto"/>
        <w:right w:val="none" w:sz="0" w:space="0" w:color="auto"/>
      </w:divBdr>
    </w:div>
    <w:div w:id="210799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Jones</dc:creator>
  <cp:lastModifiedBy>Bouc</cp:lastModifiedBy>
  <cp:revision>6</cp:revision>
  <dcterms:created xsi:type="dcterms:W3CDTF">2025-01-03T04:25:00Z</dcterms:created>
  <dcterms:modified xsi:type="dcterms:W3CDTF">2025-01-13T23:45:00Z</dcterms:modified>
</cp:coreProperties>
</file>