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Roman" w:hAnsi="Times Roman"/>
          <w:b w:val="1"/>
          <w:bCs w:val="1"/>
          <w:sz w:val="24"/>
          <w:szCs w:val="24"/>
        </w:rPr>
      </w:pPr>
      <w:r>
        <w:rPr>
          <w:rFonts w:ascii="Times Roman" w:hAnsi="Times Roman"/>
          <w:b w:val="1"/>
          <w:bCs w:val="1"/>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1666502</wp:posOffset>
            </wp:positionH>
            <wp:positionV relativeFrom="page">
              <wp:posOffset>223519</wp:posOffset>
            </wp:positionV>
            <wp:extent cx="2597896" cy="1381761"/>
            <wp:effectExtent l="0" t="0" r="0" b="0"/>
            <wp:wrapThrough wrapText="bothSides" distL="152400" distR="152400">
              <wp:wrapPolygon edited="1">
                <wp:start x="0" y="0"/>
                <wp:lineTo x="21621" y="0"/>
                <wp:lineTo x="21621" y="21614"/>
                <wp:lineTo x="0" y="21614"/>
                <wp:lineTo x="0" y="0"/>
              </wp:wrapPolygon>
            </wp:wrapThrough>
            <wp:docPr id="1073741825" name="officeArt object" descr="SSCA update_final logo 2025.png"/>
            <wp:cNvGraphicFramePr/>
            <a:graphic xmlns:a="http://schemas.openxmlformats.org/drawingml/2006/main">
              <a:graphicData uri="http://schemas.openxmlformats.org/drawingml/2006/picture">
                <pic:pic xmlns:pic="http://schemas.openxmlformats.org/drawingml/2006/picture">
                  <pic:nvPicPr>
                    <pic:cNvPr id="1073741825" name="SSCA update_final logo 2025.png" descr="SSCA update_final logo 2025.png"/>
                    <pic:cNvPicPr>
                      <a:picLocks noChangeAspect="1"/>
                    </pic:cNvPicPr>
                  </pic:nvPicPr>
                  <pic:blipFill>
                    <a:blip r:embed="rId4">
                      <a:extLst/>
                    </a:blip>
                    <a:stretch>
                      <a:fillRect/>
                    </a:stretch>
                  </pic:blipFill>
                  <pic:spPr>
                    <a:xfrm>
                      <a:off x="0" y="0"/>
                      <a:ext cx="2597896" cy="1381761"/>
                    </a:xfrm>
                    <a:prstGeom prst="rect">
                      <a:avLst/>
                    </a:prstGeom>
                    <a:ln w="12700" cap="flat">
                      <a:noFill/>
                      <a:miter lim="400000"/>
                    </a:ln>
                    <a:effectLst/>
                  </pic:spPr>
                </pic:pic>
              </a:graphicData>
            </a:graphic>
          </wp:anchor>
        </w:drawing>
      </w:r>
    </w:p>
    <w:p>
      <w:pPr>
        <w:pStyle w:val="Default"/>
        <w:suppressAutoHyphens w:val="1"/>
        <w:spacing w:before="0" w:after="240" w:line="240" w:lineRule="auto"/>
        <w:rPr>
          <w:rFonts w:ascii="Times Roman" w:hAnsi="Times Roman"/>
          <w:b w:val="1"/>
          <w:bCs w:val="1"/>
          <w:sz w:val="24"/>
          <w:szCs w:val="24"/>
        </w:rPr>
      </w:pPr>
    </w:p>
    <w:p>
      <w:pPr>
        <w:pStyle w:val="Default"/>
        <w:suppressAutoHyphens w:val="1"/>
        <w:spacing w:before="0" w:after="240" w:line="240" w:lineRule="auto"/>
        <w:rPr>
          <w:rFonts w:ascii="Times Roman" w:hAnsi="Times Roman"/>
          <w:b w:val="1"/>
          <w:bCs w:val="1"/>
          <w:sz w:val="24"/>
          <w:szCs w:val="24"/>
        </w:rPr>
      </w:pP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For Immediate Release</w:t>
      </w:r>
    </w:p>
    <w:p>
      <w:pPr>
        <w:pStyle w:val="Default"/>
        <w:suppressAutoHyphens w:val="1"/>
        <w:spacing w:before="0" w:line="240" w:lineRule="auto"/>
        <w:jc w:val="both"/>
        <w:rPr>
          <w:rFonts w:ascii="Times Roman" w:cs="Times Roman" w:hAnsi="Times Roman" w:eastAsia="Times Roman"/>
          <w:b w:val="1"/>
          <w:bCs w:val="1"/>
          <w:sz w:val="28"/>
          <w:szCs w:val="28"/>
        </w:rPr>
      </w:pPr>
      <w:r>
        <w:rPr>
          <w:rFonts w:ascii="Times Roman" w:hAnsi="Times Roman"/>
          <w:b w:val="1"/>
          <w:bCs w:val="1"/>
          <w:sz w:val="28"/>
          <w:szCs w:val="28"/>
          <w:rtl w:val="0"/>
          <w:lang w:val="en-US"/>
        </w:rPr>
        <w:t>Sedona Sister Cities Association Celebrates a Landmark Year of Global Partnerships and Cultural Exchange</w:t>
      </w:r>
    </w:p>
    <w:p>
      <w:pPr>
        <w:pStyle w:val="Default"/>
        <w:suppressAutoHyphens w:val="1"/>
        <w:spacing w:before="0" w:line="240" w:lineRule="auto"/>
        <w:jc w:val="both"/>
        <w:rPr>
          <w:rFonts w:ascii="Times Roman" w:cs="Times Roman" w:hAnsi="Times Roman" w:eastAsia="Times Roman"/>
          <w:b w:val="1"/>
          <w:bCs w:val="1"/>
          <w:sz w:val="28"/>
          <w:szCs w:val="28"/>
        </w:rPr>
      </w:pP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Pr>
        <w:tab/>
      </w:r>
      <w:r>
        <w:rPr>
          <w:rFonts w:ascii="Times Roman" w:hAnsi="Times Roman"/>
          <w:b w:val="1"/>
          <w:bCs w:val="1"/>
          <w:sz w:val="24"/>
          <w:szCs w:val="24"/>
          <w:rtl w:val="0"/>
          <w:lang w:val="it-IT"/>
        </w:rPr>
        <w:t xml:space="preserve">Sedona, Arizona </w:t>
      </w:r>
      <w:r>
        <w:rPr>
          <w:rFonts w:ascii="Times Roman" w:hAnsi="Times Roman" w:hint="default"/>
          <w:b w:val="1"/>
          <w:bCs w:val="1"/>
          <w:sz w:val="24"/>
          <w:szCs w:val="24"/>
          <w:rtl w:val="0"/>
          <w:lang w:val="en-US"/>
        </w:rPr>
        <w:t>—</w:t>
      </w:r>
      <w:r>
        <w:rPr>
          <w:rFonts w:ascii="Times Roman" w:hAnsi="Times Roman"/>
          <w:sz w:val="24"/>
          <w:szCs w:val="24"/>
          <w:rtl w:val="0"/>
          <w:lang w:val="en-US"/>
        </w:rPr>
        <w:t xml:space="preserve"> The Sedona Sister Cities Association (SSCA) is celebrating a milestone year marked by new international agreements, expanded cultural programming, and growing community engagement. In 2025, SSCA strengthened Sedona</w:t>
      </w:r>
      <w:r>
        <w:rPr>
          <w:rFonts w:ascii="Times Roman" w:hAnsi="Times Roman" w:hint="default"/>
          <w:sz w:val="24"/>
          <w:szCs w:val="24"/>
          <w:rtl w:val="1"/>
        </w:rPr>
        <w:t>’</w:t>
      </w:r>
      <w:r>
        <w:rPr>
          <w:rFonts w:ascii="Times Roman" w:hAnsi="Times Roman"/>
          <w:sz w:val="24"/>
          <w:szCs w:val="24"/>
          <w:rtl w:val="0"/>
          <w:lang w:val="en-US"/>
        </w:rPr>
        <w:t xml:space="preserve">s global presence through significant partnerships with Canmore, </w:t>
      </w:r>
      <w:r>
        <w:rPr>
          <w:rFonts w:ascii="Times Roman" w:hAnsi="Times Roman"/>
          <w:sz w:val="24"/>
          <w:szCs w:val="24"/>
          <w:rtl w:val="0"/>
          <w:lang w:val="en-US"/>
        </w:rPr>
        <w:t>Canada</w:t>
      </w:r>
      <w:r>
        <w:rPr>
          <w:rFonts w:ascii="Times Roman" w:hAnsi="Times Roman"/>
          <w:sz w:val="24"/>
          <w:szCs w:val="24"/>
          <w:rtl w:val="0"/>
          <w:lang w:val="en-US"/>
        </w:rPr>
        <w:t>, and Jas</w:t>
      </w:r>
      <w:r>
        <w:rPr>
          <w:rFonts w:ascii="Times Roman" w:hAnsi="Times Roman" w:hint="default"/>
          <w:sz w:val="24"/>
          <w:szCs w:val="24"/>
          <w:rtl w:val="0"/>
        </w:rPr>
        <w:t>ł</w:t>
      </w:r>
      <w:r>
        <w:rPr>
          <w:rFonts w:ascii="Times Roman" w:hAnsi="Times Roman"/>
          <w:sz w:val="24"/>
          <w:szCs w:val="24"/>
          <w:rtl w:val="0"/>
          <w:lang w:val="en-US"/>
        </w:rPr>
        <w:t>o, Poland, while deepening educational and cultural exchanges across both communities.</w:t>
      </w: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Pr>
        <w:tab/>
      </w:r>
      <w:r>
        <w:rPr>
          <w:rFonts w:ascii="Times Roman" w:hAnsi="Times Roman"/>
          <w:sz w:val="24"/>
          <w:szCs w:val="24"/>
          <w:rtl w:val="0"/>
          <w:lang w:val="en-US"/>
        </w:rPr>
        <w:t xml:space="preserve">A major highlight came on </w:t>
      </w:r>
      <w:r>
        <w:rPr>
          <w:rFonts w:ascii="Times Roman" w:hAnsi="Times Roman"/>
          <w:b w:val="1"/>
          <w:bCs w:val="1"/>
          <w:sz w:val="24"/>
          <w:szCs w:val="24"/>
          <w:rtl w:val="0"/>
          <w:lang w:val="en-US"/>
        </w:rPr>
        <w:t>June 28</w:t>
      </w:r>
      <w:r>
        <w:rPr>
          <w:rFonts w:ascii="Times Roman" w:hAnsi="Times Roman"/>
          <w:sz w:val="24"/>
          <w:szCs w:val="24"/>
          <w:rtl w:val="0"/>
          <w:lang w:val="en-US"/>
        </w:rPr>
        <w:t xml:space="preserve">, when Sedona formalized its first Sister City </w:t>
      </w:r>
      <w:r>
        <w:rPr>
          <w:rFonts w:ascii="Times Roman" w:hAnsi="Times Roman"/>
          <w:sz w:val="24"/>
          <w:szCs w:val="24"/>
          <w:rtl w:val="0"/>
          <w:lang w:val="en-US"/>
        </w:rPr>
        <w:t>agreement</w:t>
      </w:r>
      <w:r>
        <w:rPr>
          <w:rFonts w:ascii="Times Roman" w:hAnsi="Times Roman"/>
          <w:sz w:val="24"/>
          <w:szCs w:val="24"/>
          <w:rtl w:val="0"/>
          <w:lang w:val="en-US"/>
        </w:rPr>
        <w:t xml:space="preserve"> with </w:t>
      </w:r>
      <w:r>
        <w:rPr>
          <w:rFonts w:ascii="Times Roman" w:hAnsi="Times Roman"/>
          <w:b w:val="1"/>
          <w:bCs w:val="1"/>
          <w:sz w:val="24"/>
          <w:szCs w:val="24"/>
          <w:rtl w:val="0"/>
          <w:lang w:val="nl-NL"/>
        </w:rPr>
        <w:t>Canmore, Alberta</w:t>
      </w:r>
      <w:r>
        <w:rPr>
          <w:rFonts w:ascii="Times Roman" w:hAnsi="Times Roman"/>
          <w:sz w:val="24"/>
          <w:szCs w:val="24"/>
          <w:rtl w:val="0"/>
        </w:rPr>
        <w:t>.</w:t>
      </w:r>
      <w:r>
        <w:rPr>
          <w:rFonts w:ascii="Times Roman" w:hAnsi="Times Roman"/>
          <w:sz w:val="24"/>
          <w:szCs w:val="24"/>
          <w:rtl w:val="0"/>
          <w:lang w:val="en-US"/>
        </w:rPr>
        <w:t xml:space="preserve"> </w:t>
      </w:r>
      <w:r>
        <w:rPr>
          <w:rFonts w:ascii="Times Roman" w:hAnsi="Times Roman"/>
          <w:b w:val="1"/>
          <w:bCs w:val="1"/>
          <w:sz w:val="24"/>
          <w:szCs w:val="24"/>
          <w:rtl w:val="0"/>
          <w:lang w:val="en-US"/>
        </w:rPr>
        <w:t>Canada.</w:t>
      </w:r>
      <w:r>
        <w:rPr>
          <w:rFonts w:ascii="Times Roman" w:hAnsi="Times Roman"/>
          <w:sz w:val="24"/>
          <w:szCs w:val="24"/>
          <w:rtl w:val="0"/>
          <w:lang w:val="en-US"/>
        </w:rPr>
        <w:t xml:space="preserve"> </w:t>
      </w:r>
      <w:r>
        <w:rPr>
          <w:rFonts w:ascii="Times Roman" w:hAnsi="Times Roman"/>
          <w:sz w:val="24"/>
          <w:szCs w:val="24"/>
          <w:rtl w:val="0"/>
          <w:lang w:val="en-US"/>
        </w:rPr>
        <w:t>A nine-member Sedona delegation traveled to Canmore for the historic signing ceremony, which also included the first Sister Library Agreement between Community Library Sedona and the Canmore Library</w:t>
      </w:r>
      <w:r>
        <w:rPr>
          <w:rFonts w:ascii="Times Roman" w:hAnsi="Times Roman" w:hint="default"/>
          <w:sz w:val="24"/>
          <w:szCs w:val="24"/>
          <w:rtl w:val="0"/>
          <w:lang w:val="en-US"/>
        </w:rPr>
        <w:t>—</w:t>
      </w:r>
      <w:r>
        <w:rPr>
          <w:rFonts w:ascii="Times Roman" w:hAnsi="Times Roman"/>
          <w:sz w:val="24"/>
          <w:szCs w:val="24"/>
          <w:rtl w:val="0"/>
          <w:lang w:val="en-US"/>
        </w:rPr>
        <w:t>cementing a collaborative foundation for future joint programming.</w:t>
      </w: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Pr>
        <w:tab/>
      </w:r>
      <w:r>
        <w:rPr>
          <w:rFonts w:ascii="Times Roman" w:hAnsi="Times Roman"/>
          <w:sz w:val="24"/>
          <w:szCs w:val="24"/>
          <w:rtl w:val="0"/>
          <w:lang w:val="fr-FR"/>
        </w:rPr>
        <w:t xml:space="preserve">On </w:t>
      </w:r>
      <w:r>
        <w:rPr>
          <w:rFonts w:ascii="Times Roman" w:hAnsi="Times Roman"/>
          <w:b w:val="1"/>
          <w:bCs w:val="1"/>
          <w:sz w:val="24"/>
          <w:szCs w:val="24"/>
          <w:rtl w:val="0"/>
          <w:lang w:val="en-US"/>
        </w:rPr>
        <w:t>August 30</w:t>
      </w:r>
      <w:r>
        <w:rPr>
          <w:rFonts w:ascii="Times Roman" w:hAnsi="Times Roman"/>
          <w:sz w:val="24"/>
          <w:szCs w:val="24"/>
          <w:rtl w:val="0"/>
          <w:lang w:val="en-US"/>
        </w:rPr>
        <w:t xml:space="preserve">, Sedona broadened its global reach with a Friendship Cities Agreement with </w:t>
      </w:r>
      <w:r>
        <w:rPr>
          <w:rFonts w:ascii="Times Roman" w:hAnsi="Times Roman"/>
          <w:b w:val="1"/>
          <w:bCs w:val="1"/>
          <w:sz w:val="24"/>
          <w:szCs w:val="24"/>
          <w:rtl w:val="0"/>
        </w:rPr>
        <w:t>Jas</w:t>
      </w:r>
      <w:r>
        <w:rPr>
          <w:rFonts w:ascii="Times Roman" w:hAnsi="Times Roman" w:hint="default"/>
          <w:b w:val="1"/>
          <w:bCs w:val="1"/>
          <w:sz w:val="24"/>
          <w:szCs w:val="24"/>
          <w:rtl w:val="0"/>
        </w:rPr>
        <w:t>ł</w:t>
      </w:r>
      <w:r>
        <w:rPr>
          <w:rFonts w:ascii="Times Roman" w:hAnsi="Times Roman"/>
          <w:b w:val="1"/>
          <w:bCs w:val="1"/>
          <w:sz w:val="24"/>
          <w:szCs w:val="24"/>
          <w:rtl w:val="0"/>
        </w:rPr>
        <w:t>o, Poland</w:t>
      </w:r>
      <w:r>
        <w:rPr>
          <w:rFonts w:ascii="Times Roman" w:hAnsi="Times Roman"/>
          <w:sz w:val="24"/>
          <w:szCs w:val="24"/>
          <w:rtl w:val="0"/>
          <w:lang w:val="en-US"/>
        </w:rPr>
        <w:t>. The virtual ceremony featured the participation of U.S. Consul to Poland Colette Clark, underscoring the significance of community-based diplomacy. Sedona</w:t>
      </w:r>
      <w:r>
        <w:rPr>
          <w:rFonts w:ascii="Times Roman" w:hAnsi="Times Roman" w:hint="default"/>
          <w:sz w:val="24"/>
          <w:szCs w:val="24"/>
          <w:rtl w:val="1"/>
        </w:rPr>
        <w:t>’</w:t>
      </w:r>
      <w:r>
        <w:rPr>
          <w:rFonts w:ascii="Times Roman" w:hAnsi="Times Roman"/>
          <w:sz w:val="24"/>
          <w:szCs w:val="24"/>
          <w:rtl w:val="0"/>
        </w:rPr>
        <w:t xml:space="preserve">s </w:t>
      </w:r>
      <w:r>
        <w:rPr>
          <w:rFonts w:ascii="Times Roman" w:hAnsi="Times Roman"/>
          <w:i w:val="1"/>
          <w:iCs w:val="1"/>
          <w:sz w:val="24"/>
          <w:szCs w:val="24"/>
          <w:rtl w:val="0"/>
          <w:lang w:val="en-US"/>
        </w:rPr>
        <w:t>Through the Lens</w:t>
      </w:r>
      <w:r>
        <w:rPr>
          <w:rFonts w:ascii="Times Roman" w:hAnsi="Times Roman"/>
          <w:sz w:val="24"/>
          <w:szCs w:val="24"/>
          <w:rtl w:val="0"/>
          <w:lang w:val="en-US"/>
        </w:rPr>
        <w:t xml:space="preserve"> photographic exhibit was </w:t>
      </w:r>
      <w:r>
        <w:rPr>
          <w:rFonts w:ascii="Times Roman" w:hAnsi="Times Roman"/>
          <w:sz w:val="24"/>
          <w:szCs w:val="24"/>
          <w:rtl w:val="0"/>
          <w:lang w:val="en-US"/>
        </w:rPr>
        <w:t xml:space="preserve">opened </w:t>
      </w:r>
      <w:r>
        <w:rPr>
          <w:rFonts w:ascii="Times Roman" w:hAnsi="Times Roman"/>
          <w:sz w:val="24"/>
          <w:szCs w:val="24"/>
          <w:rtl w:val="0"/>
          <w:lang w:val="en-US"/>
        </w:rPr>
        <w:t xml:space="preserve">during the </w:t>
      </w:r>
      <w:r>
        <w:rPr>
          <w:rFonts w:ascii="Times Roman" w:hAnsi="Times Roman"/>
          <w:sz w:val="24"/>
          <w:szCs w:val="24"/>
          <w:rtl w:val="0"/>
          <w:lang w:val="en-US"/>
        </w:rPr>
        <w:t>delegation</w:t>
      </w:r>
      <w:r>
        <w:rPr>
          <w:rFonts w:ascii="Times Roman" w:hAnsi="Times Roman" w:hint="default"/>
          <w:sz w:val="24"/>
          <w:szCs w:val="24"/>
          <w:rtl w:val="0"/>
          <w:lang w:val="en-US"/>
        </w:rPr>
        <w:t>’</w:t>
      </w:r>
      <w:r>
        <w:rPr>
          <w:rFonts w:ascii="Times Roman" w:hAnsi="Times Roman"/>
          <w:sz w:val="24"/>
          <w:szCs w:val="24"/>
          <w:rtl w:val="0"/>
          <w:lang w:val="en-US"/>
        </w:rPr>
        <w:t>s visit</w:t>
      </w:r>
      <w:r>
        <w:rPr>
          <w:rFonts w:ascii="Times Roman" w:hAnsi="Times Roman"/>
          <w:sz w:val="24"/>
          <w:szCs w:val="24"/>
          <w:rtl w:val="0"/>
          <w:lang w:val="en-US"/>
        </w:rPr>
        <w:t>, and Jas</w:t>
      </w:r>
      <w:r>
        <w:rPr>
          <w:rFonts w:ascii="Times Roman" w:hAnsi="Times Roman" w:hint="default"/>
          <w:sz w:val="24"/>
          <w:szCs w:val="24"/>
          <w:rtl w:val="0"/>
        </w:rPr>
        <w:t>ł</w:t>
      </w:r>
      <w:r>
        <w:rPr>
          <w:rFonts w:ascii="Times Roman" w:hAnsi="Times Roman"/>
          <w:sz w:val="24"/>
          <w:szCs w:val="24"/>
          <w:rtl w:val="0"/>
          <w:lang w:val="en-US"/>
        </w:rPr>
        <w:t xml:space="preserve">o welcomed the Verde Valley Wine Consortium to present 18 </w:t>
      </w:r>
      <w:r>
        <w:rPr>
          <w:rFonts w:ascii="Times Roman" w:hAnsi="Times Roman"/>
          <w:sz w:val="24"/>
          <w:szCs w:val="24"/>
          <w:rtl w:val="0"/>
          <w:lang w:val="en-US"/>
        </w:rPr>
        <w:t xml:space="preserve">Verde Valley </w:t>
      </w:r>
      <w:r>
        <w:rPr>
          <w:rFonts w:ascii="Times Roman" w:hAnsi="Times Roman"/>
          <w:sz w:val="24"/>
          <w:szCs w:val="24"/>
          <w:rtl w:val="0"/>
          <w:lang w:val="en-US"/>
        </w:rPr>
        <w:t>wines at its Days of Wine Festival.</w:t>
      </w: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tl w:val="0"/>
          <w:lang w:val="en-US"/>
        </w:rPr>
        <w:tab/>
        <w:t>“</w:t>
      </w:r>
      <w:r>
        <w:rPr>
          <w:rFonts w:ascii="Times Roman" w:hAnsi="Times Roman"/>
          <w:sz w:val="24"/>
          <w:szCs w:val="24"/>
          <w:rtl w:val="0"/>
          <w:lang w:val="en-US"/>
        </w:rPr>
        <w:t>Building strong international relationships has never been more important,</w:t>
      </w:r>
      <w:r>
        <w:rPr>
          <w:rFonts w:ascii="Times Roman" w:hAnsi="Times Roman" w:hint="default"/>
          <w:sz w:val="24"/>
          <w:szCs w:val="24"/>
          <w:rtl w:val="0"/>
        </w:rPr>
        <w:t xml:space="preserve">” </w:t>
      </w:r>
      <w:r>
        <w:rPr>
          <w:rFonts w:ascii="Times Roman" w:hAnsi="Times Roman"/>
          <w:sz w:val="24"/>
          <w:szCs w:val="24"/>
          <w:rtl w:val="0"/>
          <w:lang w:val="en-US"/>
        </w:rPr>
        <w:t xml:space="preserve">said SSCA President Chuck Marr. </w:t>
      </w:r>
      <w:r>
        <w:rPr>
          <w:rFonts w:ascii="Times Roman" w:hAnsi="Times Roman" w:hint="default"/>
          <w:sz w:val="24"/>
          <w:szCs w:val="24"/>
          <w:rtl w:val="1"/>
          <w:lang w:val="ar-SA" w:bidi="ar-SA"/>
        </w:rPr>
        <w:t>“</w:t>
      </w:r>
      <w:r>
        <w:rPr>
          <w:rFonts w:ascii="Times Roman" w:hAnsi="Times Roman"/>
          <w:sz w:val="24"/>
          <w:szCs w:val="24"/>
          <w:rtl w:val="0"/>
          <w:lang w:val="en-US"/>
        </w:rPr>
        <w:t>Through cultural exchange and personal connection, we strengthen understanding, expand opportunity, and bring the world closer to Sedona. The presence of U.S. Consul Colette Clark at our Friendship Cities signing with Jas</w:t>
      </w:r>
      <w:r>
        <w:rPr>
          <w:rFonts w:ascii="Times Roman" w:hAnsi="Times Roman" w:hint="default"/>
          <w:sz w:val="24"/>
          <w:szCs w:val="24"/>
          <w:rtl w:val="0"/>
        </w:rPr>
        <w:t>ł</w:t>
      </w:r>
      <w:r>
        <w:rPr>
          <w:rFonts w:ascii="Times Roman" w:hAnsi="Times Roman"/>
          <w:sz w:val="24"/>
          <w:szCs w:val="24"/>
          <w:rtl w:val="0"/>
          <w:lang w:val="en-US"/>
        </w:rPr>
        <w:t>o underscored the value of people-to-people diplomacy and the role communities like ours can play in fostering global goodwill.</w:t>
      </w:r>
      <w:r>
        <w:rPr>
          <w:rFonts w:ascii="Times Roman" w:hAnsi="Times Roman" w:hint="default"/>
          <w:sz w:val="24"/>
          <w:szCs w:val="24"/>
          <w:rtl w:val="0"/>
        </w:rPr>
        <w:t>”</w:t>
      </w: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Pr>
        <w:tab/>
      </w:r>
      <w:r>
        <w:rPr>
          <w:rFonts w:ascii="Times Roman" w:hAnsi="Times Roman"/>
          <w:sz w:val="24"/>
          <w:szCs w:val="24"/>
          <w:rtl w:val="0"/>
          <w:lang w:val="en-US"/>
        </w:rPr>
        <w:t>Throughout 2025, SSCA advanced cultural and educational programs including the Local Authors Exchange, a Canada Day celebration, an OLLI workshop on Canadian culture, the inaugural Rising Stars Concert with Canmore, and the Sedona</w:t>
      </w:r>
      <w:r>
        <w:rPr>
          <w:rFonts w:ascii="Times Roman" w:hAnsi="Times Roman" w:hint="default"/>
          <w:sz w:val="24"/>
          <w:szCs w:val="24"/>
          <w:rtl w:val="0"/>
        </w:rPr>
        <w:t>–</w:t>
      </w:r>
      <w:r>
        <w:rPr>
          <w:rFonts w:ascii="Times Roman" w:hAnsi="Times Roman"/>
          <w:sz w:val="24"/>
          <w:szCs w:val="24"/>
          <w:rtl w:val="0"/>
          <w:lang w:val="en-US"/>
        </w:rPr>
        <w:t>Canmore Photo Contest. Signature events such as the Polish Picnic, which drew more than 700 attendees, and the International Days Dinner further strengthened community involvement.</w:t>
      </w: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Pr>
        <w:tab/>
      </w:r>
      <w:r>
        <w:rPr>
          <w:rFonts w:ascii="Times Roman" w:hAnsi="Times Roman"/>
          <w:sz w:val="24"/>
          <w:szCs w:val="24"/>
          <w:rtl w:val="0"/>
          <w:lang w:val="en-US"/>
        </w:rPr>
        <w:t>SSCA also reached 100 active members, expanded volunteer participation, and sponsored two Sedona youth</w:t>
      </w:r>
      <w:r>
        <w:rPr>
          <w:rFonts w:ascii="Times Roman" w:hAnsi="Times Roman" w:hint="default"/>
          <w:sz w:val="24"/>
          <w:szCs w:val="24"/>
          <w:rtl w:val="0"/>
          <w:lang w:val="en-US"/>
        </w:rPr>
        <w:t>—</w:t>
      </w:r>
      <w:r>
        <w:rPr>
          <w:rFonts w:ascii="Times Roman" w:hAnsi="Times Roman"/>
          <w:sz w:val="24"/>
          <w:szCs w:val="24"/>
          <w:rtl w:val="0"/>
          <w:lang w:val="en-US"/>
        </w:rPr>
        <w:t>Khrystian Cordova and Maryam Jaffe</w:t>
      </w:r>
      <w:r>
        <w:rPr>
          <w:rFonts w:ascii="Times Roman" w:hAnsi="Times Roman" w:hint="default"/>
          <w:sz w:val="24"/>
          <w:szCs w:val="24"/>
          <w:rtl w:val="0"/>
          <w:lang w:val="en-US"/>
        </w:rPr>
        <w:t>—</w:t>
      </w:r>
      <w:r>
        <w:rPr>
          <w:rFonts w:ascii="Times Roman" w:hAnsi="Times Roman"/>
          <w:sz w:val="24"/>
          <w:szCs w:val="24"/>
          <w:rtl w:val="0"/>
          <w:lang w:val="en-US"/>
        </w:rPr>
        <w:t>in Sister Cities International programs.</w:t>
      </w:r>
    </w:p>
    <w:p>
      <w:pPr>
        <w:pStyle w:val="Default"/>
        <w:suppressAutoHyphens w:val="1"/>
        <w:spacing w:before="0" w:line="240" w:lineRule="auto"/>
        <w:jc w:val="both"/>
        <w:rPr>
          <w:rFonts w:ascii="Times Roman" w:cs="Times Roman" w:hAnsi="Times Roman" w:eastAsia="Times Roman"/>
          <w:sz w:val="24"/>
          <w:szCs w:val="24"/>
        </w:rPr>
      </w:pPr>
      <w:r>
        <w:rPr>
          <w:rFonts w:ascii="Times Roman" w:cs="Times Roman" w:hAnsi="Times Roman" w:eastAsia="Times Roman"/>
          <w:sz w:val="24"/>
          <w:szCs w:val="24"/>
        </w:rPr>
        <w:tab/>
      </w:r>
      <w:r>
        <w:rPr>
          <w:rFonts w:ascii="Times Roman" w:hAnsi="Times Roman"/>
          <w:sz w:val="24"/>
          <w:szCs w:val="24"/>
          <w:rtl w:val="0"/>
          <w:lang w:val="en-US"/>
        </w:rPr>
        <w:t>With expanding partnerships and strong community momentum, SSCA enters 2026</w:t>
      </w:r>
      <w:r>
        <w:rPr>
          <w:rFonts w:ascii="Times Roman" w:hAnsi="Times Roman" w:hint="default"/>
          <w:sz w:val="24"/>
          <w:szCs w:val="24"/>
          <w:rtl w:val="0"/>
          <w:lang w:val="en-US"/>
        </w:rPr>
        <w:t>—</w:t>
      </w:r>
      <w:r>
        <w:rPr>
          <w:rFonts w:ascii="Times Roman" w:hAnsi="Times Roman"/>
          <w:sz w:val="24"/>
          <w:szCs w:val="24"/>
          <w:rtl w:val="0"/>
          <w:lang w:val="en-US"/>
        </w:rPr>
        <w:t>its fifth anniversary year</w:t>
      </w:r>
      <w:r>
        <w:rPr>
          <w:rFonts w:ascii="Times Roman" w:hAnsi="Times Roman" w:hint="default"/>
          <w:sz w:val="24"/>
          <w:szCs w:val="24"/>
          <w:rtl w:val="0"/>
          <w:lang w:val="en-US"/>
        </w:rPr>
        <w:t>—</w:t>
      </w:r>
      <w:r>
        <w:rPr>
          <w:rFonts w:ascii="Times Roman" w:hAnsi="Times Roman"/>
          <w:sz w:val="24"/>
          <w:szCs w:val="24"/>
          <w:rtl w:val="0"/>
          <w:lang w:val="en-US"/>
        </w:rPr>
        <w:t>positioned for continued growth and global engagement.</w:t>
      </w:r>
    </w:p>
    <w:p>
      <w:pPr>
        <w:pStyle w:val="Default"/>
        <w:suppressAutoHyphens w:val="1"/>
        <w:spacing w:before="0" w:line="240" w:lineRule="auto"/>
        <w:jc w:val="both"/>
        <w:rPr>
          <w:rFonts w:ascii="Times Roman" w:cs="Times Roman" w:hAnsi="Times Roman" w:eastAsia="Times Roman"/>
          <w:sz w:val="24"/>
          <w:szCs w:val="24"/>
        </w:rPr>
      </w:pPr>
    </w:p>
    <w:p>
      <w:pPr>
        <w:pStyle w:val="Default"/>
        <w:suppressAutoHyphens w:val="1"/>
        <w:spacing w:before="0" w:line="240" w:lineRule="auto"/>
        <w:jc w:val="both"/>
        <w:rPr>
          <w:rFonts w:ascii="Times Roman" w:cs="Times Roman" w:hAnsi="Times Roman" w:eastAsia="Times Roman"/>
          <w:b w:val="0"/>
          <w:bCs w:val="0"/>
          <w:sz w:val="24"/>
          <w:szCs w:val="24"/>
        </w:rPr>
      </w:pPr>
      <w:r>
        <w:rPr>
          <w:rFonts w:ascii="Times Roman" w:cs="Times Roman" w:hAnsi="Times Roman" w:eastAsia="Times Roman"/>
          <w:b w:val="1"/>
          <w:bCs w:val="1"/>
          <w:sz w:val="24"/>
          <w:szCs w:val="24"/>
        </w:rPr>
        <w:tab/>
      </w:r>
      <w:r>
        <w:rPr>
          <w:rFonts w:ascii="Times Roman" w:hAnsi="Times Roman"/>
          <w:b w:val="0"/>
          <w:bCs w:val="0"/>
          <w:sz w:val="24"/>
          <w:szCs w:val="24"/>
          <w:rtl w:val="0"/>
          <w:lang w:val="en-US"/>
        </w:rPr>
        <w:t xml:space="preserve">For more information, visit: </w:t>
      </w:r>
      <w:r>
        <w:rPr>
          <w:rStyle w:val="Hyperlink.0"/>
          <w:rFonts w:ascii="Times Roman" w:cs="Times Roman" w:hAnsi="Times Roman" w:eastAsia="Times Roman"/>
          <w:b w:val="0"/>
          <w:bCs w:val="0"/>
          <w:sz w:val="24"/>
          <w:szCs w:val="24"/>
        </w:rPr>
        <w:fldChar w:fldCharType="begin" w:fldLock="0"/>
      </w:r>
      <w:r>
        <w:rPr>
          <w:rStyle w:val="Hyperlink.0"/>
          <w:rFonts w:ascii="Times Roman" w:cs="Times Roman" w:hAnsi="Times Roman" w:eastAsia="Times Roman"/>
          <w:b w:val="0"/>
          <w:bCs w:val="0"/>
          <w:sz w:val="24"/>
          <w:szCs w:val="24"/>
        </w:rPr>
        <w:instrText xml:space="preserve"> HYPERLINK "http://www.sedonasistercities.org"</w:instrText>
      </w:r>
      <w:r>
        <w:rPr>
          <w:rStyle w:val="Hyperlink.0"/>
          <w:rFonts w:ascii="Times Roman" w:cs="Times Roman" w:hAnsi="Times Roman" w:eastAsia="Times Roman"/>
          <w:b w:val="0"/>
          <w:bCs w:val="0"/>
          <w:sz w:val="24"/>
          <w:szCs w:val="24"/>
        </w:rPr>
        <w:fldChar w:fldCharType="separate" w:fldLock="0"/>
      </w:r>
      <w:r>
        <w:rPr>
          <w:rStyle w:val="Hyperlink.0"/>
          <w:rFonts w:ascii="Times Roman" w:hAnsi="Times Roman"/>
          <w:b w:val="0"/>
          <w:bCs w:val="0"/>
          <w:sz w:val="24"/>
          <w:szCs w:val="24"/>
          <w:rtl w:val="0"/>
          <w:lang w:val="it-IT"/>
        </w:rPr>
        <w:t>www.sedonasistercities.org</w:t>
      </w:r>
      <w:r>
        <w:rPr>
          <w:rFonts w:ascii="Times Roman" w:cs="Times Roman" w:hAnsi="Times Roman" w:eastAsia="Times Roman"/>
          <w:b w:val="1"/>
          <w:bCs w:val="1"/>
          <w:sz w:val="24"/>
          <w:szCs w:val="24"/>
        </w:rPr>
        <w:fldChar w:fldCharType="end" w:fldLock="0"/>
      </w:r>
    </w:p>
    <w:p>
      <w:pPr>
        <w:pStyle w:val="Default"/>
        <w:suppressAutoHyphens w:val="1"/>
        <w:spacing w:before="0" w:line="240" w:lineRule="auto"/>
        <w:jc w:val="both"/>
        <w:rPr>
          <w:rFonts w:ascii="Times Roman" w:cs="Times Roman" w:hAnsi="Times Roman" w:eastAsia="Times Roman"/>
          <w:b w:val="0"/>
          <w:bCs w:val="0"/>
          <w:sz w:val="24"/>
          <w:szCs w:val="24"/>
        </w:rPr>
      </w:pPr>
    </w:p>
    <w:p>
      <w:pPr>
        <w:pStyle w:val="Default"/>
        <w:suppressAutoHyphens w:val="1"/>
        <w:spacing w:before="0" w:line="240" w:lineRule="auto"/>
        <w:jc w:val="center"/>
        <w:rPr>
          <w:rFonts w:ascii="Times Roman" w:cs="Times Roman" w:hAnsi="Times Roman" w:eastAsia="Times Roman"/>
          <w:b w:val="0"/>
          <w:bCs w:val="0"/>
          <w:sz w:val="24"/>
          <w:szCs w:val="24"/>
        </w:rPr>
      </w:pPr>
      <w:r>
        <w:rPr>
          <w:rFonts w:ascii="Times Roman" w:hAnsi="Times Roman"/>
          <w:b w:val="0"/>
          <w:bCs w:val="0"/>
          <w:sz w:val="24"/>
          <w:szCs w:val="24"/>
          <w:rtl w:val="0"/>
          <w:lang w:val="en-US"/>
        </w:rPr>
        <w:t>*****</w:t>
      </w:r>
    </w:p>
    <w:p>
      <w:pPr>
        <w:pStyle w:val="Default"/>
        <w:suppressAutoHyphens w:val="1"/>
        <w:spacing w:before="0" w:line="240" w:lineRule="auto"/>
        <w:jc w:val="both"/>
      </w:pPr>
      <w:r>
        <w:rPr>
          <w:rFonts w:ascii="Times Roman" w:hAnsi="Times Roman"/>
          <w:b w:val="0"/>
          <w:bCs w:val="0"/>
          <w:sz w:val="24"/>
          <w:szCs w:val="24"/>
          <w:rtl w:val="0"/>
          <w:lang w:val="en-US"/>
        </w:rPr>
        <w:t xml:space="preserve">Media contact: </w:t>
      </w:r>
      <w:r>
        <w:rPr>
          <w:rStyle w:val="Link"/>
          <w:rFonts w:ascii="Times Roman" w:cs="Times Roman" w:hAnsi="Times Roman" w:eastAsia="Times Roman"/>
          <w:b w:val="1"/>
          <w:bCs w:val="1"/>
          <w:sz w:val="24"/>
          <w:szCs w:val="24"/>
        </w:rPr>
        <w:fldChar w:fldCharType="begin" w:fldLock="0"/>
      </w:r>
      <w:r>
        <w:rPr>
          <w:rStyle w:val="Link"/>
          <w:rFonts w:ascii="Times Roman" w:cs="Times Roman" w:hAnsi="Times Roman" w:eastAsia="Times Roman"/>
          <w:b w:val="1"/>
          <w:bCs w:val="1"/>
          <w:sz w:val="24"/>
          <w:szCs w:val="24"/>
        </w:rPr>
        <w:instrText xml:space="preserve"> HYPERLINK "mailto:cmarr2@icloud.com"</w:instrText>
      </w:r>
      <w:r>
        <w:rPr>
          <w:rStyle w:val="Link"/>
          <w:rFonts w:ascii="Times Roman" w:cs="Times Roman" w:hAnsi="Times Roman" w:eastAsia="Times Roman"/>
          <w:b w:val="1"/>
          <w:bCs w:val="1"/>
          <w:sz w:val="24"/>
          <w:szCs w:val="24"/>
        </w:rPr>
        <w:fldChar w:fldCharType="separate" w:fldLock="0"/>
      </w:r>
      <w:r>
        <w:rPr>
          <w:rStyle w:val="Link"/>
          <w:rFonts w:ascii="Times Roman" w:hAnsi="Times Roman"/>
          <w:b w:val="1"/>
          <w:bCs w:val="1"/>
          <w:sz w:val="24"/>
          <w:szCs w:val="24"/>
          <w:rtl w:val="0"/>
          <w:lang w:val="en-US"/>
        </w:rPr>
        <w:t>cmarr2@icloud.com</w:t>
      </w:r>
      <w:r>
        <w:rPr>
          <w:rFonts w:ascii="Times Roman" w:cs="Times Roman" w:hAnsi="Times Roman" w:eastAsia="Times Roman"/>
          <w:b w:val="1"/>
          <w:bCs w:val="1"/>
          <w:sz w:val="24"/>
          <w:szCs w:val="24"/>
        </w:rPr>
        <w:fldChar w:fldCharType="end" w:fldLock="0"/>
      </w:r>
      <w:r>
        <w:rPr>
          <w:rFonts w:ascii="Times Roman" w:hAnsi="Times Roman"/>
          <w:b w:val="0"/>
          <w:bCs w:val="0"/>
          <w:sz w:val="24"/>
          <w:szCs w:val="24"/>
          <w:rtl w:val="0"/>
          <w:lang w:val="en-US"/>
        </w:rPr>
        <w:t xml:space="preserve">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Futur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Futura" w:cs="Arial Unicode MS" w:hAnsi="Futura"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b w:val="0"/>
      <w:bCs w:val="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Futura Bold"/>
        <a:ea typeface="Futura Bold"/>
        <a:cs typeface="Futura Bold"/>
      </a:majorFont>
      <a:minorFont>
        <a:latin typeface="Futura"/>
        <a:ea typeface="Futura"/>
        <a:cs typeface="Futur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Futur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Futur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