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598124" w14:textId="77777777" w:rsidR="00903A1C" w:rsidRDefault="00000000">
      <w:pPr>
        <w:spacing w:after="60"/>
        <w:jc w:val="center"/>
      </w:pPr>
      <w:r>
        <w:rPr>
          <w:b/>
          <w:bCs/>
          <w:color w:val="1F2A44"/>
          <w:sz w:val="32"/>
          <w:szCs w:val="32"/>
        </w:rPr>
        <w:t>GDL MANAGEMENT GROUP PLC</w:t>
      </w:r>
    </w:p>
    <w:p w14:paraId="49BBE4C5" w14:textId="77777777" w:rsidR="00903A1C" w:rsidRDefault="00000000">
      <w:pPr>
        <w:spacing w:after="60"/>
        <w:jc w:val="center"/>
      </w:pPr>
      <w:r>
        <w:rPr>
          <w:b/>
          <w:bCs/>
          <w:color w:val="5A5A5A"/>
          <w:sz w:val="26"/>
          <w:szCs w:val="26"/>
        </w:rPr>
        <w:t>Privacy Policy</w:t>
      </w:r>
    </w:p>
    <w:p w14:paraId="4844373A" w14:textId="77777777" w:rsidR="00903A1C" w:rsidRDefault="00000000">
      <w:pPr>
        <w:spacing w:after="320"/>
        <w:jc w:val="center"/>
      </w:pPr>
      <w:r>
        <w:rPr>
          <w:i/>
          <w:iCs/>
          <w:color w:val="5A5A5A"/>
          <w:sz w:val="18"/>
          <w:szCs w:val="18"/>
        </w:rPr>
        <w:t>CRO No. 730328  |  Registered in Ireland  |  Last updated: 25 August 2026</w:t>
      </w:r>
    </w:p>
    <w:p w14:paraId="7C0787DB" w14:textId="77777777" w:rsidR="00903A1C" w:rsidRDefault="00000000">
      <w:pPr>
        <w:pStyle w:val="Heading1"/>
        <w:spacing w:before="320" w:after="160"/>
      </w:pPr>
      <w:r>
        <w:rPr>
          <w:b/>
          <w:bCs/>
          <w:color w:val="1F2A44"/>
          <w:sz w:val="26"/>
          <w:szCs w:val="26"/>
        </w:rPr>
        <w:t>1. Introduction</w:t>
      </w:r>
    </w:p>
    <w:p w14:paraId="47F3C9F4" w14:textId="77777777" w:rsidR="00903A1C" w:rsidRDefault="00000000">
      <w:pPr>
        <w:spacing w:after="160" w:line="276" w:lineRule="auto"/>
      </w:pPr>
      <w:r>
        <w:rPr>
          <w:sz w:val="21"/>
          <w:szCs w:val="21"/>
        </w:rPr>
        <w:t>GDL Management Group PLC ("GDL", "we", "us" or "our") is an Irish real estate investment trust (REIT) with its registered office in Dublin, Ireland (Companies Registration Office number 730328). This Privacy Policy explains how we collect, use, share, and protect personal data in connection with our business activities, including capital markets and transaction work, property and asset management, investor relations, our corporate website, and our dealings with tenants, counterparties, suppliers, and job applicants.</w:t>
      </w:r>
    </w:p>
    <w:p w14:paraId="6E9776F8" w14:textId="77777777" w:rsidR="00903A1C" w:rsidRDefault="00000000">
      <w:pPr>
        <w:spacing w:after="160" w:line="276" w:lineRule="auto"/>
      </w:pPr>
      <w:r>
        <w:rPr>
          <w:sz w:val="21"/>
          <w:szCs w:val="21"/>
        </w:rPr>
        <w:t>We are committed to complying with the General Data Protection Regulation (EU) 2016/679 ("GDPR"), the Data Protection Act 2018, and other applicable Irish and EU data protection law.</w:t>
      </w:r>
    </w:p>
    <w:p w14:paraId="43BC066C" w14:textId="77777777" w:rsidR="00903A1C" w:rsidRDefault="00000000">
      <w:pPr>
        <w:pStyle w:val="Heading1"/>
        <w:spacing w:before="320" w:after="160"/>
      </w:pPr>
      <w:r>
        <w:rPr>
          <w:b/>
          <w:bCs/>
          <w:color w:val="1F2A44"/>
          <w:sz w:val="26"/>
          <w:szCs w:val="26"/>
        </w:rPr>
        <w:t>2. Who is responsible for your data</w:t>
      </w:r>
    </w:p>
    <w:p w14:paraId="1F4F4084" w14:textId="77777777" w:rsidR="00903A1C" w:rsidRDefault="00000000">
      <w:pPr>
        <w:spacing w:after="160" w:line="276" w:lineRule="auto"/>
      </w:pPr>
      <w:r>
        <w:rPr>
          <w:sz w:val="21"/>
          <w:szCs w:val="21"/>
        </w:rPr>
        <w:t>GDL Management Group PLC is the data controller for the personal data described in this Policy, unless stated otherwise (for example, where we act as a data processor on behalf of a fund, lender, or transaction counterparty).</w:t>
      </w:r>
    </w:p>
    <w:p w14:paraId="3E6AD548" w14:textId="77777777" w:rsidR="00903A1C" w:rsidRDefault="00000000">
      <w:pPr>
        <w:spacing w:after="160" w:line="276" w:lineRule="auto"/>
      </w:pPr>
      <w:r>
        <w:rPr>
          <w:sz w:val="21"/>
          <w:szCs w:val="21"/>
        </w:rPr>
        <w:t>Contact details for data protection queries:</w:t>
      </w:r>
    </w:p>
    <w:p w14:paraId="2384F004" w14:textId="77777777" w:rsidR="00903A1C" w:rsidRDefault="00000000">
      <w:pPr>
        <w:pStyle w:val="ListParagraph"/>
        <w:numPr>
          <w:ilvl w:val="0"/>
          <w:numId w:val="2"/>
        </w:numPr>
        <w:spacing w:after="80" w:line="276" w:lineRule="auto"/>
      </w:pPr>
      <w:r>
        <w:rPr>
          <w:sz w:val="21"/>
          <w:szCs w:val="21"/>
        </w:rPr>
        <w:t>Postal address: GDL Management Group PLC, Dublin, Ireland</w:t>
      </w:r>
    </w:p>
    <w:p w14:paraId="3DF8A085" w14:textId="77777777" w:rsidR="00903A1C" w:rsidRDefault="00000000">
      <w:pPr>
        <w:pStyle w:val="ListParagraph"/>
        <w:numPr>
          <w:ilvl w:val="0"/>
          <w:numId w:val="2"/>
        </w:numPr>
        <w:spacing w:after="80" w:line="276" w:lineRule="auto"/>
      </w:pPr>
      <w:r>
        <w:rPr>
          <w:sz w:val="21"/>
          <w:szCs w:val="21"/>
        </w:rPr>
        <w:t xml:space="preserve">Email: </w:t>
      </w:r>
      <w:proofErr w:type="spellStart"/>
      <w:r>
        <w:rPr>
          <w:sz w:val="21"/>
          <w:szCs w:val="21"/>
        </w:rPr>
        <w:t>info@gdl.management</w:t>
      </w:r>
      <w:proofErr w:type="spellEnd"/>
    </w:p>
    <w:p w14:paraId="0632EAB5" w14:textId="77777777" w:rsidR="00903A1C" w:rsidRDefault="00000000">
      <w:pPr>
        <w:pStyle w:val="Heading1"/>
        <w:spacing w:before="320" w:after="160"/>
      </w:pPr>
      <w:r>
        <w:rPr>
          <w:b/>
          <w:bCs/>
          <w:color w:val="1F2A44"/>
          <w:sz w:val="26"/>
          <w:szCs w:val="26"/>
        </w:rPr>
        <w:t>3. Personal data we collect</w:t>
      </w:r>
    </w:p>
    <w:p w14:paraId="6A62D3CE" w14:textId="77777777" w:rsidR="00903A1C" w:rsidRDefault="00000000">
      <w:pPr>
        <w:spacing w:after="160" w:line="276" w:lineRule="auto"/>
      </w:pPr>
      <w:r>
        <w:rPr>
          <w:sz w:val="21"/>
          <w:szCs w:val="21"/>
        </w:rPr>
        <w:t>The personal data we collect depends on your relationship with GDL. The table below summarises the main categories.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3600"/>
        <w:gridCol w:w="3400"/>
      </w:tblGrid>
      <w:tr w:rsidR="00903A1C" w14:paraId="0DBF24DC" w14:textId="77777777">
        <w:tblPrEx>
          <w:tblCellMar>
            <w:top w:w="0" w:type="dxa"/>
            <w:bottom w:w="0" w:type="dxa"/>
          </w:tblCellMar>
        </w:tblPrEx>
        <w:tc>
          <w:tcPr>
            <w:tcW w:w="2400" w:type="dxa"/>
            <w:shd w:val="clear" w:color="auto" w:fill="1F2A44"/>
            <w:tcMar>
              <w:top w:w="80" w:type="dxa"/>
              <w:left w:w="100" w:type="dxa"/>
              <w:bottom w:w="80" w:type="dxa"/>
              <w:right w:w="100" w:type="dxa"/>
            </w:tcMar>
          </w:tcPr>
          <w:p w14:paraId="6C646C8F" w14:textId="77777777" w:rsidR="00903A1C" w:rsidRDefault="00000000">
            <w:r>
              <w:rPr>
                <w:b/>
                <w:bCs/>
                <w:color w:val="FFFFFF"/>
                <w:sz w:val="19"/>
                <w:szCs w:val="19"/>
              </w:rPr>
              <w:t>Category of individual</w:t>
            </w:r>
          </w:p>
        </w:tc>
        <w:tc>
          <w:tcPr>
            <w:tcW w:w="3600" w:type="dxa"/>
            <w:shd w:val="clear" w:color="auto" w:fill="1F2A44"/>
            <w:tcMar>
              <w:top w:w="80" w:type="dxa"/>
              <w:left w:w="100" w:type="dxa"/>
              <w:bottom w:w="80" w:type="dxa"/>
              <w:right w:w="100" w:type="dxa"/>
            </w:tcMar>
          </w:tcPr>
          <w:p w14:paraId="63A5AB46" w14:textId="77777777" w:rsidR="00903A1C" w:rsidRDefault="00000000">
            <w:r>
              <w:rPr>
                <w:b/>
                <w:bCs/>
                <w:color w:val="FFFFFF"/>
                <w:sz w:val="19"/>
                <w:szCs w:val="19"/>
              </w:rPr>
              <w:t>Personal data</w:t>
            </w:r>
          </w:p>
        </w:tc>
        <w:tc>
          <w:tcPr>
            <w:tcW w:w="3400" w:type="dxa"/>
            <w:shd w:val="clear" w:color="auto" w:fill="1F2A44"/>
            <w:tcMar>
              <w:top w:w="80" w:type="dxa"/>
              <w:left w:w="100" w:type="dxa"/>
              <w:bottom w:w="80" w:type="dxa"/>
              <w:right w:w="100" w:type="dxa"/>
            </w:tcMar>
          </w:tcPr>
          <w:p w14:paraId="65A889E6" w14:textId="77777777" w:rsidR="00903A1C" w:rsidRDefault="00000000">
            <w:r>
              <w:rPr>
                <w:b/>
                <w:bCs/>
                <w:color w:val="FFFFFF"/>
                <w:sz w:val="19"/>
                <w:szCs w:val="19"/>
              </w:rPr>
              <w:t>Typical source</w:t>
            </w:r>
          </w:p>
        </w:tc>
      </w:tr>
      <w:tr w:rsidR="00903A1C" w14:paraId="31BA985F" w14:textId="77777777">
        <w:tblPrEx>
          <w:tblCellMar>
            <w:top w:w="0" w:type="dxa"/>
            <w:bottom w:w="0" w:type="dxa"/>
          </w:tblCellMar>
        </w:tblPrEx>
        <w:tc>
          <w:tcPr>
            <w:tcW w:w="2400" w:type="dxa"/>
            <w:tcMar>
              <w:top w:w="80" w:type="dxa"/>
              <w:left w:w="100" w:type="dxa"/>
              <w:bottom w:w="80" w:type="dxa"/>
              <w:right w:w="100" w:type="dxa"/>
            </w:tcMar>
          </w:tcPr>
          <w:p w14:paraId="78F5B966" w14:textId="77777777" w:rsidR="00903A1C" w:rsidRDefault="00000000">
            <w:r>
              <w:rPr>
                <w:color w:val="000000"/>
                <w:sz w:val="19"/>
                <w:szCs w:val="19"/>
              </w:rPr>
              <w:t>Shareholders &amp; investors</w:t>
            </w:r>
          </w:p>
        </w:tc>
        <w:tc>
          <w:tcPr>
            <w:tcW w:w="3600" w:type="dxa"/>
            <w:tcMar>
              <w:top w:w="80" w:type="dxa"/>
              <w:left w:w="100" w:type="dxa"/>
              <w:bottom w:w="80" w:type="dxa"/>
              <w:right w:w="100" w:type="dxa"/>
            </w:tcMar>
          </w:tcPr>
          <w:p w14:paraId="05D68814" w14:textId="77777777" w:rsidR="00903A1C" w:rsidRDefault="00000000">
            <w:r>
              <w:rPr>
                <w:color w:val="000000"/>
                <w:sz w:val="19"/>
                <w:szCs w:val="19"/>
              </w:rPr>
              <w:t>Name, contact details, shareholding, bank/settlement details, tax residency/FATCA-CRS status, source of funds/wealth information</w:t>
            </w:r>
          </w:p>
        </w:tc>
        <w:tc>
          <w:tcPr>
            <w:tcW w:w="3400" w:type="dxa"/>
            <w:tcMar>
              <w:top w:w="80" w:type="dxa"/>
              <w:left w:w="100" w:type="dxa"/>
              <w:bottom w:w="80" w:type="dxa"/>
              <w:right w:w="100" w:type="dxa"/>
            </w:tcMar>
          </w:tcPr>
          <w:p w14:paraId="122F0AB6" w14:textId="77777777" w:rsidR="00903A1C" w:rsidRDefault="00000000">
            <w:r>
              <w:rPr>
                <w:color w:val="000000"/>
                <w:sz w:val="19"/>
                <w:szCs w:val="19"/>
              </w:rPr>
              <w:t>Registrar, subscription and KYC/AML documentation, direct correspondence</w:t>
            </w:r>
          </w:p>
        </w:tc>
      </w:tr>
      <w:tr w:rsidR="00903A1C" w14:paraId="304350ED" w14:textId="77777777">
        <w:tblPrEx>
          <w:tblCellMar>
            <w:top w:w="0" w:type="dxa"/>
            <w:bottom w:w="0" w:type="dxa"/>
          </w:tblCellMar>
        </w:tblPrEx>
        <w:tc>
          <w:tcPr>
            <w:tcW w:w="2400" w:type="dxa"/>
            <w:tcMar>
              <w:top w:w="80" w:type="dxa"/>
              <w:left w:w="100" w:type="dxa"/>
              <w:bottom w:w="80" w:type="dxa"/>
              <w:right w:w="100" w:type="dxa"/>
            </w:tcMar>
          </w:tcPr>
          <w:p w14:paraId="5E744D73" w14:textId="77777777" w:rsidR="00903A1C" w:rsidRDefault="00000000">
            <w:r>
              <w:rPr>
                <w:color w:val="000000"/>
                <w:sz w:val="19"/>
                <w:szCs w:val="19"/>
              </w:rPr>
              <w:t>Tenants &amp; occupiers</w:t>
            </w:r>
          </w:p>
        </w:tc>
        <w:tc>
          <w:tcPr>
            <w:tcW w:w="3600" w:type="dxa"/>
            <w:tcMar>
              <w:top w:w="80" w:type="dxa"/>
              <w:left w:w="100" w:type="dxa"/>
              <w:bottom w:w="80" w:type="dxa"/>
              <w:right w:w="100" w:type="dxa"/>
            </w:tcMar>
          </w:tcPr>
          <w:p w14:paraId="2ECC25EC" w14:textId="77777777" w:rsidR="00903A1C" w:rsidRDefault="00000000">
            <w:r>
              <w:rPr>
                <w:color w:val="000000"/>
                <w:sz w:val="19"/>
                <w:szCs w:val="19"/>
              </w:rPr>
              <w:t>Name, contact details, lease and covenant information, payment and arrears history, insurance details</w:t>
            </w:r>
          </w:p>
        </w:tc>
        <w:tc>
          <w:tcPr>
            <w:tcW w:w="3400" w:type="dxa"/>
            <w:tcMar>
              <w:top w:w="80" w:type="dxa"/>
              <w:left w:w="100" w:type="dxa"/>
              <w:bottom w:w="80" w:type="dxa"/>
              <w:right w:w="100" w:type="dxa"/>
            </w:tcMar>
          </w:tcPr>
          <w:p w14:paraId="68D78CD9" w14:textId="77777777" w:rsidR="00903A1C" w:rsidRDefault="00000000">
            <w:r>
              <w:rPr>
                <w:color w:val="000000"/>
                <w:sz w:val="19"/>
                <w:szCs w:val="19"/>
              </w:rPr>
              <w:t>Lease agreements, property management systems, agents</w:t>
            </w:r>
          </w:p>
        </w:tc>
      </w:tr>
      <w:tr w:rsidR="00903A1C" w14:paraId="0FEC45CA" w14:textId="77777777">
        <w:tblPrEx>
          <w:tblCellMar>
            <w:top w:w="0" w:type="dxa"/>
            <w:bottom w:w="0" w:type="dxa"/>
          </w:tblCellMar>
        </w:tblPrEx>
        <w:tc>
          <w:tcPr>
            <w:tcW w:w="2400" w:type="dxa"/>
            <w:tcMar>
              <w:top w:w="80" w:type="dxa"/>
              <w:left w:w="100" w:type="dxa"/>
              <w:bottom w:w="80" w:type="dxa"/>
              <w:right w:w="100" w:type="dxa"/>
            </w:tcMar>
          </w:tcPr>
          <w:p w14:paraId="218463C0" w14:textId="77777777" w:rsidR="00903A1C" w:rsidRDefault="00000000">
            <w:r>
              <w:rPr>
                <w:color w:val="000000"/>
                <w:sz w:val="19"/>
                <w:szCs w:val="19"/>
              </w:rPr>
              <w:t>Prospective counterparties</w:t>
            </w:r>
          </w:p>
        </w:tc>
        <w:tc>
          <w:tcPr>
            <w:tcW w:w="3600" w:type="dxa"/>
            <w:tcMar>
              <w:top w:w="80" w:type="dxa"/>
              <w:left w:w="100" w:type="dxa"/>
              <w:bottom w:w="80" w:type="dxa"/>
              <w:right w:w="100" w:type="dxa"/>
            </w:tcMar>
          </w:tcPr>
          <w:p w14:paraId="6EF37372" w14:textId="77777777" w:rsidR="00903A1C" w:rsidRDefault="00000000">
            <w:r>
              <w:rPr>
                <w:color w:val="000000"/>
                <w:sz w:val="19"/>
                <w:szCs w:val="19"/>
              </w:rPr>
              <w:t>Name, role, employer, contact details, due diligence and beneficial ownership information</w:t>
            </w:r>
          </w:p>
        </w:tc>
        <w:tc>
          <w:tcPr>
            <w:tcW w:w="3400" w:type="dxa"/>
            <w:tcMar>
              <w:top w:w="80" w:type="dxa"/>
              <w:left w:w="100" w:type="dxa"/>
              <w:bottom w:w="80" w:type="dxa"/>
              <w:right w:w="100" w:type="dxa"/>
            </w:tcMar>
          </w:tcPr>
          <w:p w14:paraId="0CA0CD2F" w14:textId="77777777" w:rsidR="00903A1C" w:rsidRDefault="00000000">
            <w:r>
              <w:rPr>
                <w:color w:val="000000"/>
                <w:sz w:val="19"/>
                <w:szCs w:val="19"/>
              </w:rPr>
              <w:t>Transaction due diligence, Companies Registration Office, public registers</w:t>
            </w:r>
          </w:p>
        </w:tc>
      </w:tr>
      <w:tr w:rsidR="00903A1C" w14:paraId="060A1BCB" w14:textId="77777777">
        <w:tblPrEx>
          <w:tblCellMar>
            <w:top w:w="0" w:type="dxa"/>
            <w:bottom w:w="0" w:type="dxa"/>
          </w:tblCellMar>
        </w:tblPrEx>
        <w:tc>
          <w:tcPr>
            <w:tcW w:w="2400" w:type="dxa"/>
            <w:tcMar>
              <w:top w:w="80" w:type="dxa"/>
              <w:left w:w="100" w:type="dxa"/>
              <w:bottom w:w="80" w:type="dxa"/>
              <w:right w:w="100" w:type="dxa"/>
            </w:tcMar>
          </w:tcPr>
          <w:p w14:paraId="763E1552" w14:textId="77777777" w:rsidR="00903A1C" w:rsidRDefault="00000000">
            <w:r>
              <w:rPr>
                <w:color w:val="000000"/>
                <w:sz w:val="19"/>
                <w:szCs w:val="19"/>
              </w:rPr>
              <w:t>Website visitors</w:t>
            </w:r>
          </w:p>
        </w:tc>
        <w:tc>
          <w:tcPr>
            <w:tcW w:w="3600" w:type="dxa"/>
            <w:tcMar>
              <w:top w:w="80" w:type="dxa"/>
              <w:left w:w="100" w:type="dxa"/>
              <w:bottom w:w="80" w:type="dxa"/>
              <w:right w:w="100" w:type="dxa"/>
            </w:tcMar>
          </w:tcPr>
          <w:p w14:paraId="46C4DACF" w14:textId="77777777" w:rsidR="00903A1C" w:rsidRDefault="00000000">
            <w:r>
              <w:rPr>
                <w:color w:val="000000"/>
                <w:sz w:val="19"/>
                <w:szCs w:val="19"/>
              </w:rPr>
              <w:t>IP address, device/browser data, pages viewed, cookie identifiers</w:t>
            </w:r>
          </w:p>
        </w:tc>
        <w:tc>
          <w:tcPr>
            <w:tcW w:w="3400" w:type="dxa"/>
            <w:tcMar>
              <w:top w:w="80" w:type="dxa"/>
              <w:left w:w="100" w:type="dxa"/>
              <w:bottom w:w="80" w:type="dxa"/>
              <w:right w:w="100" w:type="dxa"/>
            </w:tcMar>
          </w:tcPr>
          <w:p w14:paraId="090AFFF5" w14:textId="77777777" w:rsidR="00903A1C" w:rsidRDefault="00000000">
            <w:r>
              <w:rPr>
                <w:color w:val="000000"/>
                <w:sz w:val="19"/>
                <w:szCs w:val="19"/>
              </w:rPr>
              <w:t>Website analytics and cookies</w:t>
            </w:r>
          </w:p>
        </w:tc>
      </w:tr>
      <w:tr w:rsidR="00903A1C" w14:paraId="00D67C99" w14:textId="77777777">
        <w:tblPrEx>
          <w:tblCellMar>
            <w:top w:w="0" w:type="dxa"/>
            <w:bottom w:w="0" w:type="dxa"/>
          </w:tblCellMar>
        </w:tblPrEx>
        <w:tc>
          <w:tcPr>
            <w:tcW w:w="2400" w:type="dxa"/>
            <w:tcMar>
              <w:top w:w="80" w:type="dxa"/>
              <w:left w:w="100" w:type="dxa"/>
              <w:bottom w:w="80" w:type="dxa"/>
              <w:right w:w="100" w:type="dxa"/>
            </w:tcMar>
          </w:tcPr>
          <w:p w14:paraId="4CD900A7" w14:textId="77777777" w:rsidR="00903A1C" w:rsidRDefault="00000000">
            <w:r>
              <w:rPr>
                <w:color w:val="000000"/>
                <w:sz w:val="19"/>
                <w:szCs w:val="19"/>
              </w:rPr>
              <w:t>Job applicants</w:t>
            </w:r>
          </w:p>
        </w:tc>
        <w:tc>
          <w:tcPr>
            <w:tcW w:w="3600" w:type="dxa"/>
            <w:tcMar>
              <w:top w:w="80" w:type="dxa"/>
              <w:left w:w="100" w:type="dxa"/>
              <w:bottom w:w="80" w:type="dxa"/>
              <w:right w:w="100" w:type="dxa"/>
            </w:tcMar>
          </w:tcPr>
          <w:p w14:paraId="3BFAF291" w14:textId="77777777" w:rsidR="00903A1C" w:rsidRDefault="00000000">
            <w:r>
              <w:rPr>
                <w:color w:val="000000"/>
                <w:sz w:val="19"/>
                <w:szCs w:val="19"/>
              </w:rPr>
              <w:t>Name, contact details, CV, employment history, references</w:t>
            </w:r>
          </w:p>
        </w:tc>
        <w:tc>
          <w:tcPr>
            <w:tcW w:w="3400" w:type="dxa"/>
            <w:tcMar>
              <w:top w:w="80" w:type="dxa"/>
              <w:left w:w="100" w:type="dxa"/>
              <w:bottom w:w="80" w:type="dxa"/>
              <w:right w:w="100" w:type="dxa"/>
            </w:tcMar>
          </w:tcPr>
          <w:p w14:paraId="25386DBC" w14:textId="77777777" w:rsidR="00903A1C" w:rsidRDefault="00000000">
            <w:r>
              <w:rPr>
                <w:color w:val="000000"/>
                <w:sz w:val="19"/>
                <w:szCs w:val="19"/>
              </w:rPr>
              <w:t>Application forms, recruiters, referees</w:t>
            </w:r>
          </w:p>
        </w:tc>
      </w:tr>
      <w:tr w:rsidR="00903A1C" w14:paraId="79874660" w14:textId="77777777">
        <w:tblPrEx>
          <w:tblCellMar>
            <w:top w:w="0" w:type="dxa"/>
            <w:bottom w:w="0" w:type="dxa"/>
          </w:tblCellMar>
        </w:tblPrEx>
        <w:tc>
          <w:tcPr>
            <w:tcW w:w="2400" w:type="dxa"/>
            <w:tcMar>
              <w:top w:w="80" w:type="dxa"/>
              <w:left w:w="100" w:type="dxa"/>
              <w:bottom w:w="80" w:type="dxa"/>
              <w:right w:w="100" w:type="dxa"/>
            </w:tcMar>
          </w:tcPr>
          <w:p w14:paraId="3F76AF02" w14:textId="77777777" w:rsidR="00903A1C" w:rsidRDefault="00000000">
            <w:r>
              <w:rPr>
                <w:color w:val="000000"/>
                <w:sz w:val="19"/>
                <w:szCs w:val="19"/>
              </w:rPr>
              <w:t>Suppliers &amp; advisers</w:t>
            </w:r>
          </w:p>
        </w:tc>
        <w:tc>
          <w:tcPr>
            <w:tcW w:w="3600" w:type="dxa"/>
            <w:tcMar>
              <w:top w:w="80" w:type="dxa"/>
              <w:left w:w="100" w:type="dxa"/>
              <w:bottom w:w="80" w:type="dxa"/>
              <w:right w:w="100" w:type="dxa"/>
            </w:tcMar>
          </w:tcPr>
          <w:p w14:paraId="4724A6C2" w14:textId="77777777" w:rsidR="00903A1C" w:rsidRDefault="00000000">
            <w:r>
              <w:rPr>
                <w:color w:val="000000"/>
                <w:sz w:val="19"/>
                <w:szCs w:val="19"/>
              </w:rPr>
              <w:t>Name, business contact details, bank details for payment</w:t>
            </w:r>
          </w:p>
        </w:tc>
        <w:tc>
          <w:tcPr>
            <w:tcW w:w="3400" w:type="dxa"/>
            <w:tcMar>
              <w:top w:w="80" w:type="dxa"/>
              <w:left w:w="100" w:type="dxa"/>
              <w:bottom w:w="80" w:type="dxa"/>
              <w:right w:w="100" w:type="dxa"/>
            </w:tcMar>
          </w:tcPr>
          <w:p w14:paraId="641E4D45" w14:textId="77777777" w:rsidR="00903A1C" w:rsidRDefault="00000000">
            <w:r>
              <w:rPr>
                <w:color w:val="000000"/>
                <w:sz w:val="19"/>
                <w:szCs w:val="19"/>
              </w:rPr>
              <w:t>Contracts, invoices, correspondence</w:t>
            </w:r>
          </w:p>
        </w:tc>
      </w:tr>
    </w:tbl>
    <w:p w14:paraId="55A3C9CF" w14:textId="77777777" w:rsidR="00903A1C" w:rsidRDefault="00903A1C">
      <w:pPr>
        <w:spacing w:after="200"/>
      </w:pPr>
    </w:p>
    <w:p w14:paraId="0781EA7C" w14:textId="77777777" w:rsidR="00903A1C" w:rsidRDefault="00000000">
      <w:pPr>
        <w:spacing w:after="160" w:line="276" w:lineRule="auto"/>
      </w:pPr>
      <w:r>
        <w:rPr>
          <w:sz w:val="21"/>
          <w:szCs w:val="21"/>
        </w:rPr>
        <w:t>Where we collect special category data (for example, in the course of AML/KYC checks or litigation), we do so only where a specific legal basis under Article 9 GDPR applies, such as the establishment, exercise or defence of legal claims, or substantial public interest.</w:t>
      </w:r>
    </w:p>
    <w:p w14:paraId="1E0D5A2F" w14:textId="77777777" w:rsidR="00903A1C" w:rsidRDefault="00000000">
      <w:pPr>
        <w:pStyle w:val="Heading1"/>
        <w:spacing w:before="320" w:after="160"/>
      </w:pPr>
      <w:r>
        <w:rPr>
          <w:b/>
          <w:bCs/>
          <w:color w:val="1F2A44"/>
          <w:sz w:val="26"/>
          <w:szCs w:val="26"/>
        </w:rPr>
        <w:t>4. How we use your data and our legal basis</w:t>
      </w:r>
    </w:p>
    <w:p w14:paraId="01498D54" w14:textId="77777777" w:rsidR="00903A1C" w:rsidRDefault="00000000">
      <w:pPr>
        <w:spacing w:after="160" w:line="276" w:lineRule="auto"/>
      </w:pPr>
      <w:r>
        <w:rPr>
          <w:sz w:val="21"/>
          <w:szCs w:val="21"/>
        </w:rPr>
        <w:lastRenderedPageBreak/>
        <w:t>We use personal data for the purposes set out below, relying on the legal bases identified under Article 6 GDPR. Where we rely on legitimate interests, those interests are the effective management of our REIT business, our properties, our regulatory obligations, and our corporate transactions, balanced against your rights and interests.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3800"/>
        <w:gridCol w:w="3000"/>
      </w:tblGrid>
      <w:tr w:rsidR="00903A1C" w14:paraId="3CACC6B8" w14:textId="77777777">
        <w:tblPrEx>
          <w:tblCellMar>
            <w:top w:w="0" w:type="dxa"/>
            <w:bottom w:w="0" w:type="dxa"/>
          </w:tblCellMar>
        </w:tblPrEx>
        <w:tc>
          <w:tcPr>
            <w:tcW w:w="2600" w:type="dxa"/>
            <w:shd w:val="clear" w:color="auto" w:fill="1F2A44"/>
            <w:tcMar>
              <w:top w:w="80" w:type="dxa"/>
              <w:left w:w="100" w:type="dxa"/>
              <w:bottom w:w="80" w:type="dxa"/>
              <w:right w:w="100" w:type="dxa"/>
            </w:tcMar>
          </w:tcPr>
          <w:p w14:paraId="7DBF713B" w14:textId="77777777" w:rsidR="00903A1C" w:rsidRDefault="00000000">
            <w:r>
              <w:rPr>
                <w:b/>
                <w:bCs/>
                <w:color w:val="FFFFFF"/>
                <w:sz w:val="19"/>
                <w:szCs w:val="19"/>
              </w:rPr>
              <w:t>Purpose</w:t>
            </w:r>
          </w:p>
        </w:tc>
        <w:tc>
          <w:tcPr>
            <w:tcW w:w="3800" w:type="dxa"/>
            <w:shd w:val="clear" w:color="auto" w:fill="1F2A44"/>
            <w:tcMar>
              <w:top w:w="80" w:type="dxa"/>
              <w:left w:w="100" w:type="dxa"/>
              <w:bottom w:w="80" w:type="dxa"/>
              <w:right w:w="100" w:type="dxa"/>
            </w:tcMar>
          </w:tcPr>
          <w:p w14:paraId="3467DA99" w14:textId="77777777" w:rsidR="00903A1C" w:rsidRDefault="00000000">
            <w:r>
              <w:rPr>
                <w:b/>
                <w:bCs/>
                <w:color w:val="FFFFFF"/>
                <w:sz w:val="19"/>
                <w:szCs w:val="19"/>
              </w:rPr>
              <w:t>Description</w:t>
            </w:r>
          </w:p>
        </w:tc>
        <w:tc>
          <w:tcPr>
            <w:tcW w:w="3000" w:type="dxa"/>
            <w:shd w:val="clear" w:color="auto" w:fill="1F2A44"/>
            <w:tcMar>
              <w:top w:w="80" w:type="dxa"/>
              <w:left w:w="100" w:type="dxa"/>
              <w:bottom w:w="80" w:type="dxa"/>
              <w:right w:w="100" w:type="dxa"/>
            </w:tcMar>
          </w:tcPr>
          <w:p w14:paraId="0F39EFAF" w14:textId="77777777" w:rsidR="00903A1C" w:rsidRDefault="00000000">
            <w:r>
              <w:rPr>
                <w:b/>
                <w:bCs/>
                <w:color w:val="FFFFFF"/>
                <w:sz w:val="19"/>
                <w:szCs w:val="19"/>
              </w:rPr>
              <w:t>Legal basis (GDPR Art. 6)</w:t>
            </w:r>
          </w:p>
        </w:tc>
      </w:tr>
      <w:tr w:rsidR="00903A1C" w14:paraId="38AD3427" w14:textId="77777777">
        <w:tblPrEx>
          <w:tblCellMar>
            <w:top w:w="0" w:type="dxa"/>
            <w:bottom w:w="0" w:type="dxa"/>
          </w:tblCellMar>
        </w:tblPrEx>
        <w:tc>
          <w:tcPr>
            <w:tcW w:w="2600" w:type="dxa"/>
            <w:tcMar>
              <w:top w:w="80" w:type="dxa"/>
              <w:left w:w="100" w:type="dxa"/>
              <w:bottom w:w="80" w:type="dxa"/>
              <w:right w:w="100" w:type="dxa"/>
            </w:tcMar>
          </w:tcPr>
          <w:p w14:paraId="4B5058E2" w14:textId="77777777" w:rsidR="00903A1C" w:rsidRDefault="00000000">
            <w:r>
              <w:rPr>
                <w:color w:val="000000"/>
                <w:sz w:val="19"/>
                <w:szCs w:val="19"/>
              </w:rPr>
              <w:t>Investor relations &amp; share register</w:t>
            </w:r>
          </w:p>
        </w:tc>
        <w:tc>
          <w:tcPr>
            <w:tcW w:w="3800" w:type="dxa"/>
            <w:tcMar>
              <w:top w:w="80" w:type="dxa"/>
              <w:left w:w="100" w:type="dxa"/>
              <w:bottom w:w="80" w:type="dxa"/>
              <w:right w:w="100" w:type="dxa"/>
            </w:tcMar>
          </w:tcPr>
          <w:p w14:paraId="646EC059" w14:textId="77777777" w:rsidR="00903A1C" w:rsidRDefault="00000000">
            <w:r>
              <w:rPr>
                <w:color w:val="000000"/>
                <w:sz w:val="19"/>
                <w:szCs w:val="19"/>
              </w:rPr>
              <w:t>Maintaining the statutory register of members, processing dividends and shareholder communications</w:t>
            </w:r>
          </w:p>
        </w:tc>
        <w:tc>
          <w:tcPr>
            <w:tcW w:w="3000" w:type="dxa"/>
            <w:tcMar>
              <w:top w:w="80" w:type="dxa"/>
              <w:left w:w="100" w:type="dxa"/>
              <w:bottom w:w="80" w:type="dxa"/>
              <w:right w:w="100" w:type="dxa"/>
            </w:tcMar>
          </w:tcPr>
          <w:p w14:paraId="07D605E7" w14:textId="77777777" w:rsidR="00903A1C" w:rsidRDefault="00000000">
            <w:r>
              <w:rPr>
                <w:color w:val="000000"/>
                <w:sz w:val="19"/>
                <w:szCs w:val="19"/>
              </w:rPr>
              <w:t>Legal obligation (Art. 6(1)(c)); Contract (Art. 6(1)(b))</w:t>
            </w:r>
          </w:p>
        </w:tc>
      </w:tr>
      <w:tr w:rsidR="00903A1C" w14:paraId="288B689C" w14:textId="77777777">
        <w:tblPrEx>
          <w:tblCellMar>
            <w:top w:w="0" w:type="dxa"/>
            <w:bottom w:w="0" w:type="dxa"/>
          </w:tblCellMar>
        </w:tblPrEx>
        <w:tc>
          <w:tcPr>
            <w:tcW w:w="2600" w:type="dxa"/>
            <w:tcMar>
              <w:top w:w="80" w:type="dxa"/>
              <w:left w:w="100" w:type="dxa"/>
              <w:bottom w:w="80" w:type="dxa"/>
              <w:right w:w="100" w:type="dxa"/>
            </w:tcMar>
          </w:tcPr>
          <w:p w14:paraId="67B68FB6" w14:textId="77777777" w:rsidR="00903A1C" w:rsidRDefault="00000000">
            <w:r>
              <w:rPr>
                <w:color w:val="000000"/>
                <w:sz w:val="19"/>
                <w:szCs w:val="19"/>
              </w:rPr>
              <w:t>Anti-money laundering / KYC</w:t>
            </w:r>
          </w:p>
        </w:tc>
        <w:tc>
          <w:tcPr>
            <w:tcW w:w="3800" w:type="dxa"/>
            <w:tcMar>
              <w:top w:w="80" w:type="dxa"/>
              <w:left w:w="100" w:type="dxa"/>
              <w:bottom w:w="80" w:type="dxa"/>
              <w:right w:w="100" w:type="dxa"/>
            </w:tcMar>
          </w:tcPr>
          <w:p w14:paraId="61B42743" w14:textId="77777777" w:rsidR="00903A1C" w:rsidRDefault="00000000">
            <w:r>
              <w:rPr>
                <w:color w:val="000000"/>
                <w:sz w:val="19"/>
                <w:szCs w:val="19"/>
              </w:rPr>
              <w:t>Verifying identity and source of funds for investors and transaction counterparties</w:t>
            </w:r>
          </w:p>
        </w:tc>
        <w:tc>
          <w:tcPr>
            <w:tcW w:w="3000" w:type="dxa"/>
            <w:tcMar>
              <w:top w:w="80" w:type="dxa"/>
              <w:left w:w="100" w:type="dxa"/>
              <w:bottom w:w="80" w:type="dxa"/>
              <w:right w:w="100" w:type="dxa"/>
            </w:tcMar>
          </w:tcPr>
          <w:p w14:paraId="57530FA1" w14:textId="77777777" w:rsidR="00903A1C" w:rsidRDefault="00000000">
            <w:r>
              <w:rPr>
                <w:color w:val="000000"/>
                <w:sz w:val="19"/>
                <w:szCs w:val="19"/>
              </w:rPr>
              <w:t>Legal obligation (Art. 6(1)(c))</w:t>
            </w:r>
          </w:p>
        </w:tc>
      </w:tr>
      <w:tr w:rsidR="00903A1C" w14:paraId="66105C07" w14:textId="77777777">
        <w:tblPrEx>
          <w:tblCellMar>
            <w:top w:w="0" w:type="dxa"/>
            <w:bottom w:w="0" w:type="dxa"/>
          </w:tblCellMar>
        </w:tblPrEx>
        <w:tc>
          <w:tcPr>
            <w:tcW w:w="2600" w:type="dxa"/>
            <w:tcMar>
              <w:top w:w="80" w:type="dxa"/>
              <w:left w:w="100" w:type="dxa"/>
              <w:bottom w:w="80" w:type="dxa"/>
              <w:right w:w="100" w:type="dxa"/>
            </w:tcMar>
          </w:tcPr>
          <w:p w14:paraId="0738E957" w14:textId="77777777" w:rsidR="00903A1C" w:rsidRDefault="00000000">
            <w:r>
              <w:rPr>
                <w:color w:val="000000"/>
                <w:sz w:val="19"/>
                <w:szCs w:val="19"/>
              </w:rPr>
              <w:t>Property &amp; lease management</w:t>
            </w:r>
          </w:p>
        </w:tc>
        <w:tc>
          <w:tcPr>
            <w:tcW w:w="3800" w:type="dxa"/>
            <w:tcMar>
              <w:top w:w="80" w:type="dxa"/>
              <w:left w:w="100" w:type="dxa"/>
              <w:bottom w:w="80" w:type="dxa"/>
              <w:right w:w="100" w:type="dxa"/>
            </w:tcMar>
          </w:tcPr>
          <w:p w14:paraId="2D5C58B7" w14:textId="77777777" w:rsidR="00903A1C" w:rsidRDefault="00000000">
            <w:r>
              <w:rPr>
                <w:color w:val="000000"/>
                <w:sz w:val="19"/>
                <w:szCs w:val="19"/>
              </w:rPr>
              <w:t>Administering tenancies, rent collection, arrears and dispute management</w:t>
            </w:r>
          </w:p>
        </w:tc>
        <w:tc>
          <w:tcPr>
            <w:tcW w:w="3000" w:type="dxa"/>
            <w:tcMar>
              <w:top w:w="80" w:type="dxa"/>
              <w:left w:w="100" w:type="dxa"/>
              <w:bottom w:w="80" w:type="dxa"/>
              <w:right w:w="100" w:type="dxa"/>
            </w:tcMar>
          </w:tcPr>
          <w:p w14:paraId="4AC44177" w14:textId="77777777" w:rsidR="00903A1C" w:rsidRDefault="00000000">
            <w:r>
              <w:rPr>
                <w:color w:val="000000"/>
                <w:sz w:val="19"/>
                <w:szCs w:val="19"/>
              </w:rPr>
              <w:t>Contract (Art. 6(1)(b)); Legitimate interests (Art. 6(1)(f))</w:t>
            </w:r>
          </w:p>
        </w:tc>
      </w:tr>
      <w:tr w:rsidR="00903A1C" w14:paraId="4150D8FD" w14:textId="77777777">
        <w:tblPrEx>
          <w:tblCellMar>
            <w:top w:w="0" w:type="dxa"/>
            <w:bottom w:w="0" w:type="dxa"/>
          </w:tblCellMar>
        </w:tblPrEx>
        <w:tc>
          <w:tcPr>
            <w:tcW w:w="2600" w:type="dxa"/>
            <w:tcMar>
              <w:top w:w="80" w:type="dxa"/>
              <w:left w:w="100" w:type="dxa"/>
              <w:bottom w:w="80" w:type="dxa"/>
              <w:right w:w="100" w:type="dxa"/>
            </w:tcMar>
          </w:tcPr>
          <w:p w14:paraId="1CA764AB" w14:textId="77777777" w:rsidR="00903A1C" w:rsidRDefault="00000000">
            <w:r>
              <w:rPr>
                <w:color w:val="000000"/>
                <w:sz w:val="19"/>
                <w:szCs w:val="19"/>
              </w:rPr>
              <w:t>Transaction due diligence</w:t>
            </w:r>
          </w:p>
        </w:tc>
        <w:tc>
          <w:tcPr>
            <w:tcW w:w="3800" w:type="dxa"/>
            <w:tcMar>
              <w:top w:w="80" w:type="dxa"/>
              <w:left w:w="100" w:type="dxa"/>
              <w:bottom w:w="80" w:type="dxa"/>
              <w:right w:w="100" w:type="dxa"/>
            </w:tcMar>
          </w:tcPr>
          <w:p w14:paraId="5CCDABB7" w14:textId="77777777" w:rsidR="00903A1C" w:rsidRDefault="00000000">
            <w:r>
              <w:rPr>
                <w:color w:val="000000"/>
                <w:sz w:val="19"/>
                <w:szCs w:val="19"/>
              </w:rPr>
              <w:t>Assessing and executing acquisitions, disposals and financings</w:t>
            </w:r>
          </w:p>
        </w:tc>
        <w:tc>
          <w:tcPr>
            <w:tcW w:w="3000" w:type="dxa"/>
            <w:tcMar>
              <w:top w:w="80" w:type="dxa"/>
              <w:left w:w="100" w:type="dxa"/>
              <w:bottom w:w="80" w:type="dxa"/>
              <w:right w:w="100" w:type="dxa"/>
            </w:tcMar>
          </w:tcPr>
          <w:p w14:paraId="59418324" w14:textId="77777777" w:rsidR="00903A1C" w:rsidRDefault="00000000">
            <w:r>
              <w:rPr>
                <w:color w:val="000000"/>
                <w:sz w:val="19"/>
                <w:szCs w:val="19"/>
              </w:rPr>
              <w:t>Legitimate interests (Art. 6(1)(f)); Legal obligation (Art. 6(1)(c))</w:t>
            </w:r>
          </w:p>
        </w:tc>
      </w:tr>
      <w:tr w:rsidR="00903A1C" w14:paraId="4406FEAF" w14:textId="77777777">
        <w:tblPrEx>
          <w:tblCellMar>
            <w:top w:w="0" w:type="dxa"/>
            <w:bottom w:w="0" w:type="dxa"/>
          </w:tblCellMar>
        </w:tblPrEx>
        <w:tc>
          <w:tcPr>
            <w:tcW w:w="2600" w:type="dxa"/>
            <w:tcMar>
              <w:top w:w="80" w:type="dxa"/>
              <w:left w:w="100" w:type="dxa"/>
              <w:bottom w:w="80" w:type="dxa"/>
              <w:right w:w="100" w:type="dxa"/>
            </w:tcMar>
          </w:tcPr>
          <w:p w14:paraId="55A144BD" w14:textId="77777777" w:rsidR="00903A1C" w:rsidRDefault="00000000">
            <w:r>
              <w:rPr>
                <w:color w:val="000000"/>
                <w:sz w:val="19"/>
                <w:szCs w:val="19"/>
              </w:rPr>
              <w:t>Regulatory compliance</w:t>
            </w:r>
          </w:p>
        </w:tc>
        <w:tc>
          <w:tcPr>
            <w:tcW w:w="3800" w:type="dxa"/>
            <w:tcMar>
              <w:top w:w="80" w:type="dxa"/>
              <w:left w:w="100" w:type="dxa"/>
              <w:bottom w:w="80" w:type="dxa"/>
              <w:right w:w="100" w:type="dxa"/>
            </w:tcMar>
          </w:tcPr>
          <w:p w14:paraId="26D6F6E8" w14:textId="77777777" w:rsidR="00903A1C" w:rsidRDefault="00000000">
            <w:r>
              <w:rPr>
                <w:color w:val="000000"/>
                <w:sz w:val="19"/>
                <w:szCs w:val="19"/>
              </w:rPr>
              <w:t>Reporting to the Central Bank of Ireland, Euronext Dublin, Revenue and other regulators</w:t>
            </w:r>
          </w:p>
        </w:tc>
        <w:tc>
          <w:tcPr>
            <w:tcW w:w="3000" w:type="dxa"/>
            <w:tcMar>
              <w:top w:w="80" w:type="dxa"/>
              <w:left w:w="100" w:type="dxa"/>
              <w:bottom w:w="80" w:type="dxa"/>
              <w:right w:w="100" w:type="dxa"/>
            </w:tcMar>
          </w:tcPr>
          <w:p w14:paraId="1FCAD981" w14:textId="77777777" w:rsidR="00903A1C" w:rsidRDefault="00000000">
            <w:r>
              <w:rPr>
                <w:color w:val="000000"/>
                <w:sz w:val="19"/>
                <w:szCs w:val="19"/>
              </w:rPr>
              <w:t>Legal obligation (Art. 6(1)(c))</w:t>
            </w:r>
          </w:p>
        </w:tc>
      </w:tr>
      <w:tr w:rsidR="00903A1C" w14:paraId="70F362ED" w14:textId="77777777">
        <w:tblPrEx>
          <w:tblCellMar>
            <w:top w:w="0" w:type="dxa"/>
            <w:bottom w:w="0" w:type="dxa"/>
          </w:tblCellMar>
        </w:tblPrEx>
        <w:tc>
          <w:tcPr>
            <w:tcW w:w="2600" w:type="dxa"/>
            <w:tcMar>
              <w:top w:w="80" w:type="dxa"/>
              <w:left w:w="100" w:type="dxa"/>
              <w:bottom w:w="80" w:type="dxa"/>
              <w:right w:w="100" w:type="dxa"/>
            </w:tcMar>
          </w:tcPr>
          <w:p w14:paraId="5B654ABA" w14:textId="77777777" w:rsidR="00903A1C" w:rsidRDefault="00000000">
            <w:r>
              <w:rPr>
                <w:color w:val="000000"/>
                <w:sz w:val="19"/>
                <w:szCs w:val="19"/>
              </w:rPr>
              <w:t>Website operation &amp; analytics</w:t>
            </w:r>
          </w:p>
        </w:tc>
        <w:tc>
          <w:tcPr>
            <w:tcW w:w="3800" w:type="dxa"/>
            <w:tcMar>
              <w:top w:w="80" w:type="dxa"/>
              <w:left w:w="100" w:type="dxa"/>
              <w:bottom w:w="80" w:type="dxa"/>
              <w:right w:w="100" w:type="dxa"/>
            </w:tcMar>
          </w:tcPr>
          <w:p w14:paraId="57F0A287" w14:textId="77777777" w:rsidR="00903A1C" w:rsidRDefault="00000000">
            <w:r>
              <w:rPr>
                <w:color w:val="000000"/>
                <w:sz w:val="19"/>
                <w:szCs w:val="19"/>
              </w:rPr>
              <w:t>Operating the corporate website and understanding usage</w:t>
            </w:r>
          </w:p>
        </w:tc>
        <w:tc>
          <w:tcPr>
            <w:tcW w:w="3000" w:type="dxa"/>
            <w:tcMar>
              <w:top w:w="80" w:type="dxa"/>
              <w:left w:w="100" w:type="dxa"/>
              <w:bottom w:w="80" w:type="dxa"/>
              <w:right w:w="100" w:type="dxa"/>
            </w:tcMar>
          </w:tcPr>
          <w:p w14:paraId="4597F088" w14:textId="77777777" w:rsidR="00903A1C" w:rsidRDefault="00000000">
            <w:r>
              <w:rPr>
                <w:color w:val="000000"/>
                <w:sz w:val="19"/>
                <w:szCs w:val="19"/>
              </w:rPr>
              <w:t>Consent (Art. 6(1)(a)); Legitimate interests (Art. 6(1)(f))</w:t>
            </w:r>
          </w:p>
        </w:tc>
      </w:tr>
      <w:tr w:rsidR="00903A1C" w14:paraId="451E3E10" w14:textId="77777777">
        <w:tblPrEx>
          <w:tblCellMar>
            <w:top w:w="0" w:type="dxa"/>
            <w:bottom w:w="0" w:type="dxa"/>
          </w:tblCellMar>
        </w:tblPrEx>
        <w:tc>
          <w:tcPr>
            <w:tcW w:w="2600" w:type="dxa"/>
            <w:tcMar>
              <w:top w:w="80" w:type="dxa"/>
              <w:left w:w="100" w:type="dxa"/>
              <w:bottom w:w="80" w:type="dxa"/>
              <w:right w:w="100" w:type="dxa"/>
            </w:tcMar>
          </w:tcPr>
          <w:p w14:paraId="44270FEA" w14:textId="77777777" w:rsidR="00903A1C" w:rsidRDefault="00000000">
            <w:r>
              <w:rPr>
                <w:color w:val="000000"/>
                <w:sz w:val="19"/>
                <w:szCs w:val="19"/>
              </w:rPr>
              <w:t>Recruitment</w:t>
            </w:r>
          </w:p>
        </w:tc>
        <w:tc>
          <w:tcPr>
            <w:tcW w:w="3800" w:type="dxa"/>
            <w:tcMar>
              <w:top w:w="80" w:type="dxa"/>
              <w:left w:w="100" w:type="dxa"/>
              <w:bottom w:w="80" w:type="dxa"/>
              <w:right w:w="100" w:type="dxa"/>
            </w:tcMar>
          </w:tcPr>
          <w:p w14:paraId="299A5A8D" w14:textId="77777777" w:rsidR="00903A1C" w:rsidRDefault="00000000">
            <w:r>
              <w:rPr>
                <w:color w:val="000000"/>
                <w:sz w:val="19"/>
                <w:szCs w:val="19"/>
              </w:rPr>
              <w:t>Assessing candidates for employment</w:t>
            </w:r>
          </w:p>
        </w:tc>
        <w:tc>
          <w:tcPr>
            <w:tcW w:w="3000" w:type="dxa"/>
            <w:tcMar>
              <w:top w:w="80" w:type="dxa"/>
              <w:left w:w="100" w:type="dxa"/>
              <w:bottom w:w="80" w:type="dxa"/>
              <w:right w:w="100" w:type="dxa"/>
            </w:tcMar>
          </w:tcPr>
          <w:p w14:paraId="2190A532" w14:textId="77777777" w:rsidR="00903A1C" w:rsidRDefault="00000000">
            <w:r>
              <w:rPr>
                <w:color w:val="000000"/>
                <w:sz w:val="19"/>
                <w:szCs w:val="19"/>
              </w:rPr>
              <w:t>Legitimate interests (Art. 6(1)(f)); Contract (Art. 6(1)(b))</w:t>
            </w:r>
          </w:p>
        </w:tc>
      </w:tr>
    </w:tbl>
    <w:p w14:paraId="343FCFEB" w14:textId="77777777" w:rsidR="00903A1C" w:rsidRDefault="00903A1C">
      <w:pPr>
        <w:spacing w:after="200"/>
      </w:pPr>
    </w:p>
    <w:p w14:paraId="0F1837A0" w14:textId="77777777" w:rsidR="00903A1C" w:rsidRDefault="00000000">
      <w:pPr>
        <w:pStyle w:val="Heading1"/>
        <w:spacing w:before="320" w:after="160"/>
      </w:pPr>
      <w:r>
        <w:rPr>
          <w:b/>
          <w:bCs/>
          <w:color w:val="1F2A44"/>
          <w:sz w:val="26"/>
          <w:szCs w:val="26"/>
        </w:rPr>
        <w:t>5. Sharing your data</w:t>
      </w:r>
    </w:p>
    <w:p w14:paraId="2F1AB304" w14:textId="77777777" w:rsidR="00903A1C" w:rsidRDefault="00000000">
      <w:pPr>
        <w:spacing w:after="160" w:line="276" w:lineRule="auto"/>
      </w:pPr>
      <w:r>
        <w:rPr>
          <w:sz w:val="21"/>
          <w:szCs w:val="21"/>
        </w:rPr>
        <w:t>We may share personal data with:</w:t>
      </w:r>
    </w:p>
    <w:p w14:paraId="2E527BA4" w14:textId="77777777" w:rsidR="00903A1C" w:rsidRDefault="00000000">
      <w:pPr>
        <w:pStyle w:val="ListParagraph"/>
        <w:numPr>
          <w:ilvl w:val="0"/>
          <w:numId w:val="2"/>
        </w:numPr>
        <w:spacing w:after="80" w:line="276" w:lineRule="auto"/>
      </w:pPr>
      <w:r>
        <w:rPr>
          <w:sz w:val="21"/>
          <w:szCs w:val="21"/>
        </w:rPr>
        <w:t>Professional advisers, including legal counsel, auditors, tax advisers, and financial advisers engaged on transactions or regulatory matters</w:t>
      </w:r>
    </w:p>
    <w:p w14:paraId="2D5E1E97" w14:textId="77777777" w:rsidR="00903A1C" w:rsidRDefault="00000000">
      <w:pPr>
        <w:pStyle w:val="ListParagraph"/>
        <w:numPr>
          <w:ilvl w:val="0"/>
          <w:numId w:val="2"/>
        </w:numPr>
        <w:spacing w:after="80" w:line="276" w:lineRule="auto"/>
      </w:pPr>
      <w:r>
        <w:rPr>
          <w:sz w:val="21"/>
          <w:szCs w:val="21"/>
        </w:rPr>
        <w:t>Regulators and public bodies, including the Central Bank of Ireland, Euronext Dublin, the Revenue Commissioners, and the Companies Registration Office</w:t>
      </w:r>
    </w:p>
    <w:p w14:paraId="0EC862CC" w14:textId="77777777" w:rsidR="00903A1C" w:rsidRDefault="00000000">
      <w:pPr>
        <w:pStyle w:val="ListParagraph"/>
        <w:numPr>
          <w:ilvl w:val="0"/>
          <w:numId w:val="2"/>
        </w:numPr>
        <w:spacing w:after="80" w:line="276" w:lineRule="auto"/>
      </w:pPr>
      <w:r>
        <w:rPr>
          <w:sz w:val="21"/>
          <w:szCs w:val="21"/>
        </w:rPr>
        <w:t>Share registrars, paying agents, and custodians</w:t>
      </w:r>
    </w:p>
    <w:p w14:paraId="3882DAB7" w14:textId="77777777" w:rsidR="00903A1C" w:rsidRDefault="00000000">
      <w:pPr>
        <w:pStyle w:val="ListParagraph"/>
        <w:numPr>
          <w:ilvl w:val="0"/>
          <w:numId w:val="2"/>
        </w:numPr>
        <w:spacing w:after="80" w:line="276" w:lineRule="auto"/>
      </w:pPr>
      <w:r>
        <w:rPr>
          <w:sz w:val="21"/>
          <w:szCs w:val="21"/>
        </w:rPr>
        <w:t>Property managers, letting agents, and managing agents</w:t>
      </w:r>
    </w:p>
    <w:p w14:paraId="0F0D7793" w14:textId="77777777" w:rsidR="00903A1C" w:rsidRDefault="00000000">
      <w:pPr>
        <w:pStyle w:val="ListParagraph"/>
        <w:numPr>
          <w:ilvl w:val="0"/>
          <w:numId w:val="2"/>
        </w:numPr>
        <w:spacing w:after="80" w:line="276" w:lineRule="auto"/>
      </w:pPr>
      <w:r>
        <w:rPr>
          <w:sz w:val="21"/>
          <w:szCs w:val="21"/>
        </w:rPr>
        <w:t>Banks, lenders, and other financing counterparties</w:t>
      </w:r>
    </w:p>
    <w:p w14:paraId="12B0F4C2" w14:textId="77777777" w:rsidR="00903A1C" w:rsidRDefault="00000000">
      <w:pPr>
        <w:pStyle w:val="ListParagraph"/>
        <w:numPr>
          <w:ilvl w:val="0"/>
          <w:numId w:val="2"/>
        </w:numPr>
        <w:spacing w:after="80" w:line="276" w:lineRule="auto"/>
      </w:pPr>
      <w:r>
        <w:rPr>
          <w:sz w:val="21"/>
          <w:szCs w:val="21"/>
        </w:rPr>
        <w:t>Prospective purchasers or their advisers in connection with a proposed acquisition, disposal, or financing of GDL or its assets</w:t>
      </w:r>
    </w:p>
    <w:p w14:paraId="29AA6C5A" w14:textId="77777777" w:rsidR="00903A1C" w:rsidRDefault="00000000">
      <w:pPr>
        <w:pStyle w:val="ListParagraph"/>
        <w:numPr>
          <w:ilvl w:val="0"/>
          <w:numId w:val="2"/>
        </w:numPr>
        <w:spacing w:after="80" w:line="276" w:lineRule="auto"/>
      </w:pPr>
      <w:r>
        <w:rPr>
          <w:sz w:val="21"/>
          <w:szCs w:val="21"/>
        </w:rPr>
        <w:t>IT and service providers who process data on our behalf under written data processing agreements</w:t>
      </w:r>
    </w:p>
    <w:p w14:paraId="0A0B832D" w14:textId="77777777" w:rsidR="00903A1C" w:rsidRDefault="00000000">
      <w:pPr>
        <w:pStyle w:val="ListParagraph"/>
        <w:numPr>
          <w:ilvl w:val="0"/>
          <w:numId w:val="2"/>
        </w:numPr>
        <w:spacing w:after="80" w:line="276" w:lineRule="auto"/>
      </w:pPr>
      <w:r>
        <w:rPr>
          <w:sz w:val="21"/>
          <w:szCs w:val="21"/>
        </w:rPr>
        <w:t>Courts, tribunals, or law enforcement where required by law or to establish, exercise, or defend legal claims</w:t>
      </w:r>
    </w:p>
    <w:p w14:paraId="76B41DF3" w14:textId="77777777" w:rsidR="00903A1C" w:rsidRDefault="00000000">
      <w:pPr>
        <w:spacing w:after="160" w:line="276" w:lineRule="auto"/>
      </w:pPr>
      <w:r>
        <w:rPr>
          <w:sz w:val="21"/>
          <w:szCs w:val="21"/>
        </w:rPr>
        <w:t>We do not sell personal data to third parties.</w:t>
      </w:r>
    </w:p>
    <w:p w14:paraId="76EDF3DA" w14:textId="77777777" w:rsidR="00903A1C" w:rsidRDefault="00000000">
      <w:pPr>
        <w:pStyle w:val="Heading1"/>
        <w:spacing w:before="320" w:after="160"/>
      </w:pPr>
      <w:r>
        <w:rPr>
          <w:b/>
          <w:bCs/>
          <w:color w:val="1F2A44"/>
          <w:sz w:val="26"/>
          <w:szCs w:val="26"/>
        </w:rPr>
        <w:t>6. International transfers</w:t>
      </w:r>
    </w:p>
    <w:p w14:paraId="21B0E6B6" w14:textId="77777777" w:rsidR="00903A1C" w:rsidRDefault="00000000">
      <w:pPr>
        <w:spacing w:after="160" w:line="276" w:lineRule="auto"/>
      </w:pPr>
      <w:r>
        <w:rPr>
          <w:sz w:val="21"/>
          <w:szCs w:val="21"/>
        </w:rPr>
        <w:t>Where personal data is transferred outside the European Economic Area (for example, to an adviser, service provider, or counterparty in a third country), we ensure an adequate level of protection through mechanisms such as the European Commission's Standard Contractual Clauses, adequacy decisions, or other safeguards recognised under GDPR.</w:t>
      </w:r>
    </w:p>
    <w:p w14:paraId="1A8F98FB" w14:textId="77777777" w:rsidR="00903A1C" w:rsidRDefault="00000000">
      <w:pPr>
        <w:pStyle w:val="Heading1"/>
        <w:spacing w:before="320" w:after="160"/>
      </w:pPr>
      <w:r>
        <w:rPr>
          <w:b/>
          <w:bCs/>
          <w:color w:val="1F2A44"/>
          <w:sz w:val="26"/>
          <w:szCs w:val="26"/>
        </w:rPr>
        <w:t>7. Data retention</w:t>
      </w:r>
    </w:p>
    <w:p w14:paraId="11EC85E4" w14:textId="77777777" w:rsidR="00903A1C" w:rsidRDefault="00000000">
      <w:pPr>
        <w:spacing w:after="160" w:line="276" w:lineRule="auto"/>
      </w:pPr>
      <w:r>
        <w:rPr>
          <w:sz w:val="21"/>
          <w:szCs w:val="21"/>
        </w:rPr>
        <w:t xml:space="preserve">We retain personal data only for as long as necessary for the purposes for which it was collected, including to satisfy legal, accounting, regulatory, or reporting obligations. Statutory registers and transaction records are </w:t>
      </w:r>
      <w:r>
        <w:rPr>
          <w:sz w:val="21"/>
          <w:szCs w:val="21"/>
        </w:rPr>
        <w:lastRenderedPageBreak/>
        <w:t>generally retained for periods required under Irish company, tax, and AML legislation, after which data is securely deleted or anonymised.</w:t>
      </w:r>
    </w:p>
    <w:p w14:paraId="39D931DA" w14:textId="77777777" w:rsidR="00903A1C" w:rsidRDefault="00000000">
      <w:pPr>
        <w:pStyle w:val="Heading1"/>
        <w:spacing w:before="320" w:after="160"/>
      </w:pPr>
      <w:r>
        <w:rPr>
          <w:b/>
          <w:bCs/>
          <w:color w:val="1F2A44"/>
          <w:sz w:val="26"/>
          <w:szCs w:val="26"/>
        </w:rPr>
        <w:t>8. Your rights</w:t>
      </w:r>
    </w:p>
    <w:p w14:paraId="5C5A509C" w14:textId="77777777" w:rsidR="00903A1C" w:rsidRDefault="00000000">
      <w:pPr>
        <w:spacing w:after="160" w:line="276" w:lineRule="auto"/>
      </w:pPr>
      <w:r>
        <w:rPr>
          <w:sz w:val="21"/>
          <w:szCs w:val="21"/>
        </w:rPr>
        <w:t>Subject to applicable law, you have the right to:</w:t>
      </w:r>
    </w:p>
    <w:p w14:paraId="0FD35767" w14:textId="77777777" w:rsidR="00903A1C" w:rsidRDefault="00000000">
      <w:pPr>
        <w:pStyle w:val="ListParagraph"/>
        <w:numPr>
          <w:ilvl w:val="0"/>
          <w:numId w:val="2"/>
        </w:numPr>
        <w:spacing w:after="80" w:line="276" w:lineRule="auto"/>
      </w:pPr>
      <w:r>
        <w:rPr>
          <w:sz w:val="21"/>
          <w:szCs w:val="21"/>
        </w:rPr>
        <w:t>Access the personal data we hold about you</w:t>
      </w:r>
    </w:p>
    <w:p w14:paraId="39CCBF05" w14:textId="77777777" w:rsidR="00903A1C" w:rsidRDefault="00000000">
      <w:pPr>
        <w:pStyle w:val="ListParagraph"/>
        <w:numPr>
          <w:ilvl w:val="0"/>
          <w:numId w:val="2"/>
        </w:numPr>
        <w:spacing w:after="80" w:line="276" w:lineRule="auto"/>
      </w:pPr>
      <w:r>
        <w:rPr>
          <w:sz w:val="21"/>
          <w:szCs w:val="21"/>
        </w:rPr>
        <w:t>Request rectification of inaccurate or incomplete data</w:t>
      </w:r>
    </w:p>
    <w:p w14:paraId="7EC8E9EB" w14:textId="77777777" w:rsidR="00903A1C" w:rsidRDefault="00000000">
      <w:pPr>
        <w:pStyle w:val="ListParagraph"/>
        <w:numPr>
          <w:ilvl w:val="0"/>
          <w:numId w:val="2"/>
        </w:numPr>
        <w:spacing w:after="80" w:line="276" w:lineRule="auto"/>
      </w:pPr>
      <w:r>
        <w:rPr>
          <w:sz w:val="21"/>
          <w:szCs w:val="21"/>
        </w:rPr>
        <w:t>Request erasure of your data in certain circumstances</w:t>
      </w:r>
    </w:p>
    <w:p w14:paraId="7CC2EB08" w14:textId="77777777" w:rsidR="00903A1C" w:rsidRDefault="00000000">
      <w:pPr>
        <w:pStyle w:val="ListParagraph"/>
        <w:numPr>
          <w:ilvl w:val="0"/>
          <w:numId w:val="2"/>
        </w:numPr>
        <w:spacing w:after="80" w:line="276" w:lineRule="auto"/>
      </w:pPr>
      <w:r>
        <w:rPr>
          <w:sz w:val="21"/>
          <w:szCs w:val="21"/>
        </w:rPr>
        <w:t>Restrict or object to our processing of your data</w:t>
      </w:r>
    </w:p>
    <w:p w14:paraId="5CBF8C1D" w14:textId="77777777" w:rsidR="00903A1C" w:rsidRDefault="00000000">
      <w:pPr>
        <w:pStyle w:val="ListParagraph"/>
        <w:numPr>
          <w:ilvl w:val="0"/>
          <w:numId w:val="2"/>
        </w:numPr>
        <w:spacing w:after="80" w:line="276" w:lineRule="auto"/>
      </w:pPr>
      <w:r>
        <w:rPr>
          <w:sz w:val="21"/>
          <w:szCs w:val="21"/>
        </w:rPr>
        <w:t>Request data portability, where applicable</w:t>
      </w:r>
    </w:p>
    <w:p w14:paraId="3B6F1844" w14:textId="77777777" w:rsidR="00903A1C" w:rsidRDefault="00000000">
      <w:pPr>
        <w:pStyle w:val="ListParagraph"/>
        <w:numPr>
          <w:ilvl w:val="0"/>
          <w:numId w:val="2"/>
        </w:numPr>
        <w:spacing w:after="80" w:line="276" w:lineRule="auto"/>
      </w:pPr>
      <w:r>
        <w:rPr>
          <w:sz w:val="21"/>
          <w:szCs w:val="21"/>
        </w:rPr>
        <w:t>Withdraw consent at any time, where processing is based on consent</w:t>
      </w:r>
    </w:p>
    <w:p w14:paraId="3002B97A" w14:textId="77777777" w:rsidR="00903A1C" w:rsidRDefault="00000000">
      <w:pPr>
        <w:pStyle w:val="ListParagraph"/>
        <w:numPr>
          <w:ilvl w:val="0"/>
          <w:numId w:val="2"/>
        </w:numPr>
        <w:spacing w:after="80" w:line="276" w:lineRule="auto"/>
      </w:pPr>
      <w:r>
        <w:rPr>
          <w:sz w:val="21"/>
          <w:szCs w:val="21"/>
        </w:rPr>
        <w:t>Lodge a complaint with the Irish Data Protection Commission (www.dataprotection.ie)</w:t>
      </w:r>
    </w:p>
    <w:p w14:paraId="73924FD0" w14:textId="77777777" w:rsidR="00903A1C" w:rsidRDefault="00000000">
      <w:pPr>
        <w:spacing w:after="160" w:line="276" w:lineRule="auto"/>
      </w:pPr>
      <w:r>
        <w:rPr>
          <w:sz w:val="21"/>
          <w:szCs w:val="21"/>
        </w:rPr>
        <w:t>To exercise any of these rights, please contact us using the details in Section 2. We may need to verify your identity before responding.</w:t>
      </w:r>
    </w:p>
    <w:p w14:paraId="4F0CDE3D" w14:textId="77777777" w:rsidR="00903A1C" w:rsidRDefault="00000000">
      <w:pPr>
        <w:pStyle w:val="Heading1"/>
        <w:spacing w:before="320" w:after="160"/>
      </w:pPr>
      <w:r>
        <w:rPr>
          <w:b/>
          <w:bCs/>
          <w:color w:val="1F2A44"/>
          <w:sz w:val="26"/>
          <w:szCs w:val="26"/>
        </w:rPr>
        <w:t>9. Cookies and website data</w:t>
      </w:r>
    </w:p>
    <w:p w14:paraId="3BB6B7C8" w14:textId="77777777" w:rsidR="00903A1C" w:rsidRDefault="00000000">
      <w:pPr>
        <w:spacing w:after="160" w:line="276" w:lineRule="auto"/>
      </w:pPr>
      <w:r>
        <w:rPr>
          <w:sz w:val="21"/>
          <w:szCs w:val="21"/>
        </w:rPr>
        <w:t>Our website may use cookies and similar technologies to operate effectively and to understand how visitors use our site. You can manage cookie preferences through your browser settings or any cookie banner presented on our website. Further detail is set out in our separate Cookie Policy, where applicable.</w:t>
      </w:r>
    </w:p>
    <w:p w14:paraId="6BB54387" w14:textId="77777777" w:rsidR="00903A1C" w:rsidRDefault="00000000">
      <w:pPr>
        <w:pStyle w:val="Heading1"/>
        <w:spacing w:before="320" w:after="160"/>
      </w:pPr>
      <w:r>
        <w:rPr>
          <w:b/>
          <w:bCs/>
          <w:color w:val="1F2A44"/>
          <w:sz w:val="26"/>
          <w:szCs w:val="26"/>
        </w:rPr>
        <w:t>10. Security</w:t>
      </w:r>
    </w:p>
    <w:p w14:paraId="23EC8403" w14:textId="77777777" w:rsidR="00903A1C" w:rsidRDefault="00000000">
      <w:pPr>
        <w:spacing w:after="160" w:line="276" w:lineRule="auto"/>
      </w:pPr>
      <w:r>
        <w:rPr>
          <w:sz w:val="21"/>
          <w:szCs w:val="21"/>
        </w:rPr>
        <w:t>We maintain appropriate technical and organisational measures to protect personal data against unauthorised access, loss, misuse, or alteration, including access controls, encryption where appropriate, and confidentiality obligations on staff and advisers.</w:t>
      </w:r>
    </w:p>
    <w:p w14:paraId="43912535" w14:textId="77777777" w:rsidR="00903A1C" w:rsidRDefault="00000000">
      <w:pPr>
        <w:pStyle w:val="Heading1"/>
        <w:spacing w:before="320" w:after="160"/>
      </w:pPr>
      <w:r>
        <w:rPr>
          <w:b/>
          <w:bCs/>
          <w:color w:val="1F2A44"/>
          <w:sz w:val="26"/>
          <w:szCs w:val="26"/>
        </w:rPr>
        <w:t>11. Children's data</w:t>
      </w:r>
    </w:p>
    <w:p w14:paraId="324D2BFC" w14:textId="77777777" w:rsidR="00903A1C" w:rsidRDefault="00000000">
      <w:pPr>
        <w:spacing w:after="160" w:line="276" w:lineRule="auto"/>
      </w:pPr>
      <w:r>
        <w:rPr>
          <w:sz w:val="21"/>
          <w:szCs w:val="21"/>
        </w:rPr>
        <w:t>Our activities are not directed at children, and we do not knowingly collect personal data from children.</w:t>
      </w:r>
    </w:p>
    <w:p w14:paraId="559D3232" w14:textId="77777777" w:rsidR="00903A1C" w:rsidRDefault="00000000">
      <w:pPr>
        <w:pStyle w:val="Heading1"/>
        <w:spacing w:before="320" w:after="160"/>
      </w:pPr>
      <w:r>
        <w:rPr>
          <w:b/>
          <w:bCs/>
          <w:color w:val="1F2A44"/>
          <w:sz w:val="26"/>
          <w:szCs w:val="26"/>
        </w:rPr>
        <w:t>12. Changes to this Policy</w:t>
      </w:r>
    </w:p>
    <w:p w14:paraId="0A9B853B" w14:textId="77777777" w:rsidR="00903A1C" w:rsidRDefault="00000000">
      <w:pPr>
        <w:spacing w:after="160" w:line="276" w:lineRule="auto"/>
      </w:pPr>
      <w:r>
        <w:rPr>
          <w:sz w:val="21"/>
          <w:szCs w:val="21"/>
        </w:rPr>
        <w:t>We may update this Policy from time to time to reflect changes in our practices or legal requirements. The "last updated" date at the top of this Policy indicates when it was last revised.</w:t>
      </w:r>
    </w:p>
    <w:p w14:paraId="0B52CC7A" w14:textId="77777777" w:rsidR="00903A1C" w:rsidRDefault="00000000">
      <w:pPr>
        <w:pStyle w:val="Heading1"/>
        <w:spacing w:before="320" w:after="160"/>
      </w:pPr>
      <w:r>
        <w:rPr>
          <w:b/>
          <w:bCs/>
          <w:color w:val="1F2A44"/>
          <w:sz w:val="26"/>
          <w:szCs w:val="26"/>
        </w:rPr>
        <w:t>13. Contact us</w:t>
      </w:r>
    </w:p>
    <w:p w14:paraId="503C0562" w14:textId="4A8B8A67" w:rsidR="00903A1C" w:rsidRDefault="00000000">
      <w:pPr>
        <w:spacing w:after="160" w:line="276" w:lineRule="auto"/>
      </w:pPr>
      <w:r>
        <w:rPr>
          <w:sz w:val="21"/>
          <w:szCs w:val="21"/>
        </w:rPr>
        <w:t xml:space="preserve">If you have questions about this Policy or how we handle your personal data, please contact us at </w:t>
      </w:r>
      <w:proofErr w:type="spellStart"/>
      <w:r>
        <w:rPr>
          <w:sz w:val="21"/>
          <w:szCs w:val="21"/>
        </w:rPr>
        <w:t>info@gdl.management</w:t>
      </w:r>
      <w:proofErr w:type="spellEnd"/>
      <w:r>
        <w:rPr>
          <w:sz w:val="21"/>
          <w:szCs w:val="21"/>
        </w:rPr>
        <w:t xml:space="preserve"> or write to GDL Management Group PLC, Dublin, Ireland.</w:t>
      </w:r>
    </w:p>
    <w:sectPr w:rsidR="00903A1C">
      <w:pgSz w:w="11906" w:h="16838"/>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83949C1"/>
    <w:multiLevelType w:val="hybridMultilevel"/>
    <w:tmpl w:val="7A580A80"/>
    <w:lvl w:ilvl="0" w:tplc="26EC8AD0">
      <w:start w:val="1"/>
      <w:numFmt w:val="bullet"/>
      <w:lvlText w:val="●"/>
      <w:lvlJc w:val="left"/>
      <w:pPr>
        <w:ind w:left="720" w:hanging="360"/>
      </w:pPr>
    </w:lvl>
    <w:lvl w:ilvl="1" w:tplc="D040CA3E">
      <w:start w:val="1"/>
      <w:numFmt w:val="bullet"/>
      <w:lvlText w:val="○"/>
      <w:lvlJc w:val="left"/>
      <w:pPr>
        <w:ind w:left="1440" w:hanging="360"/>
      </w:pPr>
    </w:lvl>
    <w:lvl w:ilvl="2" w:tplc="676E5C8C">
      <w:start w:val="1"/>
      <w:numFmt w:val="bullet"/>
      <w:lvlText w:val="■"/>
      <w:lvlJc w:val="left"/>
      <w:pPr>
        <w:ind w:left="2160" w:hanging="360"/>
      </w:pPr>
    </w:lvl>
    <w:lvl w:ilvl="3" w:tplc="FC1A3A0A">
      <w:start w:val="1"/>
      <w:numFmt w:val="bullet"/>
      <w:lvlText w:val="●"/>
      <w:lvlJc w:val="left"/>
      <w:pPr>
        <w:ind w:left="2880" w:hanging="360"/>
      </w:pPr>
    </w:lvl>
    <w:lvl w:ilvl="4" w:tplc="1FAEE254">
      <w:start w:val="1"/>
      <w:numFmt w:val="bullet"/>
      <w:lvlText w:val="○"/>
      <w:lvlJc w:val="left"/>
      <w:pPr>
        <w:ind w:left="3600" w:hanging="360"/>
      </w:pPr>
    </w:lvl>
    <w:lvl w:ilvl="5" w:tplc="2B8E2E3A">
      <w:start w:val="1"/>
      <w:numFmt w:val="bullet"/>
      <w:lvlText w:val="■"/>
      <w:lvlJc w:val="left"/>
      <w:pPr>
        <w:ind w:left="4320" w:hanging="360"/>
      </w:pPr>
    </w:lvl>
    <w:lvl w:ilvl="6" w:tplc="C6482DD2">
      <w:start w:val="1"/>
      <w:numFmt w:val="bullet"/>
      <w:lvlText w:val="●"/>
      <w:lvlJc w:val="left"/>
      <w:pPr>
        <w:ind w:left="5040" w:hanging="360"/>
      </w:pPr>
    </w:lvl>
    <w:lvl w:ilvl="7" w:tplc="37005EAA">
      <w:start w:val="1"/>
      <w:numFmt w:val="bullet"/>
      <w:lvlText w:val="●"/>
      <w:lvlJc w:val="left"/>
      <w:pPr>
        <w:ind w:left="5760" w:hanging="360"/>
      </w:pPr>
    </w:lvl>
    <w:lvl w:ilvl="8" w:tplc="0F32660A">
      <w:start w:val="1"/>
      <w:numFmt w:val="bullet"/>
      <w:lvlText w:val="●"/>
      <w:lvlJc w:val="left"/>
      <w:pPr>
        <w:ind w:left="6480" w:hanging="360"/>
      </w:pPr>
    </w:lvl>
  </w:abstractNum>
  <w:abstractNum w:abstractNumId="1" w15:restartNumberingAfterBreak="0">
    <w:nsid w:val="341E0ED8"/>
    <w:multiLevelType w:val="hybridMultilevel"/>
    <w:tmpl w:val="65A4BB7C"/>
    <w:lvl w:ilvl="0" w:tplc="3D5A2AD4">
      <w:start w:val="1"/>
      <w:numFmt w:val="bullet"/>
      <w:lvlText w:val="•"/>
      <w:lvlJc w:val="left"/>
      <w:pPr>
        <w:ind w:left="504" w:hanging="288"/>
      </w:pPr>
    </w:lvl>
    <w:lvl w:ilvl="1" w:tplc="6ABC17A6">
      <w:numFmt w:val="decimal"/>
      <w:lvlText w:val=""/>
      <w:lvlJc w:val="left"/>
    </w:lvl>
    <w:lvl w:ilvl="2" w:tplc="8474BE7E">
      <w:numFmt w:val="decimal"/>
      <w:lvlText w:val=""/>
      <w:lvlJc w:val="left"/>
    </w:lvl>
    <w:lvl w:ilvl="3" w:tplc="74A09252">
      <w:numFmt w:val="decimal"/>
      <w:lvlText w:val=""/>
      <w:lvlJc w:val="left"/>
    </w:lvl>
    <w:lvl w:ilvl="4" w:tplc="E1446BA6">
      <w:numFmt w:val="decimal"/>
      <w:lvlText w:val=""/>
      <w:lvlJc w:val="left"/>
    </w:lvl>
    <w:lvl w:ilvl="5" w:tplc="22AC83FE">
      <w:numFmt w:val="decimal"/>
      <w:lvlText w:val=""/>
      <w:lvlJc w:val="left"/>
    </w:lvl>
    <w:lvl w:ilvl="6" w:tplc="244CF356">
      <w:numFmt w:val="decimal"/>
      <w:lvlText w:val=""/>
      <w:lvlJc w:val="left"/>
    </w:lvl>
    <w:lvl w:ilvl="7" w:tplc="AA12F80A">
      <w:numFmt w:val="decimal"/>
      <w:lvlText w:val=""/>
      <w:lvlJc w:val="left"/>
    </w:lvl>
    <w:lvl w:ilvl="8" w:tplc="5FD015DA">
      <w:numFmt w:val="decimal"/>
      <w:lvlText w:val=""/>
      <w:lvlJc w:val="left"/>
    </w:lvl>
  </w:abstractNum>
  <w:num w:numId="1" w16cid:durableId="724910324">
    <w:abstractNumId w:val="0"/>
    <w:lvlOverride w:ilvl="0">
      <w:startOverride w:val="1"/>
    </w:lvlOverride>
  </w:num>
  <w:num w:numId="2" w16cid:durableId="971322556">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5"/>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A1C"/>
    <w:rsid w:val="00903A1C"/>
    <w:rsid w:val="00E315F5"/>
    <w:rsid w:val="00FD1DB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22ACBFCA"/>
  <w15:docId w15:val="{DABC1F1D-849F-694A-ADD5-B4E21ACF4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I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1062</Words>
  <Characters>6432</Characters>
  <Application>Microsoft Office Word</Application>
  <DocSecurity>0</DocSecurity>
  <Lines>153</Lines>
  <Paragraphs>108</Paragraphs>
  <ScaleCrop>false</ScaleCrop>
  <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Martlew</cp:lastModifiedBy>
  <cp:revision>2</cp:revision>
  <dcterms:created xsi:type="dcterms:W3CDTF">2026-08-25T13:56:00Z</dcterms:created>
  <dcterms:modified xsi:type="dcterms:W3CDTF">2026-08-25T18:18:00Z</dcterms:modified>
</cp:coreProperties>
</file>