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48E" w:rsidRPr="0091301B" w:rsidRDefault="0091301B" w:rsidP="00BD5679">
      <w:pPr>
        <w:autoSpaceDE w:val="0"/>
        <w:autoSpaceDN w:val="0"/>
        <w:adjustRightInd w:val="0"/>
        <w:jc w:val="center"/>
        <w:rPr>
          <w:b/>
          <w:sz w:val="40"/>
          <w:szCs w:val="40"/>
        </w:rPr>
      </w:pPr>
      <w:r w:rsidRPr="0091301B">
        <w:rPr>
          <w:b/>
          <w:noProof/>
          <w:snapToGrid/>
          <w:sz w:val="40"/>
          <w:szCs w:val="40"/>
        </w:rPr>
        <mc:AlternateContent>
          <mc:Choice Requires="wps">
            <w:drawing>
              <wp:anchor distT="0" distB="0" distL="114300" distR="114300" simplePos="0" relativeHeight="251659264" behindDoc="1" locked="0" layoutInCell="1" allowOverlap="1" wp14:anchorId="1ECA9BDE" wp14:editId="5DCA500A">
                <wp:simplePos x="0" y="0"/>
                <wp:positionH relativeFrom="column">
                  <wp:posOffset>-69011</wp:posOffset>
                </wp:positionH>
                <wp:positionV relativeFrom="paragraph">
                  <wp:posOffset>-17253</wp:posOffset>
                </wp:positionV>
                <wp:extent cx="7010400" cy="1052423"/>
                <wp:effectExtent l="0" t="0" r="19050" b="14605"/>
                <wp:wrapNone/>
                <wp:docPr id="1" name="Rectangle 1"/>
                <wp:cNvGraphicFramePr/>
                <a:graphic xmlns:a="http://schemas.openxmlformats.org/drawingml/2006/main">
                  <a:graphicData uri="http://schemas.microsoft.com/office/word/2010/wordprocessingShape">
                    <wps:wsp>
                      <wps:cNvSpPr/>
                      <wps:spPr>
                        <a:xfrm>
                          <a:off x="0" y="0"/>
                          <a:ext cx="7010400" cy="1052423"/>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5.45pt;margin-top:-1.35pt;width:552pt;height:8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" fillcolor="#c6d9f1 [671]" strokecolor="#243f60 [1604]" strokeweight="2pt"/>
            </w:pict>
          </mc:Fallback>
        </mc:AlternateContent>
      </w:r>
      <w:r w:rsidR="0096173C" w:rsidRPr="0091301B">
        <w:rPr>
          <w:b/>
          <w:sz w:val="40"/>
          <w:szCs w:val="40"/>
        </w:rPr>
        <w:t>Summary: A Case for a High School Acceleration Pathway</w:t>
      </w:r>
      <w:r w:rsidR="00BD5679" w:rsidRPr="0091301B">
        <w:rPr>
          <w:b/>
          <w:sz w:val="40"/>
          <w:szCs w:val="40"/>
        </w:rPr>
        <w:t xml:space="preserve"> </w:t>
      </w:r>
      <w:r w:rsidR="007479B3">
        <w:rPr>
          <w:b/>
          <w:sz w:val="40"/>
          <w:szCs w:val="40"/>
        </w:rPr>
        <w:t xml:space="preserve">for Next Generation Learning </w:t>
      </w:r>
      <w:r w:rsidR="00BD5679" w:rsidRPr="0091301B">
        <w:rPr>
          <w:b/>
          <w:sz w:val="40"/>
          <w:szCs w:val="40"/>
        </w:rPr>
        <w:t>Standards for Mathematics</w:t>
      </w:r>
    </w:p>
    <w:p w:rsidR="00BD5679" w:rsidRPr="00C22DE9" w:rsidRDefault="007479B3" w:rsidP="00BD5679">
      <w:pPr>
        <w:autoSpaceDE w:val="0"/>
        <w:autoSpaceDN w:val="0"/>
        <w:adjustRightInd w:val="0"/>
        <w:jc w:val="center"/>
        <w:rPr>
          <w:b/>
          <w:sz w:val="28"/>
          <w:szCs w:val="28"/>
        </w:rPr>
      </w:pPr>
      <w:r>
        <w:rPr>
          <w:b/>
          <w:sz w:val="28"/>
          <w:szCs w:val="28"/>
        </w:rPr>
        <w:t>Long Island Consortium for Acceleration</w:t>
      </w:r>
    </w:p>
    <w:p w:rsidR="0096173C" w:rsidRPr="00FD204D" w:rsidRDefault="007479B3" w:rsidP="00BD5679">
      <w:pPr>
        <w:autoSpaceDE w:val="0"/>
        <w:autoSpaceDN w:val="0"/>
        <w:adjustRightInd w:val="0"/>
        <w:jc w:val="center"/>
        <w:rPr>
          <w:b/>
          <w:sz w:val="28"/>
          <w:szCs w:val="28"/>
        </w:rPr>
      </w:pPr>
      <w:r>
        <w:rPr>
          <w:b/>
          <w:sz w:val="28"/>
          <w:szCs w:val="28"/>
        </w:rPr>
        <w:t>Facilitated by Diana Kolhoff, Mathematics Education Consultant</w:t>
      </w:r>
    </w:p>
    <w:p w:rsidR="00961919" w:rsidRPr="00BD5679" w:rsidRDefault="00961919" w:rsidP="00BD5679">
      <w:pPr>
        <w:jc w:val="both"/>
        <w:rPr>
          <w:szCs w:val="24"/>
        </w:rPr>
      </w:pPr>
    </w:p>
    <w:p w:rsidR="00270D7B" w:rsidRPr="00AF5E76" w:rsidRDefault="0096173C" w:rsidP="0091301B">
      <w:pPr>
        <w:pStyle w:val="ListParagraph"/>
        <w:numPr>
          <w:ilvl w:val="0"/>
          <w:numId w:val="3"/>
        </w:numPr>
        <w:jc w:val="both"/>
        <w:rPr>
          <w:szCs w:val="24"/>
        </w:rPr>
      </w:pPr>
      <w:r w:rsidRPr="00AF5E76">
        <w:rPr>
          <w:szCs w:val="24"/>
        </w:rPr>
        <w:t xml:space="preserve">The Common Core </w:t>
      </w:r>
      <w:r w:rsidR="00BD5679" w:rsidRPr="00AF5E76">
        <w:rPr>
          <w:szCs w:val="24"/>
        </w:rPr>
        <w:t>Learning S</w:t>
      </w:r>
      <w:r w:rsidRPr="00AF5E76">
        <w:rPr>
          <w:szCs w:val="24"/>
        </w:rPr>
        <w:t>tandards</w:t>
      </w:r>
      <w:r w:rsidR="00BD5679" w:rsidRPr="00AF5E76">
        <w:rPr>
          <w:szCs w:val="24"/>
        </w:rPr>
        <w:t xml:space="preserve"> for Mathematics</w:t>
      </w:r>
      <w:r w:rsidRPr="00AF5E76">
        <w:rPr>
          <w:szCs w:val="24"/>
        </w:rPr>
        <w:t xml:space="preserve"> </w:t>
      </w:r>
      <w:r w:rsidR="007479B3" w:rsidRPr="00AF5E76">
        <w:rPr>
          <w:szCs w:val="24"/>
        </w:rPr>
        <w:t>(CC)</w:t>
      </w:r>
      <w:r w:rsidR="00BD5679" w:rsidRPr="00AF5E76">
        <w:rPr>
          <w:szCs w:val="24"/>
        </w:rPr>
        <w:t xml:space="preserve"> </w:t>
      </w:r>
      <w:r w:rsidR="001B4ABB" w:rsidRPr="00AF5E76">
        <w:rPr>
          <w:szCs w:val="24"/>
        </w:rPr>
        <w:t>as well as the Next Generation Learning Standards for Mathematics</w:t>
      </w:r>
      <w:r w:rsidR="007479B3" w:rsidRPr="00AF5E76">
        <w:rPr>
          <w:szCs w:val="24"/>
        </w:rPr>
        <w:t xml:space="preserve"> (NG)</w:t>
      </w:r>
      <w:r w:rsidR="001B4ABB" w:rsidRPr="00AF5E76">
        <w:rPr>
          <w:szCs w:val="24"/>
        </w:rPr>
        <w:t xml:space="preserve"> </w:t>
      </w:r>
      <w:r w:rsidRPr="00AF5E76">
        <w:rPr>
          <w:szCs w:val="24"/>
        </w:rPr>
        <w:t>are of significantly higher rigor than the former 2005 standards.</w:t>
      </w:r>
      <w:r w:rsidRPr="00AF5E76">
        <w:rPr>
          <w:b/>
          <w:szCs w:val="24"/>
        </w:rPr>
        <w:t xml:space="preserve"> </w:t>
      </w:r>
      <w:r w:rsidR="00270D7B" w:rsidRPr="00AF5E76">
        <w:rPr>
          <w:szCs w:val="24"/>
        </w:rPr>
        <w:t>In fact, 71% of 2005 Integrated Algebra standards are included</w:t>
      </w:r>
      <w:r w:rsidR="00F914AD" w:rsidRPr="00AF5E76">
        <w:rPr>
          <w:szCs w:val="24"/>
        </w:rPr>
        <w:t xml:space="preserve"> in the content for grades 3-8.</w:t>
      </w:r>
      <w:r w:rsidR="00203157">
        <w:rPr>
          <w:szCs w:val="24"/>
        </w:rPr>
        <w:t xml:space="preserve"> The shift to CC and </w:t>
      </w:r>
      <w:r w:rsidR="007479B3" w:rsidRPr="00AF5E76">
        <w:rPr>
          <w:szCs w:val="24"/>
        </w:rPr>
        <w:t>NG</w:t>
      </w:r>
      <w:r w:rsidR="00270D7B" w:rsidRPr="00AF5E76">
        <w:rPr>
          <w:szCs w:val="24"/>
        </w:rPr>
        <w:t xml:space="preserve"> exposes all our students to a higher level of mathematics in th</w:t>
      </w:r>
      <w:r w:rsidR="00203157">
        <w:rPr>
          <w:szCs w:val="24"/>
        </w:rPr>
        <w:t>e elementary</w:t>
      </w:r>
      <w:r w:rsidR="00270D7B" w:rsidRPr="00AF5E76">
        <w:rPr>
          <w:szCs w:val="24"/>
        </w:rPr>
        <w:t xml:space="preserve"> and middle grades.</w:t>
      </w:r>
    </w:p>
    <w:p w:rsidR="0091301B" w:rsidRPr="00AF5E76" w:rsidRDefault="0091301B" w:rsidP="0091301B">
      <w:pPr>
        <w:pStyle w:val="ListParagraph"/>
        <w:spacing w:before="240"/>
        <w:jc w:val="both"/>
        <w:rPr>
          <w:szCs w:val="24"/>
        </w:rPr>
      </w:pPr>
    </w:p>
    <w:p w:rsidR="00C5344C" w:rsidRPr="00AF5E76" w:rsidRDefault="00C5344C" w:rsidP="00DC56E2">
      <w:pPr>
        <w:pStyle w:val="ListParagraph"/>
        <w:widowControl/>
        <w:numPr>
          <w:ilvl w:val="0"/>
          <w:numId w:val="3"/>
        </w:numPr>
        <w:overflowPunct w:val="0"/>
        <w:autoSpaceDE w:val="0"/>
        <w:autoSpaceDN w:val="0"/>
        <w:adjustRightInd w:val="0"/>
        <w:spacing w:before="240"/>
        <w:jc w:val="both"/>
        <w:textAlignment w:val="baseline"/>
        <w:rPr>
          <w:noProof/>
          <w:szCs w:val="24"/>
        </w:rPr>
      </w:pPr>
      <w:r w:rsidRPr="00AF5E76">
        <w:rPr>
          <w:szCs w:val="24"/>
        </w:rPr>
        <w:t>The Common Core</w:t>
      </w:r>
      <w:r w:rsidR="007479B3" w:rsidRPr="00AF5E76">
        <w:rPr>
          <w:szCs w:val="24"/>
        </w:rPr>
        <w:t xml:space="preserve"> and Next Generation (CC/NG)</w:t>
      </w:r>
      <w:r w:rsidRPr="00AF5E76">
        <w:rPr>
          <w:szCs w:val="24"/>
        </w:rPr>
        <w:t xml:space="preserve"> Grade 8 coursework is comprised of </w:t>
      </w:r>
      <w:r w:rsidR="003517B4" w:rsidRPr="00AF5E76">
        <w:rPr>
          <w:szCs w:val="24"/>
        </w:rPr>
        <w:t xml:space="preserve">roughly </w:t>
      </w:r>
      <w:r w:rsidR="00C22DE9" w:rsidRPr="00AF5E76">
        <w:rPr>
          <w:szCs w:val="24"/>
        </w:rPr>
        <w:t>6</w:t>
      </w:r>
      <w:r w:rsidR="003517B4" w:rsidRPr="00AF5E76">
        <w:rPr>
          <w:szCs w:val="24"/>
        </w:rPr>
        <w:t>5</w:t>
      </w:r>
      <w:r w:rsidRPr="00AF5E76">
        <w:rPr>
          <w:szCs w:val="24"/>
        </w:rPr>
        <w:t xml:space="preserve">% former Integrated Algebra topics, 23% former Geometry topics </w:t>
      </w:r>
      <w:r w:rsidR="00F914AD" w:rsidRPr="00AF5E76">
        <w:rPr>
          <w:szCs w:val="24"/>
        </w:rPr>
        <w:t>and 12% new content.</w:t>
      </w:r>
      <w:r w:rsidRPr="00AF5E76">
        <w:rPr>
          <w:szCs w:val="24"/>
        </w:rPr>
        <w:t xml:space="preserve"> </w:t>
      </w:r>
      <w:r w:rsidR="007479B3" w:rsidRPr="00AF5E76">
        <w:rPr>
          <w:szCs w:val="24"/>
        </w:rPr>
        <w:t>As a result, C</w:t>
      </w:r>
      <w:r w:rsidR="00DC56E2" w:rsidRPr="00AF5E76">
        <w:rPr>
          <w:szCs w:val="24"/>
        </w:rPr>
        <w:t>C</w:t>
      </w:r>
      <w:r w:rsidR="007479B3" w:rsidRPr="00AF5E76">
        <w:rPr>
          <w:szCs w:val="24"/>
        </w:rPr>
        <w:t>/NG</w:t>
      </w:r>
      <w:r w:rsidR="00DC56E2" w:rsidRPr="00AF5E76">
        <w:rPr>
          <w:szCs w:val="24"/>
        </w:rPr>
        <w:t xml:space="preserve"> Algebra 1 is correspondingly more advanced and includes concepts previously taught in Algebra 2 and beyond</w:t>
      </w:r>
      <w:r w:rsidR="00533098" w:rsidRPr="00AF5E76">
        <w:rPr>
          <w:szCs w:val="24"/>
        </w:rPr>
        <w:t>.</w:t>
      </w:r>
    </w:p>
    <w:p w:rsidR="00C5344C" w:rsidRPr="00AF5E76" w:rsidRDefault="00C5344C" w:rsidP="00C5344C">
      <w:pPr>
        <w:pStyle w:val="ListParagraph"/>
        <w:widowControl/>
        <w:overflowPunct w:val="0"/>
        <w:autoSpaceDE w:val="0"/>
        <w:autoSpaceDN w:val="0"/>
        <w:adjustRightInd w:val="0"/>
        <w:spacing w:before="240"/>
        <w:jc w:val="both"/>
        <w:textAlignment w:val="baseline"/>
        <w:rPr>
          <w:szCs w:val="24"/>
        </w:rPr>
      </w:pPr>
    </w:p>
    <w:p w:rsidR="00DC56E2" w:rsidRPr="00AF5E76" w:rsidRDefault="00270D7B" w:rsidP="005B0EA1">
      <w:pPr>
        <w:pStyle w:val="ListParagraph"/>
        <w:widowControl/>
        <w:numPr>
          <w:ilvl w:val="0"/>
          <w:numId w:val="3"/>
        </w:numPr>
        <w:overflowPunct w:val="0"/>
        <w:autoSpaceDE w:val="0"/>
        <w:autoSpaceDN w:val="0"/>
        <w:adjustRightInd w:val="0"/>
        <w:spacing w:before="240"/>
        <w:jc w:val="both"/>
        <w:textAlignment w:val="baseline"/>
        <w:rPr>
          <w:szCs w:val="24"/>
        </w:rPr>
      </w:pPr>
      <w:r w:rsidRPr="00AF5E76">
        <w:rPr>
          <w:noProof/>
          <w:szCs w:val="24"/>
        </w:rPr>
        <w:t>Topics now taught in 6, 7, 8 are foundational for success in high school mathematics, as well as on the ACT, SAT</w:t>
      </w:r>
      <w:r w:rsidR="00FB3F29" w:rsidRPr="00AF5E76">
        <w:rPr>
          <w:noProof/>
          <w:szCs w:val="24"/>
        </w:rPr>
        <w:t xml:space="preserve">, </w:t>
      </w:r>
      <w:r w:rsidR="00601EFC" w:rsidRPr="00AF5E76">
        <w:rPr>
          <w:noProof/>
          <w:szCs w:val="24"/>
        </w:rPr>
        <w:t xml:space="preserve">in </w:t>
      </w:r>
      <w:r w:rsidR="00FB3F29" w:rsidRPr="00AF5E76">
        <w:rPr>
          <w:noProof/>
          <w:szCs w:val="24"/>
        </w:rPr>
        <w:t>colleg</w:t>
      </w:r>
      <w:r w:rsidR="00601EFC" w:rsidRPr="00AF5E76">
        <w:rPr>
          <w:noProof/>
          <w:szCs w:val="24"/>
        </w:rPr>
        <w:t xml:space="preserve">e, </w:t>
      </w:r>
      <w:r w:rsidR="00FB3F29" w:rsidRPr="00AF5E76">
        <w:rPr>
          <w:noProof/>
          <w:szCs w:val="24"/>
        </w:rPr>
        <w:t>carreer</w:t>
      </w:r>
      <w:r w:rsidR="00601EFC" w:rsidRPr="00AF5E76">
        <w:rPr>
          <w:noProof/>
          <w:szCs w:val="24"/>
        </w:rPr>
        <w:t xml:space="preserve">, and for </w:t>
      </w:r>
      <w:r w:rsidRPr="00AF5E76">
        <w:rPr>
          <w:noProof/>
          <w:szCs w:val="24"/>
        </w:rPr>
        <w:t xml:space="preserve">basic mathematical literacy for life. </w:t>
      </w:r>
    </w:p>
    <w:p w:rsidR="005B0EA1" w:rsidRPr="00AF5E76" w:rsidRDefault="005B0EA1" w:rsidP="005B0EA1">
      <w:pPr>
        <w:pStyle w:val="ListParagraph"/>
        <w:widowControl/>
        <w:overflowPunct w:val="0"/>
        <w:autoSpaceDE w:val="0"/>
        <w:autoSpaceDN w:val="0"/>
        <w:adjustRightInd w:val="0"/>
        <w:spacing w:before="240"/>
        <w:jc w:val="both"/>
        <w:textAlignment w:val="baseline"/>
        <w:rPr>
          <w:szCs w:val="24"/>
        </w:rPr>
      </w:pPr>
    </w:p>
    <w:p w:rsidR="0091301B" w:rsidRPr="00AF5E76" w:rsidRDefault="00DC56E2" w:rsidP="00DC56E2">
      <w:pPr>
        <w:pStyle w:val="ListParagraph"/>
        <w:widowControl/>
        <w:numPr>
          <w:ilvl w:val="0"/>
          <w:numId w:val="3"/>
        </w:numPr>
        <w:overflowPunct w:val="0"/>
        <w:autoSpaceDE w:val="0"/>
        <w:autoSpaceDN w:val="0"/>
        <w:adjustRightInd w:val="0"/>
        <w:spacing w:before="240"/>
        <w:jc w:val="both"/>
        <w:textAlignment w:val="baseline"/>
        <w:rPr>
          <w:noProof/>
          <w:szCs w:val="24"/>
        </w:rPr>
      </w:pPr>
      <w:r w:rsidRPr="00AF5E76">
        <w:rPr>
          <w:noProof/>
          <w:szCs w:val="24"/>
        </w:rPr>
        <w:t>Longitudinal studies indicate that entering students in an accelerated pathway who are not</w:t>
      </w:r>
      <w:r w:rsidR="00110EF4" w:rsidRPr="00AF5E76">
        <w:rPr>
          <w:noProof/>
          <w:szCs w:val="24"/>
        </w:rPr>
        <w:t xml:space="preserve"> properly prepared has </w:t>
      </w:r>
      <w:r w:rsidR="007479B3" w:rsidRPr="00AF5E76">
        <w:rPr>
          <w:noProof/>
          <w:szCs w:val="24"/>
        </w:rPr>
        <w:t xml:space="preserve">significant </w:t>
      </w:r>
      <w:r w:rsidR="00110EF4" w:rsidRPr="00AF5E76">
        <w:rPr>
          <w:noProof/>
          <w:szCs w:val="24"/>
        </w:rPr>
        <w:t>negative</w:t>
      </w:r>
      <w:r w:rsidRPr="00AF5E76">
        <w:rPr>
          <w:noProof/>
          <w:szCs w:val="24"/>
        </w:rPr>
        <w:t xml:space="preserve"> </w:t>
      </w:r>
      <w:r w:rsidR="007479B3" w:rsidRPr="00AF5E76">
        <w:rPr>
          <w:noProof/>
          <w:szCs w:val="24"/>
        </w:rPr>
        <w:t xml:space="preserve">long term </w:t>
      </w:r>
      <w:r w:rsidRPr="00AF5E76">
        <w:rPr>
          <w:noProof/>
          <w:szCs w:val="24"/>
        </w:rPr>
        <w:t>consequences.</w:t>
      </w:r>
    </w:p>
    <w:p w:rsidR="002F75A8" w:rsidRPr="00AF5E76" w:rsidRDefault="002F75A8" w:rsidP="002F75A8">
      <w:pPr>
        <w:pStyle w:val="ListParagraph"/>
        <w:widowControl/>
        <w:overflowPunct w:val="0"/>
        <w:autoSpaceDE w:val="0"/>
        <w:autoSpaceDN w:val="0"/>
        <w:adjustRightInd w:val="0"/>
        <w:spacing w:before="240"/>
        <w:jc w:val="both"/>
        <w:textAlignment w:val="baseline"/>
        <w:rPr>
          <w:noProof/>
          <w:szCs w:val="24"/>
        </w:rPr>
      </w:pPr>
    </w:p>
    <w:p w:rsidR="00DC56E2" w:rsidRPr="00AF5E76" w:rsidRDefault="002F75A8" w:rsidP="002C1976">
      <w:pPr>
        <w:pStyle w:val="ListParagraph"/>
        <w:widowControl/>
        <w:numPr>
          <w:ilvl w:val="0"/>
          <w:numId w:val="3"/>
        </w:numPr>
        <w:overflowPunct w:val="0"/>
        <w:autoSpaceDE w:val="0"/>
        <w:autoSpaceDN w:val="0"/>
        <w:adjustRightInd w:val="0"/>
        <w:spacing w:before="240"/>
        <w:jc w:val="both"/>
        <w:textAlignment w:val="baseline"/>
        <w:rPr>
          <w:noProof/>
          <w:szCs w:val="24"/>
        </w:rPr>
      </w:pPr>
      <w:r w:rsidRPr="00AF5E76">
        <w:rPr>
          <w:rFonts w:cs="Calibri"/>
          <w:color w:val="000000"/>
          <w:szCs w:val="24"/>
        </w:rPr>
        <w:t>Technology has eliminated many jobs while changing and creating others, especially those involving mathematical and conceptual reasoning skills. One characteristic of a fast growing segment of jobs is that the employee needs to be able to solve unstructured problems while working with others in teams. At the same time, migration and immigration rates around the world bring diversity t</w:t>
      </w:r>
      <w:r w:rsidR="00D15315">
        <w:rPr>
          <w:rFonts w:cs="Calibri"/>
          <w:color w:val="000000"/>
          <w:szCs w:val="24"/>
        </w:rPr>
        <w:t>o schools and neighborhoods. This</w:t>
      </w:r>
      <w:r w:rsidRPr="00AF5E76">
        <w:rPr>
          <w:rFonts w:cs="Calibri"/>
          <w:color w:val="000000"/>
          <w:szCs w:val="24"/>
        </w:rPr>
        <w:t xml:space="preserve"> growth in interactions and information sharing from around the world means there is much to process, communicate, analyze and respond to in the everyday, across all settings. For a great majority of jobs, conceptual reasoning and technical writ</w:t>
      </w:r>
      <w:r w:rsidR="006E295A">
        <w:rPr>
          <w:rFonts w:cs="Calibri"/>
          <w:color w:val="000000"/>
          <w:szCs w:val="24"/>
        </w:rPr>
        <w:t>ing skills are integral parts of</w:t>
      </w:r>
      <w:r w:rsidRPr="00AF5E76">
        <w:rPr>
          <w:rFonts w:cs="Calibri"/>
          <w:color w:val="000000"/>
          <w:szCs w:val="24"/>
        </w:rPr>
        <w:t xml:space="preserve"> the daily routine.</w:t>
      </w:r>
    </w:p>
    <w:p w:rsidR="002C1976" w:rsidRPr="00AF5E76" w:rsidRDefault="002C1976" w:rsidP="002C1976">
      <w:pPr>
        <w:pStyle w:val="ListParagraph"/>
        <w:widowControl/>
        <w:overflowPunct w:val="0"/>
        <w:autoSpaceDE w:val="0"/>
        <w:autoSpaceDN w:val="0"/>
        <w:adjustRightInd w:val="0"/>
        <w:spacing w:before="240"/>
        <w:jc w:val="both"/>
        <w:textAlignment w:val="baseline"/>
        <w:rPr>
          <w:noProof/>
          <w:szCs w:val="24"/>
        </w:rPr>
      </w:pPr>
    </w:p>
    <w:p w:rsidR="0056746A" w:rsidRPr="00AF5E76" w:rsidRDefault="00151515" w:rsidP="002C1976">
      <w:pPr>
        <w:pStyle w:val="ListParagraph"/>
        <w:widowControl/>
        <w:numPr>
          <w:ilvl w:val="0"/>
          <w:numId w:val="3"/>
        </w:numPr>
        <w:overflowPunct w:val="0"/>
        <w:autoSpaceDE w:val="0"/>
        <w:autoSpaceDN w:val="0"/>
        <w:adjustRightInd w:val="0"/>
        <w:spacing w:before="240"/>
        <w:jc w:val="both"/>
        <w:textAlignment w:val="baseline"/>
        <w:rPr>
          <w:noProof/>
          <w:szCs w:val="24"/>
        </w:rPr>
      </w:pPr>
      <w:r>
        <w:rPr>
          <w:noProof/>
          <w:szCs w:val="24"/>
        </w:rPr>
        <w:t>To keep up with a</w:t>
      </w:r>
      <w:r w:rsidR="00D15315">
        <w:rPr>
          <w:noProof/>
          <w:szCs w:val="24"/>
        </w:rPr>
        <w:t xml:space="preserve"> changing world,</w:t>
      </w:r>
      <w:r w:rsidR="007479B3" w:rsidRPr="00AF5E76">
        <w:rPr>
          <w:noProof/>
          <w:szCs w:val="24"/>
        </w:rPr>
        <w:t xml:space="preserve"> </w:t>
      </w:r>
      <w:r w:rsidR="00D15315">
        <w:rPr>
          <w:noProof/>
          <w:szCs w:val="24"/>
        </w:rPr>
        <w:t>w</w:t>
      </w:r>
      <w:r w:rsidR="002C1976" w:rsidRPr="00AF5E76">
        <w:rPr>
          <w:noProof/>
          <w:szCs w:val="24"/>
        </w:rPr>
        <w:t xml:space="preserve">e need a different approach to teaching and learning that focus on student’s ability to learn from </w:t>
      </w:r>
      <w:r w:rsidR="002C1976" w:rsidRPr="00AF5E76">
        <w:rPr>
          <w:rFonts w:cs="Calibri"/>
          <w:color w:val="000000"/>
          <w:szCs w:val="24"/>
        </w:rPr>
        <w:t xml:space="preserve">peers and through technology, and their flexibility as a learner in a dynamic learning environment. Students need to be engaged in dialogue and learning experiences that allow complex topics and ideas to be explored from many angles and perspectives. They also need to learn how to think and solve problems for which there is no one solution—and learn mathematical skills along the way.  </w:t>
      </w:r>
      <w:r>
        <w:rPr>
          <w:rFonts w:cs="Calibri"/>
          <w:color w:val="000000"/>
          <w:szCs w:val="24"/>
        </w:rPr>
        <w:t xml:space="preserve">NYS </w:t>
      </w:r>
      <w:r w:rsidRPr="00AF5E76">
        <w:rPr>
          <w:noProof/>
          <w:szCs w:val="24"/>
        </w:rPr>
        <w:t xml:space="preserve">Math Standards require students to have deep conceptual understanding, fluency, and the ability to apply what they have learned to model contextual situations. The Standards for Mathematical Practice require that students work collaboratively to problem solve.  </w:t>
      </w:r>
      <w:r w:rsidR="00F914AD" w:rsidRPr="00AF5E76">
        <w:rPr>
          <w:noProof/>
          <w:szCs w:val="24"/>
        </w:rPr>
        <w:t xml:space="preserve">Implementing this new level of rigor takes </w:t>
      </w:r>
      <w:r w:rsidR="007479B3" w:rsidRPr="00AF5E76">
        <w:rPr>
          <w:noProof/>
          <w:szCs w:val="24"/>
        </w:rPr>
        <w:t xml:space="preserve">much more instructional </w:t>
      </w:r>
      <w:r w:rsidR="00F914AD" w:rsidRPr="00AF5E76">
        <w:rPr>
          <w:noProof/>
          <w:szCs w:val="24"/>
        </w:rPr>
        <w:t xml:space="preserve">time and a shift in the way we teach mathematics.  </w:t>
      </w:r>
    </w:p>
    <w:p w:rsidR="0056746A" w:rsidRPr="00AF5E76" w:rsidRDefault="0056746A" w:rsidP="0056746A">
      <w:pPr>
        <w:pStyle w:val="ListParagraph"/>
        <w:widowControl/>
        <w:overflowPunct w:val="0"/>
        <w:autoSpaceDE w:val="0"/>
        <w:autoSpaceDN w:val="0"/>
        <w:adjustRightInd w:val="0"/>
        <w:spacing w:before="240"/>
        <w:jc w:val="both"/>
        <w:textAlignment w:val="baseline"/>
        <w:rPr>
          <w:noProof/>
          <w:szCs w:val="24"/>
        </w:rPr>
      </w:pPr>
    </w:p>
    <w:p w:rsidR="00F42D88" w:rsidRPr="00AF5E76" w:rsidRDefault="0025467F" w:rsidP="0091301B">
      <w:pPr>
        <w:pStyle w:val="ListParagraph"/>
        <w:widowControl/>
        <w:numPr>
          <w:ilvl w:val="0"/>
          <w:numId w:val="3"/>
        </w:numPr>
        <w:overflowPunct w:val="0"/>
        <w:autoSpaceDE w:val="0"/>
        <w:autoSpaceDN w:val="0"/>
        <w:adjustRightInd w:val="0"/>
        <w:spacing w:before="240"/>
        <w:jc w:val="both"/>
        <w:textAlignment w:val="baseline"/>
        <w:rPr>
          <w:noProof/>
          <w:szCs w:val="24"/>
        </w:rPr>
      </w:pPr>
      <w:r>
        <w:rPr>
          <w:noProof/>
          <w:szCs w:val="24"/>
        </w:rPr>
        <w:t xml:space="preserve">Many districts are </w:t>
      </w:r>
      <w:r w:rsidR="00BE3EA3">
        <w:rPr>
          <w:noProof/>
          <w:szCs w:val="24"/>
        </w:rPr>
        <w:t>focusing on how many students “pass”</w:t>
      </w:r>
      <w:r>
        <w:rPr>
          <w:noProof/>
          <w:szCs w:val="24"/>
        </w:rPr>
        <w:t xml:space="preserve"> the Regent’s exams</w:t>
      </w:r>
      <w:r w:rsidR="00BE3EA3">
        <w:rPr>
          <w:noProof/>
          <w:szCs w:val="24"/>
        </w:rPr>
        <w:t>, often sacrificing</w:t>
      </w:r>
      <w:r>
        <w:rPr>
          <w:noProof/>
          <w:szCs w:val="24"/>
        </w:rPr>
        <w:t xml:space="preserve"> mastery for acceleration.  </w:t>
      </w:r>
      <w:r w:rsidR="00C97255" w:rsidRPr="00AF5E76">
        <w:rPr>
          <w:noProof/>
          <w:szCs w:val="24"/>
        </w:rPr>
        <w:t xml:space="preserve">The quality of the mathematics instruction is </w:t>
      </w:r>
      <w:r w:rsidR="00E45C76" w:rsidRPr="00AF5E76">
        <w:rPr>
          <w:noProof/>
          <w:szCs w:val="24"/>
        </w:rPr>
        <w:t xml:space="preserve">much </w:t>
      </w:r>
      <w:r w:rsidR="00C97255" w:rsidRPr="00AF5E76">
        <w:rPr>
          <w:noProof/>
          <w:szCs w:val="24"/>
        </w:rPr>
        <w:t>more important than t</w:t>
      </w:r>
      <w:r w:rsidR="008E6992" w:rsidRPr="00AF5E76">
        <w:rPr>
          <w:noProof/>
          <w:szCs w:val="24"/>
        </w:rPr>
        <w:t>he speed in which students learn</w:t>
      </w:r>
      <w:r w:rsidR="00C97255" w:rsidRPr="00AF5E76">
        <w:rPr>
          <w:noProof/>
          <w:szCs w:val="24"/>
        </w:rPr>
        <w:t xml:space="preserve"> mathematics.</w:t>
      </w:r>
      <w:r>
        <w:rPr>
          <w:noProof/>
          <w:szCs w:val="24"/>
        </w:rPr>
        <w:t xml:space="preserve"> </w:t>
      </w:r>
      <w:r w:rsidR="00E45C76" w:rsidRPr="00AF5E76">
        <w:rPr>
          <w:noProof/>
          <w:szCs w:val="24"/>
        </w:rPr>
        <w:t xml:space="preserve">We need to </w:t>
      </w:r>
      <w:r w:rsidR="00267D6B">
        <w:rPr>
          <w:noProof/>
          <w:szCs w:val="24"/>
        </w:rPr>
        <w:t xml:space="preserve">re-think </w:t>
      </w:r>
      <w:r w:rsidR="00F6341D">
        <w:rPr>
          <w:noProof/>
          <w:szCs w:val="24"/>
        </w:rPr>
        <w:t>our instructional priorities and the</w:t>
      </w:r>
      <w:r w:rsidR="007F26BE" w:rsidRPr="00AF5E76">
        <w:rPr>
          <w:noProof/>
          <w:szCs w:val="24"/>
        </w:rPr>
        <w:t xml:space="preserve"> </w:t>
      </w:r>
      <w:r w:rsidR="00110EF4" w:rsidRPr="00AF5E76">
        <w:rPr>
          <w:noProof/>
          <w:szCs w:val="24"/>
        </w:rPr>
        <w:t>pathways we offer for students</w:t>
      </w:r>
      <w:r w:rsidR="00BE3EA3">
        <w:rPr>
          <w:noProof/>
          <w:szCs w:val="24"/>
        </w:rPr>
        <w:t xml:space="preserve"> t</w:t>
      </w:r>
      <w:r w:rsidR="00F6341D">
        <w:rPr>
          <w:noProof/>
          <w:szCs w:val="24"/>
        </w:rPr>
        <w:t>o access advanced mathematics</w:t>
      </w:r>
      <w:r w:rsidR="00BE3EA3">
        <w:rPr>
          <w:noProof/>
          <w:szCs w:val="24"/>
        </w:rPr>
        <w:t>.</w:t>
      </w:r>
    </w:p>
    <w:p w:rsidR="0091301B" w:rsidRPr="00AF5E76" w:rsidRDefault="0091301B" w:rsidP="0091301B">
      <w:pPr>
        <w:pStyle w:val="ListParagraph"/>
        <w:widowControl/>
        <w:overflowPunct w:val="0"/>
        <w:autoSpaceDE w:val="0"/>
        <w:autoSpaceDN w:val="0"/>
        <w:adjustRightInd w:val="0"/>
        <w:spacing w:before="240"/>
        <w:jc w:val="both"/>
        <w:textAlignment w:val="baseline"/>
        <w:rPr>
          <w:noProof/>
          <w:szCs w:val="24"/>
        </w:rPr>
      </w:pPr>
    </w:p>
    <w:p w:rsidR="002C1976" w:rsidRPr="00AF5E76" w:rsidRDefault="00F42D88" w:rsidP="002C1976">
      <w:pPr>
        <w:pStyle w:val="ListParagraph"/>
        <w:widowControl/>
        <w:numPr>
          <w:ilvl w:val="0"/>
          <w:numId w:val="3"/>
        </w:numPr>
        <w:overflowPunct w:val="0"/>
        <w:autoSpaceDE w:val="0"/>
        <w:autoSpaceDN w:val="0"/>
        <w:adjustRightInd w:val="0"/>
        <w:spacing w:before="240"/>
        <w:jc w:val="both"/>
        <w:textAlignment w:val="baseline"/>
        <w:rPr>
          <w:noProof/>
          <w:sz w:val="22"/>
          <w:szCs w:val="22"/>
        </w:rPr>
      </w:pPr>
      <w:r w:rsidRPr="00AF5E76">
        <w:rPr>
          <w:noProof/>
          <w:szCs w:val="24"/>
        </w:rPr>
        <w:t>Pathways to AP Calculus and other ad</w:t>
      </w:r>
      <w:r w:rsidR="00267D6B">
        <w:rPr>
          <w:noProof/>
          <w:szCs w:val="24"/>
        </w:rPr>
        <w:t xml:space="preserve">vanced mathematics courses that </w:t>
      </w:r>
      <w:r w:rsidRPr="00AF5E76">
        <w:rPr>
          <w:noProof/>
          <w:szCs w:val="24"/>
        </w:rPr>
        <w:t xml:space="preserve">require less curricular compacing </w:t>
      </w:r>
      <w:r w:rsidR="00267D6B">
        <w:rPr>
          <w:noProof/>
          <w:szCs w:val="24"/>
        </w:rPr>
        <w:t xml:space="preserve">and </w:t>
      </w:r>
      <w:r w:rsidR="00267D6B" w:rsidRPr="00AF5E76">
        <w:rPr>
          <w:noProof/>
          <w:szCs w:val="24"/>
        </w:rPr>
        <w:t>o</w:t>
      </w:r>
      <w:r w:rsidR="00267D6B">
        <w:rPr>
          <w:noProof/>
          <w:szCs w:val="24"/>
        </w:rPr>
        <w:t xml:space="preserve">ffer a later decision point </w:t>
      </w:r>
      <w:r w:rsidRPr="00AF5E76">
        <w:rPr>
          <w:noProof/>
          <w:szCs w:val="24"/>
        </w:rPr>
        <w:t>hav</w:t>
      </w:r>
      <w:r w:rsidR="00DC56E2" w:rsidRPr="00AF5E76">
        <w:rPr>
          <w:noProof/>
          <w:szCs w:val="24"/>
        </w:rPr>
        <w:t>e been developed</w:t>
      </w:r>
      <w:r w:rsidRPr="00AF5E76">
        <w:rPr>
          <w:noProof/>
          <w:szCs w:val="24"/>
        </w:rPr>
        <w:t xml:space="preserve"> in New York, California, and Massachusetts.</w:t>
      </w:r>
      <w:r w:rsidR="007479B3" w:rsidRPr="00AF5E76">
        <w:rPr>
          <w:noProof/>
          <w:szCs w:val="24"/>
        </w:rPr>
        <w:t xml:space="preserve"> Several districts are now offering a pathway to Calculus that does</w:t>
      </w:r>
      <w:r w:rsidR="00267D6B">
        <w:rPr>
          <w:noProof/>
          <w:szCs w:val="24"/>
        </w:rPr>
        <w:t xml:space="preserve"> not compact or omit any course</w:t>
      </w:r>
      <w:r w:rsidR="007479B3" w:rsidRPr="00AF5E76">
        <w:rPr>
          <w:noProof/>
          <w:szCs w:val="24"/>
        </w:rPr>
        <w:t>work in middle school, and offers students access to Calculus directly after Algebra 2</w:t>
      </w:r>
      <w:r w:rsidR="00890F7D" w:rsidRPr="00AF5E76">
        <w:rPr>
          <w:noProof/>
          <w:szCs w:val="24"/>
        </w:rPr>
        <w:t>.</w:t>
      </w:r>
    </w:p>
    <w:p w:rsidR="002C1976" w:rsidRDefault="002C1976" w:rsidP="002C1976">
      <w:pPr>
        <w:jc w:val="center"/>
        <w:rPr>
          <w:b/>
          <w:sz w:val="28"/>
          <w:szCs w:val="28"/>
        </w:rPr>
      </w:pPr>
      <w:r>
        <w:rPr>
          <w:b/>
          <w:sz w:val="28"/>
          <w:szCs w:val="28"/>
        </w:rPr>
        <w:lastRenderedPageBreak/>
        <w:t>Equity of Access to Advanced Mathematics</w:t>
      </w:r>
    </w:p>
    <w:p w:rsidR="002C1976" w:rsidRPr="00AF5E76" w:rsidRDefault="002C1976" w:rsidP="002C1976">
      <w:pPr>
        <w:jc w:val="center"/>
        <w:rPr>
          <w:b/>
          <w:szCs w:val="24"/>
        </w:rPr>
      </w:pPr>
    </w:p>
    <w:p w:rsidR="003B6735" w:rsidRPr="00AF5E76" w:rsidRDefault="002C1976" w:rsidP="002C1976">
      <w:pPr>
        <w:rPr>
          <w:szCs w:val="24"/>
        </w:rPr>
      </w:pPr>
      <w:r w:rsidRPr="00AF5E76">
        <w:rPr>
          <w:szCs w:val="24"/>
        </w:rPr>
        <w:t>One of the goals of mathematics acceleration is to offer access to advanced mathematics to students in high school.  But</w:t>
      </w:r>
      <w:r w:rsidR="00F57C6D">
        <w:rPr>
          <w:szCs w:val="24"/>
        </w:rPr>
        <w:t>,</w:t>
      </w:r>
      <w:r w:rsidRPr="00AF5E76">
        <w:rPr>
          <w:szCs w:val="24"/>
        </w:rPr>
        <w:t xml:space="preserve"> longitudinal studies show that when students are accelerated before they have </w:t>
      </w:r>
      <w:r w:rsidR="00F57C6D">
        <w:rPr>
          <w:szCs w:val="24"/>
        </w:rPr>
        <w:t>demonstrated readiness</w:t>
      </w:r>
      <w:r w:rsidRPr="00AF5E76">
        <w:rPr>
          <w:szCs w:val="24"/>
        </w:rPr>
        <w:t>, their performance and achievement decline over time.  This practice often discourages students from pursuing advanced mathematics, the opposite of the desired effect</w:t>
      </w:r>
      <w:r w:rsidR="003B6735" w:rsidRPr="00AF5E76">
        <w:rPr>
          <w:szCs w:val="24"/>
        </w:rPr>
        <w:t xml:space="preserve">.  </w:t>
      </w:r>
    </w:p>
    <w:p w:rsidR="003B6735" w:rsidRPr="00AF5E76" w:rsidRDefault="003B6735" w:rsidP="002C1976">
      <w:pPr>
        <w:rPr>
          <w:szCs w:val="24"/>
        </w:rPr>
      </w:pPr>
    </w:p>
    <w:p w:rsidR="003B6735" w:rsidRPr="00AF5E76" w:rsidRDefault="003B6735" w:rsidP="002C1976">
      <w:pPr>
        <w:rPr>
          <w:szCs w:val="24"/>
        </w:rPr>
      </w:pPr>
      <w:r w:rsidRPr="00AF5E76">
        <w:rPr>
          <w:szCs w:val="24"/>
        </w:rPr>
        <w:t xml:space="preserve">If districts are going to offer multiple </w:t>
      </w:r>
      <w:r w:rsidR="00AE3F17">
        <w:rPr>
          <w:szCs w:val="24"/>
        </w:rPr>
        <w:t>pathways, such as an advanced</w:t>
      </w:r>
      <w:r w:rsidRPr="00AF5E76">
        <w:rPr>
          <w:szCs w:val="24"/>
        </w:rPr>
        <w:t xml:space="preserve"> pathway and a regular pathway, they should offer multiple opportunities for students to enter and exit the pathways, with multiple decision points</w:t>
      </w:r>
      <w:r w:rsidR="00267D6B">
        <w:rPr>
          <w:szCs w:val="24"/>
        </w:rPr>
        <w:t>,</w:t>
      </w:r>
      <w:r w:rsidRPr="00AF5E76">
        <w:rPr>
          <w:szCs w:val="24"/>
        </w:rPr>
        <w:t xml:space="preserve"> and clear</w:t>
      </w:r>
      <w:r w:rsidR="00AE3F17">
        <w:rPr>
          <w:szCs w:val="24"/>
        </w:rPr>
        <w:t>, well</w:t>
      </w:r>
      <w:r w:rsidRPr="00AF5E76">
        <w:rPr>
          <w:szCs w:val="24"/>
        </w:rPr>
        <w:t xml:space="preserve"> communicated criteria for movement into and out of the pathways.  </w:t>
      </w:r>
    </w:p>
    <w:p w:rsidR="003B6735" w:rsidRPr="00AF5E76" w:rsidRDefault="003B6735" w:rsidP="002C1976">
      <w:pPr>
        <w:rPr>
          <w:szCs w:val="24"/>
        </w:rPr>
      </w:pPr>
    </w:p>
    <w:p w:rsidR="002C1976" w:rsidRPr="00AF5E76" w:rsidRDefault="00267D6B" w:rsidP="002C1976">
      <w:pPr>
        <w:rPr>
          <w:szCs w:val="24"/>
        </w:rPr>
      </w:pPr>
      <w:r>
        <w:rPr>
          <w:szCs w:val="24"/>
        </w:rPr>
        <w:t>If districts</w:t>
      </w:r>
      <w:r w:rsidR="003B6735" w:rsidRPr="00AF5E76">
        <w:rPr>
          <w:szCs w:val="24"/>
        </w:rPr>
        <w:t xml:space="preserve"> are going to offer on</w:t>
      </w:r>
      <w:r>
        <w:rPr>
          <w:szCs w:val="24"/>
        </w:rPr>
        <w:t>e heterogeneous pathway for</w:t>
      </w:r>
      <w:r w:rsidR="003B6735" w:rsidRPr="00AF5E76">
        <w:rPr>
          <w:szCs w:val="24"/>
        </w:rPr>
        <w:t xml:space="preserve"> all students, that pathway should offer a smooth transition to advanced mathematics that does n</w:t>
      </w:r>
      <w:r>
        <w:rPr>
          <w:szCs w:val="24"/>
        </w:rPr>
        <w:t>ot skip any foundational content</w:t>
      </w:r>
      <w:r w:rsidR="003B6735" w:rsidRPr="00AF5E76">
        <w:rPr>
          <w:szCs w:val="24"/>
        </w:rPr>
        <w:t xml:space="preserve"> and allows ample time f</w:t>
      </w:r>
      <w:r>
        <w:rPr>
          <w:szCs w:val="24"/>
        </w:rPr>
        <w:t>or students to master the mathematical skills</w:t>
      </w:r>
      <w:r w:rsidR="003B6735" w:rsidRPr="00AF5E76">
        <w:rPr>
          <w:szCs w:val="24"/>
        </w:rPr>
        <w:t xml:space="preserve"> and develop the necessary collaboration and communication skills that are also required for college and career.</w:t>
      </w:r>
    </w:p>
    <w:p w:rsidR="003B6735" w:rsidRPr="00AF5E76" w:rsidRDefault="003B6735" w:rsidP="002C1976">
      <w:pPr>
        <w:rPr>
          <w:szCs w:val="24"/>
        </w:rPr>
      </w:pPr>
    </w:p>
    <w:p w:rsidR="003B6735" w:rsidRPr="00AF5E76" w:rsidRDefault="003B6735" w:rsidP="002C1976">
      <w:pPr>
        <w:rPr>
          <w:szCs w:val="24"/>
        </w:rPr>
      </w:pPr>
      <w:r w:rsidRPr="00AF5E76">
        <w:rPr>
          <w:szCs w:val="24"/>
        </w:rPr>
        <w:t>Regardless of which philosophy the district espouses</w:t>
      </w:r>
      <w:r w:rsidR="00AE3F17">
        <w:rPr>
          <w:szCs w:val="24"/>
        </w:rPr>
        <w:t>, multiple pathways or algebra for all</w:t>
      </w:r>
      <w:r w:rsidRPr="00AF5E76">
        <w:rPr>
          <w:szCs w:val="24"/>
        </w:rPr>
        <w:t>, the educational goal should be mastery, not merely “passing”.</w:t>
      </w:r>
    </w:p>
    <w:p w:rsidR="002C1976" w:rsidRDefault="002C1976" w:rsidP="002C1976">
      <w:pPr>
        <w:jc w:val="center"/>
        <w:rPr>
          <w:b/>
          <w:sz w:val="28"/>
          <w:szCs w:val="28"/>
        </w:rPr>
      </w:pPr>
    </w:p>
    <w:p w:rsidR="002C1976" w:rsidRDefault="003B6735" w:rsidP="002C1976">
      <w:pPr>
        <w:jc w:val="center"/>
        <w:rPr>
          <w:b/>
          <w:sz w:val="28"/>
          <w:szCs w:val="28"/>
        </w:rPr>
      </w:pPr>
      <w:r>
        <w:rPr>
          <w:b/>
          <w:sz w:val="28"/>
          <w:szCs w:val="28"/>
        </w:rPr>
        <w:t>The Pathways</w:t>
      </w:r>
    </w:p>
    <w:p w:rsidR="003B6735" w:rsidRPr="00234562" w:rsidRDefault="003B6735" w:rsidP="002C1976">
      <w:pPr>
        <w:jc w:val="center"/>
        <w:rPr>
          <w:b/>
          <w:sz w:val="28"/>
          <w:szCs w:val="28"/>
        </w:rPr>
      </w:pPr>
    </w:p>
    <w:p w:rsidR="002C1976" w:rsidRPr="00416EE8" w:rsidRDefault="002C1976" w:rsidP="002C1976">
      <w:pPr>
        <w:rPr>
          <w:sz w:val="28"/>
          <w:szCs w:val="28"/>
        </w:rPr>
      </w:pPr>
      <w:r>
        <w:rPr>
          <w:b/>
          <w:sz w:val="28"/>
          <w:szCs w:val="28"/>
        </w:rPr>
        <w:t>B</w:t>
      </w:r>
      <w:r w:rsidRPr="00234562">
        <w:rPr>
          <w:b/>
          <w:sz w:val="28"/>
          <w:szCs w:val="28"/>
        </w:rPr>
        <w:t>est Pathway to Advanced Mathematics</w:t>
      </w:r>
      <w:r>
        <w:rPr>
          <w:sz w:val="28"/>
          <w:szCs w:val="28"/>
        </w:rPr>
        <w:t xml:space="preserve">:  </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CellMar>
          <w:left w:w="0" w:type="dxa"/>
          <w:right w:w="0" w:type="dxa"/>
        </w:tblCellMar>
        <w:tblLook w:val="0420" w:firstRow="1" w:lastRow="0" w:firstColumn="0" w:lastColumn="0" w:noHBand="0" w:noVBand="1"/>
      </w:tblPr>
      <w:tblGrid>
        <w:gridCol w:w="1296"/>
        <w:gridCol w:w="1296"/>
        <w:gridCol w:w="1296"/>
        <w:gridCol w:w="1297"/>
        <w:gridCol w:w="1297"/>
        <w:gridCol w:w="1297"/>
        <w:gridCol w:w="1297"/>
      </w:tblGrid>
      <w:tr w:rsidR="002C1976" w:rsidRPr="00416EE8" w:rsidTr="00666693">
        <w:trPr>
          <w:trHeight w:val="590"/>
          <w:jc w:val="center"/>
        </w:trPr>
        <w:tc>
          <w:tcPr>
            <w:tcW w:w="1296" w:type="dxa"/>
            <w:shd w:val="clear" w:color="auto" w:fill="B6DDE8" w:themeFill="accent5" w:themeFillTint="66"/>
            <w:tcMar>
              <w:top w:w="72" w:type="dxa"/>
              <w:left w:w="144" w:type="dxa"/>
              <w:bottom w:w="72" w:type="dxa"/>
              <w:right w:w="144" w:type="dxa"/>
            </w:tcMar>
            <w:vAlign w:val="center"/>
            <w:hideMark/>
          </w:tcPr>
          <w:p w:rsidR="002C1976" w:rsidRPr="00416EE8" w:rsidRDefault="002C1976" w:rsidP="00666693">
            <w:pPr>
              <w:jc w:val="center"/>
              <w:rPr>
                <w:sz w:val="28"/>
                <w:szCs w:val="28"/>
              </w:rPr>
            </w:pPr>
            <w:r>
              <w:rPr>
                <w:b/>
                <w:bCs/>
                <w:sz w:val="28"/>
                <w:szCs w:val="28"/>
              </w:rPr>
              <w:t>6</w:t>
            </w:r>
          </w:p>
        </w:tc>
        <w:tc>
          <w:tcPr>
            <w:tcW w:w="1296" w:type="dxa"/>
            <w:shd w:val="clear" w:color="auto" w:fill="B6DDE8" w:themeFill="accent5" w:themeFillTint="66"/>
            <w:tcMar>
              <w:top w:w="72" w:type="dxa"/>
              <w:left w:w="144" w:type="dxa"/>
              <w:bottom w:w="72" w:type="dxa"/>
              <w:right w:w="144" w:type="dxa"/>
            </w:tcMar>
            <w:vAlign w:val="center"/>
            <w:hideMark/>
          </w:tcPr>
          <w:p w:rsidR="002C1976" w:rsidRPr="00416EE8" w:rsidRDefault="002C1976" w:rsidP="00666693">
            <w:pPr>
              <w:jc w:val="center"/>
              <w:rPr>
                <w:sz w:val="28"/>
                <w:szCs w:val="28"/>
              </w:rPr>
            </w:pPr>
            <w:r>
              <w:rPr>
                <w:b/>
                <w:bCs/>
                <w:sz w:val="28"/>
                <w:szCs w:val="28"/>
              </w:rPr>
              <w:t>7</w:t>
            </w:r>
          </w:p>
        </w:tc>
        <w:tc>
          <w:tcPr>
            <w:tcW w:w="1296" w:type="dxa"/>
            <w:shd w:val="clear" w:color="auto" w:fill="B6DDE8" w:themeFill="accent5" w:themeFillTint="66"/>
            <w:tcMar>
              <w:top w:w="72" w:type="dxa"/>
              <w:left w:w="144" w:type="dxa"/>
              <w:bottom w:w="72" w:type="dxa"/>
              <w:right w:w="144" w:type="dxa"/>
            </w:tcMar>
            <w:vAlign w:val="center"/>
            <w:hideMark/>
          </w:tcPr>
          <w:p w:rsidR="002C1976" w:rsidRPr="00416EE8" w:rsidRDefault="002C1976" w:rsidP="00666693">
            <w:pPr>
              <w:jc w:val="center"/>
              <w:rPr>
                <w:sz w:val="28"/>
                <w:szCs w:val="28"/>
              </w:rPr>
            </w:pPr>
            <w:r>
              <w:rPr>
                <w:b/>
                <w:bCs/>
                <w:sz w:val="28"/>
                <w:szCs w:val="28"/>
              </w:rPr>
              <w:t>8</w:t>
            </w:r>
          </w:p>
        </w:tc>
        <w:tc>
          <w:tcPr>
            <w:tcW w:w="1297" w:type="dxa"/>
            <w:shd w:val="clear" w:color="auto" w:fill="B6DDE8" w:themeFill="accent5" w:themeFillTint="66"/>
            <w:tcMar>
              <w:top w:w="72" w:type="dxa"/>
              <w:left w:w="144" w:type="dxa"/>
              <w:bottom w:w="72" w:type="dxa"/>
              <w:right w:w="144" w:type="dxa"/>
            </w:tcMar>
            <w:vAlign w:val="center"/>
            <w:hideMark/>
          </w:tcPr>
          <w:p w:rsidR="002C1976" w:rsidRPr="00416EE8" w:rsidRDefault="002C1976" w:rsidP="00666693">
            <w:pPr>
              <w:jc w:val="center"/>
              <w:rPr>
                <w:sz w:val="28"/>
                <w:szCs w:val="28"/>
              </w:rPr>
            </w:pPr>
            <w:r w:rsidRPr="00416EE8">
              <w:rPr>
                <w:b/>
                <w:bCs/>
                <w:sz w:val="28"/>
                <w:szCs w:val="28"/>
              </w:rPr>
              <w:t>A1</w:t>
            </w:r>
          </w:p>
        </w:tc>
        <w:tc>
          <w:tcPr>
            <w:tcW w:w="1297" w:type="dxa"/>
            <w:shd w:val="clear" w:color="auto" w:fill="B6DDE8" w:themeFill="accent5" w:themeFillTint="66"/>
            <w:tcMar>
              <w:top w:w="72" w:type="dxa"/>
              <w:left w:w="144" w:type="dxa"/>
              <w:bottom w:w="72" w:type="dxa"/>
              <w:right w:w="144" w:type="dxa"/>
            </w:tcMar>
            <w:vAlign w:val="center"/>
            <w:hideMark/>
          </w:tcPr>
          <w:p w:rsidR="002C1976" w:rsidRPr="00416EE8" w:rsidRDefault="002C1976" w:rsidP="00666693">
            <w:pPr>
              <w:jc w:val="center"/>
              <w:rPr>
                <w:sz w:val="28"/>
                <w:szCs w:val="28"/>
              </w:rPr>
            </w:pPr>
            <w:r>
              <w:rPr>
                <w:b/>
                <w:bCs/>
                <w:sz w:val="28"/>
                <w:szCs w:val="28"/>
              </w:rPr>
              <w:t>G</w:t>
            </w:r>
          </w:p>
        </w:tc>
        <w:tc>
          <w:tcPr>
            <w:tcW w:w="1297" w:type="dxa"/>
            <w:shd w:val="clear" w:color="auto" w:fill="B6DDE8" w:themeFill="accent5" w:themeFillTint="66"/>
            <w:tcMar>
              <w:top w:w="72" w:type="dxa"/>
              <w:left w:w="144" w:type="dxa"/>
              <w:bottom w:w="72" w:type="dxa"/>
              <w:right w:w="144" w:type="dxa"/>
            </w:tcMar>
            <w:vAlign w:val="center"/>
            <w:hideMark/>
          </w:tcPr>
          <w:p w:rsidR="002C1976" w:rsidRPr="00416EE8" w:rsidRDefault="002C1976" w:rsidP="00666693">
            <w:pPr>
              <w:jc w:val="center"/>
              <w:rPr>
                <w:sz w:val="28"/>
                <w:szCs w:val="28"/>
              </w:rPr>
            </w:pPr>
            <w:r>
              <w:rPr>
                <w:b/>
                <w:bCs/>
                <w:sz w:val="28"/>
                <w:szCs w:val="28"/>
              </w:rPr>
              <w:t>A2</w:t>
            </w:r>
          </w:p>
        </w:tc>
        <w:tc>
          <w:tcPr>
            <w:tcW w:w="1297" w:type="dxa"/>
            <w:shd w:val="clear" w:color="auto" w:fill="B6DDE8" w:themeFill="accent5" w:themeFillTint="66"/>
            <w:tcMar>
              <w:top w:w="72" w:type="dxa"/>
              <w:left w:w="144" w:type="dxa"/>
              <w:bottom w:w="72" w:type="dxa"/>
              <w:right w:w="144" w:type="dxa"/>
            </w:tcMar>
            <w:vAlign w:val="center"/>
            <w:hideMark/>
          </w:tcPr>
          <w:p w:rsidR="002C1976" w:rsidRPr="0097362B" w:rsidRDefault="002C1976" w:rsidP="00666693">
            <w:pPr>
              <w:jc w:val="center"/>
              <w:rPr>
                <w:b/>
                <w:bCs/>
                <w:sz w:val="20"/>
              </w:rPr>
            </w:pPr>
            <w:r w:rsidRPr="0097362B">
              <w:rPr>
                <w:b/>
                <w:bCs/>
                <w:sz w:val="20"/>
              </w:rPr>
              <w:t>AP Stat</w:t>
            </w:r>
          </w:p>
          <w:p w:rsidR="002C1976" w:rsidRPr="0097362B" w:rsidRDefault="002C1976" w:rsidP="00666693">
            <w:pPr>
              <w:jc w:val="center"/>
              <w:rPr>
                <w:b/>
                <w:bCs/>
                <w:sz w:val="20"/>
              </w:rPr>
            </w:pPr>
            <w:r w:rsidRPr="0097362B">
              <w:rPr>
                <w:b/>
                <w:bCs/>
                <w:sz w:val="20"/>
              </w:rPr>
              <w:t>Pre-</w:t>
            </w:r>
            <w:proofErr w:type="spellStart"/>
            <w:r w:rsidRPr="0097362B">
              <w:rPr>
                <w:b/>
                <w:bCs/>
                <w:sz w:val="20"/>
              </w:rPr>
              <w:t>Calc</w:t>
            </w:r>
            <w:proofErr w:type="spellEnd"/>
          </w:p>
          <w:p w:rsidR="0097362B" w:rsidRPr="00234562" w:rsidRDefault="0097362B" w:rsidP="00666693">
            <w:pPr>
              <w:jc w:val="center"/>
              <w:rPr>
                <w:b/>
                <w:bCs/>
                <w:sz w:val="28"/>
                <w:szCs w:val="28"/>
              </w:rPr>
            </w:pPr>
            <w:r w:rsidRPr="0097362B">
              <w:rPr>
                <w:b/>
                <w:bCs/>
                <w:sz w:val="20"/>
              </w:rPr>
              <w:t xml:space="preserve">AP </w:t>
            </w:r>
            <w:proofErr w:type="spellStart"/>
            <w:r w:rsidRPr="0097362B">
              <w:rPr>
                <w:b/>
                <w:bCs/>
                <w:sz w:val="20"/>
              </w:rPr>
              <w:t>Calc</w:t>
            </w:r>
            <w:proofErr w:type="spellEnd"/>
          </w:p>
        </w:tc>
      </w:tr>
    </w:tbl>
    <w:p w:rsidR="002C1976" w:rsidRPr="00F70FD5" w:rsidRDefault="002C1976" w:rsidP="002C1976">
      <w:pPr>
        <w:rPr>
          <w:sz w:val="20"/>
        </w:rPr>
      </w:pPr>
      <w:r w:rsidRPr="00F70FD5">
        <w:rPr>
          <w:sz w:val="20"/>
        </w:rPr>
        <w:t>Note:  Culminating 12</w:t>
      </w:r>
      <w:r w:rsidRPr="00F70FD5">
        <w:rPr>
          <w:sz w:val="20"/>
          <w:vertAlign w:val="superscript"/>
        </w:rPr>
        <w:t>th</w:t>
      </w:r>
      <w:r w:rsidRPr="00F70FD5">
        <w:rPr>
          <w:sz w:val="20"/>
        </w:rPr>
        <w:t xml:space="preserve"> year course can be AP Statistics, Pre-Calculus or other c</w:t>
      </w:r>
      <w:r>
        <w:rPr>
          <w:sz w:val="20"/>
        </w:rPr>
        <w:t xml:space="preserve">ollege credit bearing course.  </w:t>
      </w:r>
      <w:r w:rsidR="0097362B">
        <w:rPr>
          <w:sz w:val="20"/>
        </w:rPr>
        <w:t>Districts may also of</w:t>
      </w:r>
      <w:r w:rsidR="00584551">
        <w:rPr>
          <w:sz w:val="20"/>
        </w:rPr>
        <w:t>fer AP Calculus if extra time</w:t>
      </w:r>
      <w:r w:rsidR="0097362B">
        <w:rPr>
          <w:sz w:val="20"/>
        </w:rPr>
        <w:t xml:space="preserve"> is available</w:t>
      </w:r>
      <w:r w:rsidR="00584551">
        <w:rPr>
          <w:sz w:val="20"/>
        </w:rPr>
        <w:t xml:space="preserve"> in</w:t>
      </w:r>
      <w:r w:rsidR="0097362B">
        <w:rPr>
          <w:sz w:val="20"/>
        </w:rPr>
        <w:t xml:space="preserve"> the schedule</w:t>
      </w:r>
      <w:r w:rsidR="00584551">
        <w:rPr>
          <w:sz w:val="20"/>
        </w:rPr>
        <w:t xml:space="preserve"> (double period)</w:t>
      </w:r>
      <w:r w:rsidR="0097362B">
        <w:rPr>
          <w:sz w:val="20"/>
        </w:rPr>
        <w:t xml:space="preserve">.  </w:t>
      </w:r>
      <w:r>
        <w:rPr>
          <w:sz w:val="20"/>
        </w:rPr>
        <w:t>A m</w:t>
      </w:r>
      <w:r w:rsidRPr="00F70FD5">
        <w:rPr>
          <w:sz w:val="20"/>
        </w:rPr>
        <w:t>enu of options should be available for</w:t>
      </w:r>
      <w:r>
        <w:rPr>
          <w:sz w:val="20"/>
        </w:rPr>
        <w:t xml:space="preserve"> all</w:t>
      </w:r>
      <w:r w:rsidRPr="00F70FD5">
        <w:rPr>
          <w:sz w:val="20"/>
        </w:rPr>
        <w:t xml:space="preserve"> students.</w:t>
      </w:r>
    </w:p>
    <w:p w:rsidR="003B6735" w:rsidRDefault="003B6735" w:rsidP="002C1976">
      <w:pPr>
        <w:rPr>
          <w:b/>
          <w:sz w:val="28"/>
          <w:szCs w:val="28"/>
        </w:rPr>
      </w:pPr>
    </w:p>
    <w:p w:rsidR="002C1976" w:rsidRPr="00416EE8" w:rsidRDefault="00584551" w:rsidP="002C1976">
      <w:pPr>
        <w:rPr>
          <w:sz w:val="28"/>
          <w:szCs w:val="28"/>
        </w:rPr>
      </w:pPr>
      <w:r>
        <w:rPr>
          <w:b/>
          <w:sz w:val="28"/>
          <w:szCs w:val="28"/>
        </w:rPr>
        <w:t>Best Pathway to AP Calculus</w:t>
      </w:r>
      <w:r w:rsidR="002C1976" w:rsidRPr="00416EE8">
        <w:rPr>
          <w:sz w:val="28"/>
          <w:szCs w:val="28"/>
        </w:rPr>
        <w:t>:</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CellMar>
          <w:left w:w="0" w:type="dxa"/>
          <w:right w:w="0" w:type="dxa"/>
        </w:tblCellMar>
        <w:tblLook w:val="0420" w:firstRow="1" w:lastRow="0" w:firstColumn="0" w:lastColumn="0" w:noHBand="0" w:noVBand="1"/>
      </w:tblPr>
      <w:tblGrid>
        <w:gridCol w:w="1296"/>
        <w:gridCol w:w="1296"/>
        <w:gridCol w:w="1296"/>
        <w:gridCol w:w="1297"/>
        <w:gridCol w:w="1297"/>
        <w:gridCol w:w="1297"/>
        <w:gridCol w:w="1297"/>
      </w:tblGrid>
      <w:tr w:rsidR="002C1976" w:rsidRPr="00416EE8" w:rsidTr="00666693">
        <w:trPr>
          <w:trHeight w:val="590"/>
          <w:jc w:val="center"/>
        </w:trPr>
        <w:tc>
          <w:tcPr>
            <w:tcW w:w="1296" w:type="dxa"/>
            <w:shd w:val="clear" w:color="auto" w:fill="B6DDE8" w:themeFill="accent5" w:themeFillTint="66"/>
            <w:tcMar>
              <w:top w:w="72" w:type="dxa"/>
              <w:left w:w="144" w:type="dxa"/>
              <w:bottom w:w="72" w:type="dxa"/>
              <w:right w:w="144" w:type="dxa"/>
            </w:tcMar>
            <w:vAlign w:val="center"/>
            <w:hideMark/>
          </w:tcPr>
          <w:p w:rsidR="002C1976" w:rsidRPr="00416EE8" w:rsidRDefault="009E4A7A" w:rsidP="00666693">
            <w:pPr>
              <w:jc w:val="center"/>
              <w:rPr>
                <w:sz w:val="28"/>
                <w:szCs w:val="28"/>
              </w:rPr>
            </w:pPr>
            <w:r>
              <w:rPr>
                <w:b/>
                <w:bCs/>
                <w:sz w:val="28"/>
                <w:szCs w:val="28"/>
              </w:rPr>
              <w:t>6H</w:t>
            </w:r>
          </w:p>
        </w:tc>
        <w:tc>
          <w:tcPr>
            <w:tcW w:w="1296" w:type="dxa"/>
            <w:shd w:val="clear" w:color="auto" w:fill="B6DDE8" w:themeFill="accent5" w:themeFillTint="66"/>
            <w:tcMar>
              <w:top w:w="72" w:type="dxa"/>
              <w:left w:w="144" w:type="dxa"/>
              <w:bottom w:w="72" w:type="dxa"/>
              <w:right w:w="144" w:type="dxa"/>
            </w:tcMar>
            <w:vAlign w:val="center"/>
            <w:hideMark/>
          </w:tcPr>
          <w:p w:rsidR="002C1976" w:rsidRPr="00416EE8" w:rsidRDefault="009E4A7A" w:rsidP="00666693">
            <w:pPr>
              <w:jc w:val="center"/>
              <w:rPr>
                <w:sz w:val="28"/>
                <w:szCs w:val="28"/>
              </w:rPr>
            </w:pPr>
            <w:r>
              <w:rPr>
                <w:b/>
                <w:bCs/>
                <w:sz w:val="28"/>
                <w:szCs w:val="28"/>
              </w:rPr>
              <w:t>7H</w:t>
            </w:r>
          </w:p>
        </w:tc>
        <w:tc>
          <w:tcPr>
            <w:tcW w:w="1296" w:type="dxa"/>
            <w:shd w:val="clear" w:color="auto" w:fill="B6DDE8" w:themeFill="accent5" w:themeFillTint="66"/>
            <w:tcMar>
              <w:top w:w="72" w:type="dxa"/>
              <w:left w:w="144" w:type="dxa"/>
              <w:bottom w:w="72" w:type="dxa"/>
              <w:right w:w="144" w:type="dxa"/>
            </w:tcMar>
            <w:vAlign w:val="center"/>
            <w:hideMark/>
          </w:tcPr>
          <w:p w:rsidR="002C1976" w:rsidRPr="00416EE8" w:rsidRDefault="009E4A7A" w:rsidP="00666693">
            <w:pPr>
              <w:jc w:val="center"/>
              <w:rPr>
                <w:sz w:val="28"/>
                <w:szCs w:val="28"/>
              </w:rPr>
            </w:pPr>
            <w:r>
              <w:rPr>
                <w:b/>
                <w:bCs/>
                <w:sz w:val="28"/>
                <w:szCs w:val="28"/>
              </w:rPr>
              <w:t>8H</w:t>
            </w:r>
          </w:p>
        </w:tc>
        <w:tc>
          <w:tcPr>
            <w:tcW w:w="1297" w:type="dxa"/>
            <w:shd w:val="clear" w:color="auto" w:fill="B6DDE8" w:themeFill="accent5" w:themeFillTint="66"/>
            <w:tcMar>
              <w:top w:w="72" w:type="dxa"/>
              <w:left w:w="144" w:type="dxa"/>
              <w:bottom w:w="72" w:type="dxa"/>
              <w:right w:w="144" w:type="dxa"/>
            </w:tcMar>
            <w:vAlign w:val="center"/>
            <w:hideMark/>
          </w:tcPr>
          <w:p w:rsidR="002C1976" w:rsidRPr="00416EE8" w:rsidRDefault="009E4A7A" w:rsidP="00666693">
            <w:pPr>
              <w:jc w:val="center"/>
              <w:rPr>
                <w:sz w:val="28"/>
                <w:szCs w:val="28"/>
              </w:rPr>
            </w:pPr>
            <w:r>
              <w:rPr>
                <w:b/>
                <w:bCs/>
                <w:sz w:val="28"/>
                <w:szCs w:val="28"/>
              </w:rPr>
              <w:t>A1 H</w:t>
            </w:r>
          </w:p>
        </w:tc>
        <w:tc>
          <w:tcPr>
            <w:tcW w:w="1297" w:type="dxa"/>
            <w:shd w:val="clear" w:color="auto" w:fill="B6DDE8" w:themeFill="accent5" w:themeFillTint="66"/>
            <w:tcMar>
              <w:top w:w="72" w:type="dxa"/>
              <w:left w:w="144" w:type="dxa"/>
              <w:bottom w:w="72" w:type="dxa"/>
              <w:right w:w="144" w:type="dxa"/>
            </w:tcMar>
            <w:vAlign w:val="center"/>
            <w:hideMark/>
          </w:tcPr>
          <w:p w:rsidR="002C1976" w:rsidRPr="00416EE8" w:rsidRDefault="002C1976" w:rsidP="00666693">
            <w:pPr>
              <w:jc w:val="center"/>
              <w:rPr>
                <w:sz w:val="28"/>
                <w:szCs w:val="28"/>
              </w:rPr>
            </w:pPr>
            <w:r w:rsidRPr="00416EE8">
              <w:rPr>
                <w:b/>
                <w:bCs/>
                <w:sz w:val="28"/>
                <w:szCs w:val="28"/>
              </w:rPr>
              <w:t>G</w:t>
            </w:r>
            <w:r w:rsidR="009E4A7A">
              <w:rPr>
                <w:b/>
                <w:bCs/>
                <w:sz w:val="28"/>
                <w:szCs w:val="28"/>
              </w:rPr>
              <w:t>H</w:t>
            </w:r>
            <w:r w:rsidRPr="00AF5E76">
              <w:rPr>
                <w:rFonts w:ascii="Britannic Bold" w:hAnsi="Britannic Bold"/>
                <w:b/>
                <w:bCs/>
                <w:sz w:val="28"/>
                <w:szCs w:val="28"/>
              </w:rPr>
              <w:t>+</w:t>
            </w:r>
          </w:p>
        </w:tc>
        <w:tc>
          <w:tcPr>
            <w:tcW w:w="1297" w:type="dxa"/>
            <w:shd w:val="clear" w:color="auto" w:fill="B6DDE8" w:themeFill="accent5" w:themeFillTint="66"/>
            <w:tcMar>
              <w:top w:w="72" w:type="dxa"/>
              <w:left w:w="144" w:type="dxa"/>
              <w:bottom w:w="72" w:type="dxa"/>
              <w:right w:w="144" w:type="dxa"/>
            </w:tcMar>
            <w:vAlign w:val="center"/>
            <w:hideMark/>
          </w:tcPr>
          <w:p w:rsidR="002C1976" w:rsidRPr="00416EE8" w:rsidRDefault="002C1976" w:rsidP="00666693">
            <w:pPr>
              <w:jc w:val="center"/>
              <w:rPr>
                <w:sz w:val="28"/>
                <w:szCs w:val="28"/>
              </w:rPr>
            </w:pPr>
            <w:r w:rsidRPr="00416EE8">
              <w:rPr>
                <w:b/>
                <w:bCs/>
                <w:sz w:val="28"/>
                <w:szCs w:val="28"/>
              </w:rPr>
              <w:t>A2</w:t>
            </w:r>
            <w:r w:rsidR="009E4A7A">
              <w:rPr>
                <w:b/>
                <w:bCs/>
                <w:sz w:val="28"/>
                <w:szCs w:val="28"/>
              </w:rPr>
              <w:t>H</w:t>
            </w:r>
            <w:r w:rsidRPr="00AF5E76">
              <w:rPr>
                <w:rFonts w:ascii="Britannic Bold" w:hAnsi="Britannic Bold"/>
                <w:b/>
                <w:bCs/>
                <w:sz w:val="28"/>
                <w:szCs w:val="28"/>
              </w:rPr>
              <w:t>+</w:t>
            </w:r>
          </w:p>
        </w:tc>
        <w:tc>
          <w:tcPr>
            <w:tcW w:w="1297" w:type="dxa"/>
            <w:shd w:val="clear" w:color="auto" w:fill="B6DDE8" w:themeFill="accent5" w:themeFillTint="66"/>
            <w:tcMar>
              <w:top w:w="72" w:type="dxa"/>
              <w:left w:w="144" w:type="dxa"/>
              <w:bottom w:w="72" w:type="dxa"/>
              <w:right w:w="144" w:type="dxa"/>
            </w:tcMar>
            <w:vAlign w:val="center"/>
            <w:hideMark/>
          </w:tcPr>
          <w:p w:rsidR="002C1976" w:rsidRPr="009E4A7A" w:rsidRDefault="002C1976" w:rsidP="00666693">
            <w:pPr>
              <w:jc w:val="center"/>
              <w:rPr>
                <w:b/>
                <w:bCs/>
                <w:sz w:val="20"/>
              </w:rPr>
            </w:pPr>
            <w:r w:rsidRPr="009E4A7A">
              <w:rPr>
                <w:b/>
                <w:bCs/>
                <w:sz w:val="20"/>
              </w:rPr>
              <w:t xml:space="preserve">AP </w:t>
            </w:r>
            <w:proofErr w:type="spellStart"/>
            <w:r w:rsidRPr="009E4A7A">
              <w:rPr>
                <w:b/>
                <w:bCs/>
                <w:sz w:val="20"/>
              </w:rPr>
              <w:t>Calc</w:t>
            </w:r>
            <w:proofErr w:type="spellEnd"/>
          </w:p>
          <w:p w:rsidR="002C1976" w:rsidRPr="00416EE8" w:rsidRDefault="002C1976" w:rsidP="00666693">
            <w:pPr>
              <w:jc w:val="center"/>
              <w:rPr>
                <w:sz w:val="28"/>
                <w:szCs w:val="28"/>
              </w:rPr>
            </w:pPr>
            <w:r w:rsidRPr="009E4A7A">
              <w:rPr>
                <w:b/>
                <w:bCs/>
                <w:sz w:val="20"/>
              </w:rPr>
              <w:t>AB or BC</w:t>
            </w:r>
          </w:p>
        </w:tc>
      </w:tr>
    </w:tbl>
    <w:p w:rsidR="002C1976" w:rsidRDefault="002C1976" w:rsidP="002C1976">
      <w:pPr>
        <w:rPr>
          <w:sz w:val="20"/>
        </w:rPr>
      </w:pPr>
      <w:r w:rsidRPr="00F70FD5">
        <w:rPr>
          <w:sz w:val="20"/>
        </w:rPr>
        <w:t>Note:  Culminating 12</w:t>
      </w:r>
      <w:r w:rsidRPr="00F70FD5">
        <w:rPr>
          <w:sz w:val="20"/>
          <w:vertAlign w:val="superscript"/>
        </w:rPr>
        <w:t>th</w:t>
      </w:r>
      <w:r w:rsidRPr="00F70FD5">
        <w:rPr>
          <w:sz w:val="20"/>
        </w:rPr>
        <w:t xml:space="preserve"> year course can be AP Calculus AB or BC, AP Statistics, or other college credit bearing course.  Menu of options should be available for </w:t>
      </w:r>
      <w:r>
        <w:rPr>
          <w:sz w:val="20"/>
        </w:rPr>
        <w:t xml:space="preserve">all </w:t>
      </w:r>
      <w:r w:rsidRPr="00F70FD5">
        <w:rPr>
          <w:sz w:val="20"/>
        </w:rPr>
        <w:t>students.</w:t>
      </w:r>
    </w:p>
    <w:p w:rsidR="009E4A7A" w:rsidRPr="00F70FD5" w:rsidRDefault="009E4A7A" w:rsidP="002C1976">
      <w:pPr>
        <w:rPr>
          <w:sz w:val="20"/>
        </w:rPr>
      </w:pPr>
    </w:p>
    <w:p w:rsidR="002C1976" w:rsidRPr="00F70FD5" w:rsidRDefault="002C1976" w:rsidP="002C1976">
      <w:pPr>
        <w:rPr>
          <w:i/>
          <w:szCs w:val="24"/>
        </w:rPr>
      </w:pPr>
      <w:r w:rsidRPr="00F70FD5">
        <w:rPr>
          <w:i/>
          <w:szCs w:val="24"/>
        </w:rPr>
        <w:t>Advantages of Honors Pathway to Calculus: multiple entry points and exit points relieves pressure for students to be accelerated at any one point but instead, when they have demonstrated readiness, all foundational standards are addressed at each grade level, utilizes ability grouping to allow strong students to flourish, significantly less compacting of content standards than the traditional middle school acceleration pathways, allows time for true mastery of standards needed for success in mathematics, allows time for students to develop the Standards for Mathematical Practices.</w:t>
      </w:r>
    </w:p>
    <w:p w:rsidR="00AF5E76" w:rsidRDefault="00AF5E76" w:rsidP="002C1976">
      <w:pPr>
        <w:rPr>
          <w:rFonts w:ascii="Calibri" w:hAnsi="Calibri"/>
          <w:b/>
          <w:bCs/>
          <w:color w:val="000000"/>
          <w:sz w:val="28"/>
          <w:szCs w:val="28"/>
        </w:rPr>
      </w:pPr>
    </w:p>
    <w:p w:rsidR="008C3D53" w:rsidRDefault="008C3D53">
      <w:pPr>
        <w:widowControl/>
        <w:spacing w:after="200" w:line="276" w:lineRule="auto"/>
        <w:rPr>
          <w:b/>
          <w:sz w:val="28"/>
          <w:szCs w:val="28"/>
        </w:rPr>
      </w:pPr>
      <w:r>
        <w:rPr>
          <w:b/>
          <w:sz w:val="28"/>
          <w:szCs w:val="28"/>
        </w:rPr>
        <w:br w:type="page"/>
      </w:r>
    </w:p>
    <w:p w:rsidR="002C1976" w:rsidRPr="00764F2A" w:rsidRDefault="00764F2A" w:rsidP="00764F2A">
      <w:pPr>
        <w:jc w:val="center"/>
        <w:rPr>
          <w:b/>
          <w:sz w:val="28"/>
          <w:szCs w:val="28"/>
        </w:rPr>
      </w:pPr>
      <w:bookmarkStart w:id="0" w:name="_GoBack"/>
      <w:bookmarkEnd w:id="0"/>
      <w:r>
        <w:rPr>
          <w:b/>
          <w:sz w:val="28"/>
          <w:szCs w:val="28"/>
        </w:rPr>
        <w:lastRenderedPageBreak/>
        <w:t>Secondary Compacting Schedule</w:t>
      </w:r>
    </w:p>
    <w:p w:rsidR="002C1976" w:rsidRDefault="002C1976" w:rsidP="002C1976">
      <w:pPr>
        <w:rPr>
          <w:szCs w:val="24"/>
        </w:rPr>
      </w:pPr>
    </w:p>
    <w:p w:rsidR="002C1976" w:rsidRPr="00F70FD5" w:rsidRDefault="002C1976" w:rsidP="002C1976">
      <w:pPr>
        <w:rPr>
          <w:szCs w:val="24"/>
        </w:rPr>
      </w:pPr>
      <w:r>
        <w:rPr>
          <w:szCs w:val="24"/>
        </w:rPr>
        <w:t>The following standards have been added to Geometry and Algebra 2 t</w:t>
      </w:r>
      <w:r w:rsidR="00584551">
        <w:rPr>
          <w:szCs w:val="24"/>
        </w:rPr>
        <w:t>o allow access to AP Calculus</w:t>
      </w:r>
      <w:r>
        <w:rPr>
          <w:szCs w:val="24"/>
        </w:rPr>
        <w:t>.  There is an assumption that students have mastered the foundational standards at each grade level.</w:t>
      </w:r>
      <w:r w:rsidR="006618D2">
        <w:rPr>
          <w:szCs w:val="24"/>
        </w:rPr>
        <w:t xml:space="preserve">  A rubric has been developed to help teachers communicate expectations of the Honors Plus </w:t>
      </w:r>
      <w:r w:rsidR="00663C33">
        <w:rPr>
          <w:szCs w:val="24"/>
        </w:rPr>
        <w:t>p</w:t>
      </w:r>
      <w:r w:rsidR="006618D2">
        <w:rPr>
          <w:szCs w:val="24"/>
        </w:rPr>
        <w:t>athway</w:t>
      </w:r>
    </w:p>
    <w:p w:rsidR="00764F2A" w:rsidRDefault="00764F2A" w:rsidP="002C1976">
      <w:pPr>
        <w:rPr>
          <w:b/>
          <w:szCs w:val="24"/>
        </w:rPr>
      </w:pPr>
    </w:p>
    <w:p w:rsidR="002C1976" w:rsidRDefault="002C1976" w:rsidP="002C1976">
      <w:pPr>
        <w:rPr>
          <w:b/>
          <w:szCs w:val="24"/>
        </w:rPr>
      </w:pPr>
      <w:r w:rsidRPr="006618D2">
        <w:rPr>
          <w:b/>
          <w:szCs w:val="24"/>
        </w:rPr>
        <w:t xml:space="preserve">Geometry Honors </w:t>
      </w:r>
      <w:r w:rsidR="00764F2A" w:rsidRPr="006618D2">
        <w:rPr>
          <w:b/>
          <w:szCs w:val="24"/>
        </w:rPr>
        <w:t>Plus</w:t>
      </w:r>
    </w:p>
    <w:p w:rsidR="00663C33" w:rsidRPr="006618D2" w:rsidRDefault="00663C33" w:rsidP="002C1976">
      <w:pPr>
        <w:rPr>
          <w:b/>
          <w:szCs w:val="24"/>
        </w:rPr>
      </w:pPr>
    </w:p>
    <w:p w:rsidR="002C1976" w:rsidRPr="006618D2" w:rsidRDefault="002C1976" w:rsidP="002C1976">
      <w:pPr>
        <w:pStyle w:val="Default"/>
        <w:rPr>
          <w:rFonts w:ascii="Times New Roman" w:hAnsi="Times New Roman" w:cs="Times New Roman"/>
        </w:rPr>
      </w:pPr>
      <w:r w:rsidRPr="006618D2">
        <w:rPr>
          <w:rFonts w:ascii="Times New Roman" w:hAnsi="Times New Roman" w:cs="Times New Roman"/>
        </w:rPr>
        <w:t>A2-F.FT.2   Apply concepts of the unit circle in the coordinate plane to calculate the values of the six trigonometric functions given angles in radian measure.</w:t>
      </w:r>
    </w:p>
    <w:p w:rsidR="002C1976" w:rsidRPr="006618D2" w:rsidRDefault="002C1976" w:rsidP="002C1976">
      <w:pPr>
        <w:pStyle w:val="Default"/>
        <w:rPr>
          <w:rFonts w:ascii="Times New Roman" w:hAnsi="Times New Roman" w:cs="Times New Roman"/>
        </w:rPr>
      </w:pPr>
    </w:p>
    <w:p w:rsidR="002C1976" w:rsidRPr="006618D2" w:rsidRDefault="002C1976" w:rsidP="002C1976">
      <w:pPr>
        <w:rPr>
          <w:szCs w:val="24"/>
        </w:rPr>
      </w:pPr>
      <w:r w:rsidRPr="006618D2">
        <w:rPr>
          <w:szCs w:val="24"/>
        </w:rPr>
        <w:t>(+)-F.TF.7 Solve trigonometric equations:</w:t>
      </w:r>
    </w:p>
    <w:p w:rsidR="002C1976" w:rsidRPr="006618D2" w:rsidRDefault="002C1976" w:rsidP="002C1976">
      <w:pPr>
        <w:pStyle w:val="ListParagraph"/>
        <w:widowControl/>
        <w:numPr>
          <w:ilvl w:val="1"/>
          <w:numId w:val="4"/>
        </w:numPr>
        <w:spacing w:after="200" w:line="276" w:lineRule="auto"/>
        <w:rPr>
          <w:szCs w:val="24"/>
        </w:rPr>
      </w:pPr>
      <w:proofErr w:type="gramStart"/>
      <w:r w:rsidRPr="006618D2">
        <w:rPr>
          <w:szCs w:val="24"/>
        </w:rPr>
        <w:t>analyti</w:t>
      </w:r>
      <w:r w:rsidR="006618D2">
        <w:rPr>
          <w:szCs w:val="24"/>
        </w:rPr>
        <w:t>cally</w:t>
      </w:r>
      <w:proofErr w:type="gramEnd"/>
      <w:r w:rsidR="006618D2">
        <w:rPr>
          <w:szCs w:val="24"/>
        </w:rPr>
        <w:t xml:space="preserve"> with inverse functions a</w:t>
      </w:r>
      <w:r w:rsidRPr="006618D2">
        <w:rPr>
          <w:szCs w:val="24"/>
        </w:rPr>
        <w:t>nd interpret solutions in terms of the context.</w:t>
      </w:r>
    </w:p>
    <w:p w:rsidR="002C1976" w:rsidRPr="00F70FD5" w:rsidRDefault="00987FB9" w:rsidP="002C1976">
      <w:pPr>
        <w:rPr>
          <w:szCs w:val="24"/>
        </w:rPr>
      </w:pPr>
      <w:r w:rsidRPr="00F70FD5">
        <w:rPr>
          <w:szCs w:val="24"/>
        </w:rPr>
        <w:t xml:space="preserve"> </w:t>
      </w:r>
      <w:r w:rsidR="002C1976" w:rsidRPr="00F70FD5">
        <w:rPr>
          <w:szCs w:val="24"/>
        </w:rPr>
        <w:t>(+)-G.SRT.11 Understand and apply the Law of Sines and the Law of Cosines to find unknown measurements in right and non-right triangles.</w:t>
      </w:r>
    </w:p>
    <w:p w:rsidR="00764F2A" w:rsidRDefault="00764F2A" w:rsidP="002C1976">
      <w:pPr>
        <w:rPr>
          <w:szCs w:val="24"/>
        </w:rPr>
      </w:pPr>
    </w:p>
    <w:p w:rsidR="002C1976" w:rsidRDefault="002C1976" w:rsidP="002C1976">
      <w:pPr>
        <w:rPr>
          <w:szCs w:val="24"/>
        </w:rPr>
      </w:pPr>
      <w:r w:rsidRPr="00987FB9">
        <w:rPr>
          <w:szCs w:val="24"/>
        </w:rPr>
        <w:t xml:space="preserve">(+)-G.GMD.2 Give an informal argument using </w:t>
      </w:r>
      <w:proofErr w:type="spellStart"/>
      <w:r w:rsidRPr="00987FB9">
        <w:rPr>
          <w:szCs w:val="24"/>
        </w:rPr>
        <w:t>Cavalieri’s</w:t>
      </w:r>
      <w:proofErr w:type="spellEnd"/>
      <w:r w:rsidRPr="00987FB9">
        <w:rPr>
          <w:szCs w:val="24"/>
        </w:rPr>
        <w:t xml:space="preserve"> principle for the formulas for the volume of a sphere and other solid figures.</w:t>
      </w:r>
    </w:p>
    <w:p w:rsidR="006D2E55" w:rsidRDefault="006D2E55" w:rsidP="002C1976">
      <w:pPr>
        <w:rPr>
          <w:szCs w:val="24"/>
        </w:rPr>
      </w:pPr>
    </w:p>
    <w:p w:rsidR="006D2E55" w:rsidRDefault="006D2E55" w:rsidP="002C1976">
      <w:pPr>
        <w:rPr>
          <w:szCs w:val="24"/>
        </w:rPr>
      </w:pPr>
      <w:proofErr w:type="gramStart"/>
      <w:r>
        <w:rPr>
          <w:szCs w:val="24"/>
        </w:rPr>
        <w:t>Other Plus Standards?</w:t>
      </w:r>
      <w:proofErr w:type="gramEnd"/>
      <w:r>
        <w:rPr>
          <w:szCs w:val="24"/>
        </w:rPr>
        <w:t xml:space="preserve">  </w:t>
      </w:r>
      <w:r w:rsidR="008D0637">
        <w:rPr>
          <w:szCs w:val="24"/>
        </w:rPr>
        <w:t>Subject to l</w:t>
      </w:r>
      <w:r>
        <w:rPr>
          <w:szCs w:val="24"/>
        </w:rPr>
        <w:t>ocal math department review</w:t>
      </w:r>
    </w:p>
    <w:p w:rsidR="008D0637" w:rsidRDefault="008D0637" w:rsidP="002C1976">
      <w:pPr>
        <w:rPr>
          <w:szCs w:val="24"/>
        </w:rPr>
      </w:pPr>
    </w:p>
    <w:p w:rsidR="008D0637" w:rsidRPr="00DE196F" w:rsidRDefault="008D0637" w:rsidP="002C1976">
      <w:pPr>
        <w:rPr>
          <w:szCs w:val="24"/>
        </w:rPr>
      </w:pPr>
    </w:p>
    <w:p w:rsidR="00764F2A" w:rsidRDefault="00764F2A" w:rsidP="002C1976">
      <w:pPr>
        <w:rPr>
          <w:b/>
          <w:szCs w:val="24"/>
        </w:rPr>
      </w:pPr>
    </w:p>
    <w:p w:rsidR="002C1976" w:rsidRDefault="002C1976" w:rsidP="002C1976">
      <w:pPr>
        <w:rPr>
          <w:b/>
          <w:szCs w:val="24"/>
        </w:rPr>
      </w:pPr>
      <w:r w:rsidRPr="00F70FD5">
        <w:rPr>
          <w:b/>
          <w:szCs w:val="24"/>
        </w:rPr>
        <w:t xml:space="preserve">Algebra 2 </w:t>
      </w:r>
      <w:r>
        <w:rPr>
          <w:b/>
          <w:szCs w:val="24"/>
        </w:rPr>
        <w:t xml:space="preserve">Honors </w:t>
      </w:r>
      <w:r w:rsidR="00764F2A">
        <w:rPr>
          <w:b/>
          <w:szCs w:val="24"/>
        </w:rPr>
        <w:t>Plus</w:t>
      </w:r>
    </w:p>
    <w:p w:rsidR="00663C33" w:rsidRPr="00F70FD5" w:rsidRDefault="00663C33" w:rsidP="002C1976">
      <w:pPr>
        <w:rPr>
          <w:b/>
          <w:szCs w:val="24"/>
        </w:rPr>
      </w:pPr>
    </w:p>
    <w:p w:rsidR="002C1976" w:rsidRPr="00F70FD5" w:rsidRDefault="002C1976" w:rsidP="002C1976">
      <w:pPr>
        <w:rPr>
          <w:szCs w:val="24"/>
        </w:rPr>
      </w:pPr>
      <w:r w:rsidRPr="00F70FD5">
        <w:rPr>
          <w:szCs w:val="24"/>
        </w:rPr>
        <w:t>(+)-N.CN.9 State the Fundamental Theorem of Algebra and use it to find roots of polynomials.</w:t>
      </w:r>
    </w:p>
    <w:p w:rsidR="00B32A9F" w:rsidRDefault="00B32A9F" w:rsidP="002C1976">
      <w:pPr>
        <w:rPr>
          <w:szCs w:val="24"/>
        </w:rPr>
      </w:pPr>
    </w:p>
    <w:p w:rsidR="002C1976" w:rsidRPr="00F70FD5" w:rsidRDefault="002C1976" w:rsidP="002C1976">
      <w:pPr>
        <w:rPr>
          <w:szCs w:val="24"/>
        </w:rPr>
      </w:pPr>
      <w:r w:rsidRPr="00F70FD5">
        <w:rPr>
          <w:szCs w:val="24"/>
        </w:rPr>
        <w:t>(+)-A.APR.7 Understand that rational expressions form a system analogous to the rational numbers, closed under addition, subtraction, multiplication, and division by a nonzero rational expression; add, subtract, multiply, and divide rational expressions.</w:t>
      </w:r>
    </w:p>
    <w:p w:rsidR="00B32A9F" w:rsidRDefault="00B32A9F" w:rsidP="002C1976">
      <w:pPr>
        <w:rPr>
          <w:szCs w:val="24"/>
        </w:rPr>
      </w:pPr>
    </w:p>
    <w:p w:rsidR="002C1976" w:rsidRPr="00F70FD5" w:rsidRDefault="002C1976" w:rsidP="002C1976">
      <w:pPr>
        <w:rPr>
          <w:szCs w:val="24"/>
        </w:rPr>
      </w:pPr>
      <w:r w:rsidRPr="00F70FD5">
        <w:rPr>
          <w:szCs w:val="24"/>
        </w:rPr>
        <w:t>(+)-F.IF.7d Graph rational functions, identifying zeros and asymptotes when suitable factorizations are available.</w:t>
      </w:r>
    </w:p>
    <w:p w:rsidR="00B32A9F" w:rsidRDefault="00B32A9F" w:rsidP="002C1976">
      <w:pPr>
        <w:rPr>
          <w:szCs w:val="24"/>
        </w:rPr>
      </w:pPr>
    </w:p>
    <w:p w:rsidR="002C1976" w:rsidRDefault="002C1976" w:rsidP="002C1976">
      <w:pPr>
        <w:rPr>
          <w:szCs w:val="24"/>
        </w:rPr>
      </w:pPr>
      <w:r w:rsidRPr="00F70FD5">
        <w:rPr>
          <w:szCs w:val="24"/>
        </w:rPr>
        <w:t>(+)-F.BF.5c Apply the properties of logarithms to rewrite logarithmic expressions in equivalent forms and solve logarithmic equations.</w:t>
      </w:r>
    </w:p>
    <w:p w:rsidR="00B32A9F" w:rsidRDefault="00B32A9F" w:rsidP="002C1976">
      <w:pPr>
        <w:rPr>
          <w:szCs w:val="24"/>
        </w:rPr>
      </w:pPr>
    </w:p>
    <w:p w:rsidR="002C1976" w:rsidRPr="00F70FD5" w:rsidRDefault="002C1976" w:rsidP="002C1976">
      <w:pPr>
        <w:rPr>
          <w:szCs w:val="24"/>
        </w:rPr>
      </w:pPr>
      <w:r w:rsidRPr="00F70FD5">
        <w:rPr>
          <w:szCs w:val="24"/>
        </w:rPr>
        <w:t>(+)-F.TF.7 Solve trigonometric equations:</w:t>
      </w:r>
    </w:p>
    <w:p w:rsidR="002C1976" w:rsidRPr="00BF2B04" w:rsidRDefault="002C1976" w:rsidP="002C1976">
      <w:pPr>
        <w:pStyle w:val="ListParagraph"/>
        <w:widowControl/>
        <w:numPr>
          <w:ilvl w:val="1"/>
          <w:numId w:val="4"/>
        </w:numPr>
        <w:spacing w:after="200" w:line="276" w:lineRule="auto"/>
        <w:rPr>
          <w:szCs w:val="24"/>
        </w:rPr>
      </w:pPr>
      <w:proofErr w:type="gramStart"/>
      <w:r w:rsidRPr="00F70FD5">
        <w:rPr>
          <w:szCs w:val="24"/>
        </w:rPr>
        <w:t>graphically</w:t>
      </w:r>
      <w:proofErr w:type="gramEnd"/>
      <w:r w:rsidRPr="00F70FD5">
        <w:rPr>
          <w:szCs w:val="24"/>
        </w:rPr>
        <w:t xml:space="preserve"> with technology</w:t>
      </w:r>
      <w:r w:rsidR="00BF2B04">
        <w:rPr>
          <w:szCs w:val="24"/>
        </w:rPr>
        <w:t xml:space="preserve"> a</w:t>
      </w:r>
      <w:r w:rsidRPr="00BF2B04">
        <w:rPr>
          <w:szCs w:val="24"/>
        </w:rPr>
        <w:t>nd interpret solutions in terms of the context.</w:t>
      </w:r>
    </w:p>
    <w:p w:rsidR="00663C33" w:rsidRDefault="00663C33" w:rsidP="002C1976">
      <w:pPr>
        <w:rPr>
          <w:b/>
          <w:szCs w:val="24"/>
        </w:rPr>
      </w:pPr>
    </w:p>
    <w:p w:rsidR="00814C80" w:rsidRDefault="006D2E55">
      <w:pPr>
        <w:widowControl/>
        <w:spacing w:after="200" w:line="276" w:lineRule="auto"/>
        <w:rPr>
          <w:szCs w:val="24"/>
        </w:rPr>
      </w:pPr>
      <w:proofErr w:type="gramStart"/>
      <w:r w:rsidRPr="006D2E55">
        <w:rPr>
          <w:szCs w:val="24"/>
        </w:rPr>
        <w:t>Other Plus Standards?</w:t>
      </w:r>
      <w:proofErr w:type="gramEnd"/>
      <w:r w:rsidR="008D0637">
        <w:rPr>
          <w:szCs w:val="24"/>
        </w:rPr>
        <w:t xml:space="preserve"> Subject to local math department</w:t>
      </w:r>
      <w:r>
        <w:rPr>
          <w:szCs w:val="24"/>
        </w:rPr>
        <w:t xml:space="preserve"> review</w:t>
      </w:r>
    </w:p>
    <w:p w:rsidR="00814C80" w:rsidRDefault="00814C80">
      <w:pPr>
        <w:widowControl/>
        <w:spacing w:after="200" w:line="276" w:lineRule="auto"/>
        <w:rPr>
          <w:szCs w:val="24"/>
        </w:rPr>
      </w:pPr>
    </w:p>
    <w:p w:rsidR="008D0637" w:rsidRDefault="008D0637" w:rsidP="008D0637">
      <w:pPr>
        <w:rPr>
          <w:b/>
          <w:szCs w:val="24"/>
        </w:rPr>
      </w:pPr>
      <w:r>
        <w:rPr>
          <w:b/>
          <w:szCs w:val="24"/>
        </w:rPr>
        <w:t>AP Calculus AB or BC</w:t>
      </w:r>
    </w:p>
    <w:p w:rsidR="008D0637" w:rsidRDefault="008D0637" w:rsidP="008D0637">
      <w:pPr>
        <w:rPr>
          <w:b/>
          <w:szCs w:val="24"/>
        </w:rPr>
      </w:pPr>
    </w:p>
    <w:p w:rsidR="008D0637" w:rsidRPr="008D0637" w:rsidRDefault="008D0637" w:rsidP="008D0637">
      <w:pPr>
        <w:rPr>
          <w:szCs w:val="24"/>
        </w:rPr>
      </w:pPr>
      <w:r>
        <w:rPr>
          <w:szCs w:val="24"/>
        </w:rPr>
        <w:t>Vertical articulation conversations must be had to clarify expectations at each level.</w:t>
      </w:r>
    </w:p>
    <w:p w:rsidR="008D0637" w:rsidRDefault="008D0637">
      <w:pPr>
        <w:widowControl/>
        <w:spacing w:after="200" w:line="276" w:lineRule="auto"/>
        <w:rPr>
          <w:szCs w:val="24"/>
        </w:rPr>
      </w:pPr>
    </w:p>
    <w:p w:rsidR="00814C80" w:rsidRDefault="00814C80" w:rsidP="0076149E">
      <w:pPr>
        <w:pStyle w:val="NormalWeb"/>
        <w:spacing w:before="0" w:beforeAutospacing="0" w:after="200" w:afterAutospacing="0"/>
        <w:jc w:val="center"/>
        <w:rPr>
          <w:b/>
          <w:sz w:val="28"/>
          <w:szCs w:val="28"/>
        </w:rPr>
      </w:pPr>
      <w:r>
        <w:lastRenderedPageBreak/>
        <w:t>Rubric Template: The following rubric can be used as a platform for conversation as stakeholders collaborate on the articulation of performance indicators and assessment thresholds/</w:t>
      </w:r>
    </w:p>
    <w:p w:rsidR="002C1976" w:rsidRPr="00BF2B04" w:rsidRDefault="002C1976" w:rsidP="0076149E">
      <w:pPr>
        <w:pStyle w:val="NormalWeb"/>
        <w:spacing w:before="0" w:beforeAutospacing="0" w:after="200" w:afterAutospacing="0"/>
        <w:jc w:val="center"/>
        <w:rPr>
          <w:b/>
          <w:sz w:val="28"/>
          <w:szCs w:val="28"/>
        </w:rPr>
      </w:pPr>
      <w:r w:rsidRPr="00BF2B04">
        <w:rPr>
          <w:b/>
          <w:sz w:val="28"/>
          <w:szCs w:val="28"/>
        </w:rPr>
        <w:t>The Selection Criteria</w:t>
      </w:r>
      <w:r w:rsidR="00BF2B04">
        <w:rPr>
          <w:b/>
          <w:sz w:val="28"/>
          <w:szCs w:val="28"/>
        </w:rPr>
        <w:t xml:space="preserve"> and Rubric</w:t>
      </w:r>
      <w:r w:rsidRPr="00BF2B04">
        <w:rPr>
          <w:b/>
          <w:sz w:val="28"/>
          <w:szCs w:val="28"/>
        </w:rPr>
        <w:t>:</w:t>
      </w:r>
    </w:p>
    <w:p w:rsidR="002C1976" w:rsidRDefault="002C1976" w:rsidP="002C1976">
      <w:pPr>
        <w:rPr>
          <w:szCs w:val="24"/>
        </w:rPr>
      </w:pPr>
      <w:r>
        <w:rPr>
          <w:szCs w:val="24"/>
        </w:rPr>
        <w:t>Assuming that students have access to multiple pathways that offer h</w:t>
      </w:r>
      <w:r w:rsidR="0076149E">
        <w:rPr>
          <w:szCs w:val="24"/>
        </w:rPr>
        <w:t>omogeneous grouping</w:t>
      </w:r>
      <w:r>
        <w:rPr>
          <w:szCs w:val="24"/>
        </w:rPr>
        <w:t xml:space="preserve">, </w:t>
      </w:r>
      <w:r w:rsidR="0076149E">
        <w:rPr>
          <w:szCs w:val="24"/>
        </w:rPr>
        <w:t xml:space="preserve">we can </w:t>
      </w:r>
      <w:r>
        <w:rPr>
          <w:szCs w:val="24"/>
        </w:rPr>
        <w:t>generally</w:t>
      </w:r>
      <w:r w:rsidR="0076149E">
        <w:rPr>
          <w:szCs w:val="24"/>
        </w:rPr>
        <w:t xml:space="preserve"> </w:t>
      </w:r>
      <w:r>
        <w:rPr>
          <w:szCs w:val="24"/>
        </w:rPr>
        <w:t>think of kids as performing in three different categories:</w:t>
      </w:r>
    </w:p>
    <w:p w:rsidR="002C1976" w:rsidRPr="00647797" w:rsidRDefault="002C1976" w:rsidP="002C1976">
      <w:pPr>
        <w:pStyle w:val="ListParagraph"/>
        <w:widowControl/>
        <w:numPr>
          <w:ilvl w:val="0"/>
          <w:numId w:val="5"/>
        </w:numPr>
        <w:spacing w:after="200" w:line="276" w:lineRule="auto"/>
        <w:rPr>
          <w:szCs w:val="24"/>
        </w:rPr>
      </w:pPr>
      <w:r>
        <w:rPr>
          <w:szCs w:val="24"/>
        </w:rPr>
        <w:t>Student is clearly placed at a level that is below the level that is appropriate for them</w:t>
      </w:r>
    </w:p>
    <w:p w:rsidR="002C1976" w:rsidRDefault="002C1976" w:rsidP="002C1976">
      <w:pPr>
        <w:pStyle w:val="ListParagraph"/>
        <w:widowControl/>
        <w:numPr>
          <w:ilvl w:val="0"/>
          <w:numId w:val="5"/>
        </w:numPr>
        <w:spacing w:after="200" w:line="276" w:lineRule="auto"/>
        <w:rPr>
          <w:szCs w:val="24"/>
        </w:rPr>
      </w:pPr>
      <w:r>
        <w:rPr>
          <w:szCs w:val="24"/>
        </w:rPr>
        <w:t>Student is clearly placed at the level that is generally appropriate for them</w:t>
      </w:r>
    </w:p>
    <w:p w:rsidR="002C1976" w:rsidRDefault="002C1976" w:rsidP="002C1976">
      <w:pPr>
        <w:pStyle w:val="ListParagraph"/>
        <w:widowControl/>
        <w:numPr>
          <w:ilvl w:val="0"/>
          <w:numId w:val="5"/>
        </w:numPr>
        <w:spacing w:after="200" w:line="276" w:lineRule="auto"/>
        <w:rPr>
          <w:szCs w:val="24"/>
        </w:rPr>
      </w:pPr>
      <w:r>
        <w:rPr>
          <w:szCs w:val="24"/>
        </w:rPr>
        <w:t>Student is clearly placed at a level that is above the appropriate level for them</w:t>
      </w:r>
    </w:p>
    <w:p w:rsidR="002C1976" w:rsidRDefault="002C1976" w:rsidP="002C1976">
      <w:pPr>
        <w:rPr>
          <w:szCs w:val="24"/>
        </w:rPr>
      </w:pPr>
      <w:r>
        <w:rPr>
          <w:szCs w:val="24"/>
        </w:rPr>
        <w:t>But there are always students for whom it is not so clear.  For these students, the</w:t>
      </w:r>
      <w:r w:rsidR="00E22375">
        <w:rPr>
          <w:szCs w:val="24"/>
        </w:rPr>
        <w:t>re is a</w:t>
      </w:r>
      <w:r>
        <w:rPr>
          <w:szCs w:val="24"/>
        </w:rPr>
        <w:t xml:space="preserve"> rubric.</w:t>
      </w:r>
    </w:p>
    <w:p w:rsidR="002C1976" w:rsidRDefault="002C1976" w:rsidP="002C1976">
      <w:pPr>
        <w:rPr>
          <w:szCs w:val="24"/>
        </w:rPr>
      </w:pPr>
    </w:p>
    <w:p w:rsidR="002C1976" w:rsidRPr="00091FD8" w:rsidRDefault="002C1976" w:rsidP="002C1976">
      <w:pPr>
        <w:jc w:val="center"/>
        <w:rPr>
          <w:b/>
          <w:szCs w:val="24"/>
          <w:u w:val="single"/>
        </w:rPr>
      </w:pPr>
      <w:r w:rsidRPr="00091FD8">
        <w:rPr>
          <w:b/>
          <w:szCs w:val="24"/>
          <w:u w:val="single"/>
        </w:rPr>
        <w:t>Mathematics Placement Rubric</w:t>
      </w:r>
    </w:p>
    <w:p w:rsidR="002C1976" w:rsidRDefault="002C1976" w:rsidP="002C1976">
      <w:pPr>
        <w:rPr>
          <w:szCs w:val="24"/>
        </w:rPr>
      </w:pPr>
      <w:r>
        <w:rPr>
          <w:szCs w:val="24"/>
        </w:rPr>
        <w:t>The following rubric can be used as part of the decision making process, to communicate to students and their parents the expectations for placement in any particular pathway.</w:t>
      </w:r>
    </w:p>
    <w:tbl>
      <w:tblPr>
        <w:tblStyle w:val="TableGrid"/>
        <w:tblW w:w="10800" w:type="dxa"/>
        <w:jc w:val="center"/>
        <w:tblLook w:val="04A0" w:firstRow="1" w:lastRow="0" w:firstColumn="1" w:lastColumn="0" w:noHBand="0" w:noVBand="1"/>
      </w:tblPr>
      <w:tblGrid>
        <w:gridCol w:w="1980"/>
        <w:gridCol w:w="1620"/>
        <w:gridCol w:w="396"/>
        <w:gridCol w:w="2268"/>
        <w:gridCol w:w="936"/>
        <w:gridCol w:w="1332"/>
        <w:gridCol w:w="2268"/>
      </w:tblGrid>
      <w:tr w:rsidR="002C1976" w:rsidRPr="003A71DB" w:rsidTr="00666693">
        <w:trPr>
          <w:jc w:val="center"/>
        </w:trPr>
        <w:tc>
          <w:tcPr>
            <w:tcW w:w="3600" w:type="dxa"/>
            <w:gridSpan w:val="2"/>
            <w:shd w:val="clear" w:color="auto" w:fill="DBE5F1" w:themeFill="accent1" w:themeFillTint="33"/>
            <w:vAlign w:val="center"/>
          </w:tcPr>
          <w:p w:rsidR="002C1976" w:rsidRPr="003A71DB" w:rsidRDefault="002C1976" w:rsidP="00666693">
            <w:pPr>
              <w:jc w:val="center"/>
              <w:rPr>
                <w:b/>
                <w:sz w:val="18"/>
                <w:szCs w:val="18"/>
              </w:rPr>
            </w:pPr>
            <w:r w:rsidRPr="003A71DB">
              <w:rPr>
                <w:b/>
                <w:sz w:val="18"/>
                <w:szCs w:val="18"/>
              </w:rPr>
              <w:t>Student Performance on</w:t>
            </w:r>
          </w:p>
          <w:p w:rsidR="002C1976" w:rsidRPr="003A71DB" w:rsidRDefault="002C1976" w:rsidP="00666693">
            <w:pPr>
              <w:jc w:val="center"/>
              <w:rPr>
                <w:b/>
                <w:sz w:val="18"/>
                <w:szCs w:val="18"/>
              </w:rPr>
            </w:pPr>
            <w:r w:rsidRPr="003A71DB">
              <w:rPr>
                <w:b/>
                <w:i/>
                <w:sz w:val="18"/>
                <w:szCs w:val="18"/>
              </w:rPr>
              <w:t>both</w:t>
            </w:r>
            <w:r w:rsidRPr="003A71DB">
              <w:rPr>
                <w:b/>
                <w:sz w:val="18"/>
                <w:szCs w:val="18"/>
              </w:rPr>
              <w:t xml:space="preserve"> State Test </w:t>
            </w:r>
            <w:r w:rsidRPr="003A71DB">
              <w:rPr>
                <w:b/>
                <w:sz w:val="18"/>
                <w:szCs w:val="18"/>
                <w:u w:val="single"/>
              </w:rPr>
              <w:t>and</w:t>
            </w:r>
          </w:p>
          <w:p w:rsidR="002C1976" w:rsidRPr="003A71DB" w:rsidRDefault="002C1976" w:rsidP="00666693">
            <w:pPr>
              <w:jc w:val="center"/>
              <w:rPr>
                <w:b/>
                <w:sz w:val="18"/>
                <w:szCs w:val="18"/>
              </w:rPr>
            </w:pPr>
            <w:r w:rsidRPr="003A71DB">
              <w:rPr>
                <w:b/>
                <w:sz w:val="18"/>
                <w:szCs w:val="18"/>
              </w:rPr>
              <w:t>Current Course Grade</w:t>
            </w:r>
          </w:p>
        </w:tc>
        <w:tc>
          <w:tcPr>
            <w:tcW w:w="3600" w:type="dxa"/>
            <w:gridSpan w:val="3"/>
            <w:shd w:val="clear" w:color="auto" w:fill="DBE5F1" w:themeFill="accent1" w:themeFillTint="33"/>
            <w:vAlign w:val="center"/>
          </w:tcPr>
          <w:p w:rsidR="002C1976" w:rsidRPr="003A71DB" w:rsidRDefault="002C1976" w:rsidP="00666693">
            <w:pPr>
              <w:jc w:val="center"/>
              <w:rPr>
                <w:b/>
                <w:sz w:val="18"/>
                <w:szCs w:val="18"/>
              </w:rPr>
            </w:pPr>
            <w:r w:rsidRPr="003A71DB">
              <w:rPr>
                <w:b/>
                <w:sz w:val="18"/>
                <w:szCs w:val="18"/>
              </w:rPr>
              <w:t>Students in Regular Pathway</w:t>
            </w:r>
          </w:p>
        </w:tc>
        <w:tc>
          <w:tcPr>
            <w:tcW w:w="3600" w:type="dxa"/>
            <w:gridSpan w:val="2"/>
            <w:shd w:val="clear" w:color="auto" w:fill="DBE5F1" w:themeFill="accent1" w:themeFillTint="33"/>
            <w:vAlign w:val="center"/>
          </w:tcPr>
          <w:p w:rsidR="002C1976" w:rsidRPr="003A71DB" w:rsidRDefault="002C1976" w:rsidP="00666693">
            <w:pPr>
              <w:jc w:val="center"/>
              <w:rPr>
                <w:b/>
                <w:sz w:val="18"/>
                <w:szCs w:val="18"/>
              </w:rPr>
            </w:pPr>
            <w:r w:rsidRPr="003A71DB">
              <w:rPr>
                <w:b/>
                <w:sz w:val="18"/>
                <w:szCs w:val="18"/>
              </w:rPr>
              <w:t>Students in Advanced Pathway</w:t>
            </w:r>
          </w:p>
        </w:tc>
      </w:tr>
      <w:tr w:rsidR="002C1976" w:rsidRPr="003A71DB" w:rsidTr="00666693">
        <w:trPr>
          <w:jc w:val="center"/>
        </w:trPr>
        <w:tc>
          <w:tcPr>
            <w:tcW w:w="3600" w:type="dxa"/>
            <w:gridSpan w:val="2"/>
            <w:vAlign w:val="center"/>
          </w:tcPr>
          <w:p w:rsidR="002C1976" w:rsidRPr="00814C80" w:rsidRDefault="00987FB9" w:rsidP="00987FB9">
            <w:pPr>
              <w:jc w:val="center"/>
              <w:rPr>
                <w:rFonts w:cs="Arial"/>
                <w:bCs/>
                <w:i/>
                <w:sz w:val="20"/>
                <w:highlight w:val="yellow"/>
              </w:rPr>
            </w:pPr>
            <w:r w:rsidRPr="00814C80">
              <w:rPr>
                <w:rFonts w:cs="Arial"/>
                <w:b/>
                <w:bCs/>
                <w:i/>
                <w:sz w:val="20"/>
              </w:rPr>
              <w:t>EXAMPLE:</w:t>
            </w:r>
            <w:r w:rsidRPr="00814C80">
              <w:rPr>
                <w:rFonts w:cs="Arial"/>
                <w:bCs/>
                <w:i/>
                <w:sz w:val="20"/>
              </w:rPr>
              <w:t xml:space="preserve"> 9</w:t>
            </w:r>
            <w:r w:rsidR="00B56063" w:rsidRPr="00814C80">
              <w:rPr>
                <w:rFonts w:cs="Arial"/>
                <w:bCs/>
                <w:i/>
                <w:sz w:val="20"/>
              </w:rPr>
              <w:t>7</w:t>
            </w:r>
            <w:r w:rsidRPr="00814C80">
              <w:rPr>
                <w:rFonts w:cs="Arial"/>
                <w:bCs/>
                <w:i/>
                <w:sz w:val="20"/>
              </w:rPr>
              <w:t>-100</w:t>
            </w:r>
          </w:p>
        </w:tc>
        <w:tc>
          <w:tcPr>
            <w:tcW w:w="3600" w:type="dxa"/>
            <w:gridSpan w:val="3"/>
            <w:vAlign w:val="center"/>
          </w:tcPr>
          <w:p w:rsidR="002C1976" w:rsidRPr="00814C80" w:rsidRDefault="002C1976" w:rsidP="00666693">
            <w:pPr>
              <w:jc w:val="center"/>
              <w:rPr>
                <w:rFonts w:cs="Arial"/>
                <w:bCs/>
                <w:i/>
                <w:sz w:val="18"/>
                <w:szCs w:val="18"/>
              </w:rPr>
            </w:pPr>
            <w:r w:rsidRPr="00814C80">
              <w:rPr>
                <w:rFonts w:cs="Arial"/>
                <w:bCs/>
                <w:i/>
                <w:sz w:val="18"/>
                <w:szCs w:val="18"/>
              </w:rPr>
              <w:t>Move Up</w:t>
            </w:r>
          </w:p>
        </w:tc>
        <w:tc>
          <w:tcPr>
            <w:tcW w:w="3600" w:type="dxa"/>
            <w:gridSpan w:val="2"/>
            <w:vAlign w:val="center"/>
          </w:tcPr>
          <w:p w:rsidR="002C1976" w:rsidRPr="00814C80" w:rsidRDefault="002C1976" w:rsidP="00666693">
            <w:pPr>
              <w:jc w:val="center"/>
              <w:rPr>
                <w:rFonts w:cs="Arial"/>
                <w:bCs/>
                <w:i/>
                <w:sz w:val="18"/>
                <w:szCs w:val="18"/>
              </w:rPr>
            </w:pPr>
            <w:r w:rsidRPr="00814C80">
              <w:rPr>
                <w:rFonts w:cs="Arial"/>
                <w:bCs/>
                <w:i/>
                <w:sz w:val="18"/>
                <w:szCs w:val="18"/>
              </w:rPr>
              <w:t>Stay</w:t>
            </w:r>
          </w:p>
        </w:tc>
      </w:tr>
      <w:tr w:rsidR="002C1976" w:rsidRPr="003A71DB" w:rsidTr="00666693">
        <w:trPr>
          <w:jc w:val="center"/>
        </w:trPr>
        <w:tc>
          <w:tcPr>
            <w:tcW w:w="3600" w:type="dxa"/>
            <w:gridSpan w:val="2"/>
            <w:vAlign w:val="center"/>
          </w:tcPr>
          <w:p w:rsidR="002C1976" w:rsidRPr="006224B5" w:rsidRDefault="002C1976" w:rsidP="00666693">
            <w:pPr>
              <w:jc w:val="center"/>
              <w:rPr>
                <w:rFonts w:cs="Arial"/>
                <w:bCs/>
                <w:sz w:val="20"/>
                <w:highlight w:val="yellow"/>
              </w:rPr>
            </w:pPr>
          </w:p>
        </w:tc>
        <w:tc>
          <w:tcPr>
            <w:tcW w:w="3600" w:type="dxa"/>
            <w:gridSpan w:val="3"/>
            <w:vAlign w:val="center"/>
          </w:tcPr>
          <w:p w:rsidR="002C1976" w:rsidRPr="00814C80" w:rsidRDefault="002C1976" w:rsidP="00666693">
            <w:pPr>
              <w:jc w:val="center"/>
              <w:rPr>
                <w:rFonts w:cs="Arial"/>
                <w:bCs/>
                <w:i/>
                <w:sz w:val="18"/>
                <w:szCs w:val="18"/>
              </w:rPr>
            </w:pPr>
            <w:r w:rsidRPr="00814C80">
              <w:rPr>
                <w:rFonts w:cs="Arial"/>
                <w:bCs/>
                <w:i/>
                <w:sz w:val="18"/>
                <w:szCs w:val="18"/>
              </w:rPr>
              <w:t xml:space="preserve">Evaluate with Rubric: </w:t>
            </w:r>
          </w:p>
          <w:p w:rsidR="002C1976" w:rsidRPr="00814C80" w:rsidRDefault="002C1976" w:rsidP="00666693">
            <w:pPr>
              <w:jc w:val="center"/>
              <w:rPr>
                <w:rFonts w:cs="Arial"/>
                <w:bCs/>
                <w:i/>
                <w:sz w:val="18"/>
                <w:szCs w:val="18"/>
              </w:rPr>
            </w:pPr>
            <w:r w:rsidRPr="00814C80">
              <w:rPr>
                <w:rFonts w:cs="Arial"/>
                <w:bCs/>
                <w:i/>
                <w:sz w:val="18"/>
                <w:szCs w:val="18"/>
              </w:rPr>
              <w:t>score average of 3 to move up</w:t>
            </w:r>
          </w:p>
        </w:tc>
        <w:tc>
          <w:tcPr>
            <w:tcW w:w="3600" w:type="dxa"/>
            <w:gridSpan w:val="2"/>
            <w:vAlign w:val="center"/>
          </w:tcPr>
          <w:p w:rsidR="002C1976" w:rsidRPr="00814C80" w:rsidRDefault="002C1976" w:rsidP="00666693">
            <w:pPr>
              <w:jc w:val="center"/>
              <w:rPr>
                <w:rFonts w:cs="Arial"/>
                <w:bCs/>
                <w:i/>
                <w:sz w:val="18"/>
                <w:szCs w:val="18"/>
              </w:rPr>
            </w:pPr>
            <w:r w:rsidRPr="00814C80">
              <w:rPr>
                <w:rFonts w:cs="Arial"/>
                <w:bCs/>
                <w:i/>
                <w:sz w:val="18"/>
                <w:szCs w:val="18"/>
              </w:rPr>
              <w:t>Stay</w:t>
            </w:r>
          </w:p>
        </w:tc>
      </w:tr>
      <w:tr w:rsidR="002C1976" w:rsidRPr="003A71DB" w:rsidTr="00666693">
        <w:trPr>
          <w:jc w:val="center"/>
        </w:trPr>
        <w:tc>
          <w:tcPr>
            <w:tcW w:w="3600" w:type="dxa"/>
            <w:gridSpan w:val="2"/>
            <w:vAlign w:val="center"/>
          </w:tcPr>
          <w:p w:rsidR="002C1976" w:rsidRPr="006224B5" w:rsidRDefault="002C1976" w:rsidP="00666693">
            <w:pPr>
              <w:jc w:val="center"/>
              <w:rPr>
                <w:rFonts w:cs="Arial"/>
                <w:bCs/>
                <w:sz w:val="20"/>
                <w:highlight w:val="yellow"/>
              </w:rPr>
            </w:pPr>
          </w:p>
        </w:tc>
        <w:tc>
          <w:tcPr>
            <w:tcW w:w="3600" w:type="dxa"/>
            <w:gridSpan w:val="3"/>
            <w:vAlign w:val="center"/>
          </w:tcPr>
          <w:p w:rsidR="002C1976" w:rsidRPr="00814C80" w:rsidRDefault="002C1976" w:rsidP="00666693">
            <w:pPr>
              <w:jc w:val="center"/>
              <w:rPr>
                <w:rFonts w:cs="Arial"/>
                <w:bCs/>
                <w:i/>
                <w:sz w:val="18"/>
                <w:szCs w:val="18"/>
              </w:rPr>
            </w:pPr>
            <w:r w:rsidRPr="00814C80">
              <w:rPr>
                <w:rFonts w:cs="Arial"/>
                <w:bCs/>
                <w:i/>
                <w:sz w:val="18"/>
                <w:szCs w:val="18"/>
              </w:rPr>
              <w:t>Stay</w:t>
            </w:r>
          </w:p>
        </w:tc>
        <w:tc>
          <w:tcPr>
            <w:tcW w:w="3600" w:type="dxa"/>
            <w:gridSpan w:val="2"/>
            <w:vAlign w:val="center"/>
          </w:tcPr>
          <w:p w:rsidR="002C1976" w:rsidRPr="00814C80" w:rsidRDefault="002C1976" w:rsidP="00666693">
            <w:pPr>
              <w:jc w:val="center"/>
              <w:rPr>
                <w:rFonts w:cs="Arial"/>
                <w:bCs/>
                <w:i/>
                <w:sz w:val="18"/>
                <w:szCs w:val="18"/>
              </w:rPr>
            </w:pPr>
            <w:r w:rsidRPr="00814C80">
              <w:rPr>
                <w:rFonts w:cs="Arial"/>
                <w:bCs/>
                <w:i/>
                <w:sz w:val="18"/>
                <w:szCs w:val="18"/>
              </w:rPr>
              <w:t>Evaluate with Rubric:</w:t>
            </w:r>
          </w:p>
          <w:p w:rsidR="002C1976" w:rsidRPr="00814C80" w:rsidRDefault="002C1976" w:rsidP="00666693">
            <w:pPr>
              <w:jc w:val="center"/>
              <w:rPr>
                <w:rFonts w:cs="Arial"/>
                <w:bCs/>
                <w:i/>
                <w:sz w:val="18"/>
                <w:szCs w:val="18"/>
              </w:rPr>
            </w:pPr>
            <w:r w:rsidRPr="00814C80">
              <w:rPr>
                <w:rFonts w:cs="Arial"/>
                <w:bCs/>
                <w:i/>
                <w:sz w:val="18"/>
                <w:szCs w:val="18"/>
              </w:rPr>
              <w:t>Score average of 2 to stay</w:t>
            </w:r>
          </w:p>
        </w:tc>
      </w:tr>
      <w:tr w:rsidR="002C1976" w:rsidRPr="003A71DB" w:rsidTr="00666693">
        <w:trPr>
          <w:jc w:val="center"/>
        </w:trPr>
        <w:tc>
          <w:tcPr>
            <w:tcW w:w="3600" w:type="dxa"/>
            <w:gridSpan w:val="2"/>
            <w:vAlign w:val="center"/>
          </w:tcPr>
          <w:p w:rsidR="002C1976" w:rsidRPr="006224B5" w:rsidRDefault="002C1976" w:rsidP="00666693">
            <w:pPr>
              <w:jc w:val="center"/>
              <w:rPr>
                <w:rFonts w:cs="Arial"/>
                <w:bCs/>
                <w:sz w:val="20"/>
                <w:highlight w:val="yellow"/>
              </w:rPr>
            </w:pPr>
          </w:p>
        </w:tc>
        <w:tc>
          <w:tcPr>
            <w:tcW w:w="3600" w:type="dxa"/>
            <w:gridSpan w:val="3"/>
            <w:vAlign w:val="center"/>
          </w:tcPr>
          <w:p w:rsidR="002C1976" w:rsidRPr="00814C80" w:rsidRDefault="002C1976" w:rsidP="00666693">
            <w:pPr>
              <w:jc w:val="center"/>
              <w:rPr>
                <w:rFonts w:cs="Arial"/>
                <w:bCs/>
                <w:i/>
                <w:sz w:val="18"/>
                <w:szCs w:val="18"/>
              </w:rPr>
            </w:pPr>
            <w:r w:rsidRPr="00814C80">
              <w:rPr>
                <w:rFonts w:cs="Arial"/>
                <w:bCs/>
                <w:i/>
                <w:sz w:val="18"/>
                <w:szCs w:val="18"/>
              </w:rPr>
              <w:t>RTI Protocols</w:t>
            </w:r>
          </w:p>
        </w:tc>
        <w:tc>
          <w:tcPr>
            <w:tcW w:w="3600" w:type="dxa"/>
            <w:gridSpan w:val="2"/>
            <w:vAlign w:val="center"/>
          </w:tcPr>
          <w:p w:rsidR="002C1976" w:rsidRPr="00814C80" w:rsidRDefault="002C1976" w:rsidP="00666693">
            <w:pPr>
              <w:jc w:val="center"/>
              <w:rPr>
                <w:rFonts w:cs="Arial"/>
                <w:bCs/>
                <w:i/>
                <w:sz w:val="18"/>
                <w:szCs w:val="18"/>
              </w:rPr>
            </w:pPr>
            <w:r w:rsidRPr="00814C80">
              <w:rPr>
                <w:rFonts w:cs="Arial"/>
                <w:bCs/>
                <w:i/>
                <w:sz w:val="18"/>
                <w:szCs w:val="18"/>
              </w:rPr>
              <w:t>Move Down</w:t>
            </w:r>
          </w:p>
        </w:tc>
      </w:tr>
      <w:tr w:rsidR="002C1976" w:rsidRPr="003A71DB" w:rsidTr="00666693">
        <w:trPr>
          <w:jc w:val="center"/>
        </w:trPr>
        <w:tc>
          <w:tcPr>
            <w:tcW w:w="10800" w:type="dxa"/>
            <w:gridSpan w:val="7"/>
            <w:shd w:val="clear" w:color="auto" w:fill="DBE5F1" w:themeFill="accent1" w:themeFillTint="33"/>
            <w:vAlign w:val="center"/>
          </w:tcPr>
          <w:p w:rsidR="002C1976" w:rsidRDefault="002C1976" w:rsidP="00666693">
            <w:pPr>
              <w:jc w:val="center"/>
              <w:rPr>
                <w:rFonts w:cs="Arial"/>
                <w:bCs/>
                <w:sz w:val="18"/>
                <w:szCs w:val="18"/>
              </w:rPr>
            </w:pPr>
          </w:p>
          <w:p w:rsidR="002C1976" w:rsidRPr="003A71DB" w:rsidRDefault="002C1976" w:rsidP="00666693">
            <w:pPr>
              <w:rPr>
                <w:rFonts w:cs="Arial"/>
                <w:bCs/>
                <w:sz w:val="18"/>
                <w:szCs w:val="18"/>
              </w:rPr>
            </w:pPr>
          </w:p>
        </w:tc>
      </w:tr>
      <w:tr w:rsidR="002C1976" w:rsidRPr="003A71DB" w:rsidTr="0076149E">
        <w:trPr>
          <w:jc w:val="center"/>
        </w:trPr>
        <w:tc>
          <w:tcPr>
            <w:tcW w:w="1980" w:type="dxa"/>
          </w:tcPr>
          <w:p w:rsidR="002C1976" w:rsidRPr="0076149E" w:rsidRDefault="002C1976" w:rsidP="00666693">
            <w:pPr>
              <w:jc w:val="center"/>
              <w:rPr>
                <w:rFonts w:cs="Arial"/>
                <w:b/>
                <w:bCs/>
                <w:sz w:val="20"/>
              </w:rPr>
            </w:pPr>
            <w:r w:rsidRPr="0076149E">
              <w:rPr>
                <w:rFonts w:cs="Arial"/>
                <w:b/>
                <w:bCs/>
                <w:sz w:val="20"/>
              </w:rPr>
              <w:t>Performances</w:t>
            </w:r>
          </w:p>
        </w:tc>
        <w:tc>
          <w:tcPr>
            <w:tcW w:w="2016" w:type="dxa"/>
            <w:gridSpan w:val="2"/>
          </w:tcPr>
          <w:p w:rsidR="002C1976" w:rsidRPr="0076149E" w:rsidRDefault="002C1976" w:rsidP="00666693">
            <w:pPr>
              <w:jc w:val="center"/>
              <w:rPr>
                <w:rFonts w:cs="Arial"/>
                <w:b/>
                <w:bCs/>
                <w:sz w:val="20"/>
              </w:rPr>
            </w:pPr>
            <w:r w:rsidRPr="0076149E">
              <w:rPr>
                <w:rFonts w:cs="Arial"/>
                <w:b/>
                <w:bCs/>
                <w:sz w:val="20"/>
              </w:rPr>
              <w:t>1 Does Not Meet Expectations</w:t>
            </w:r>
          </w:p>
        </w:tc>
        <w:tc>
          <w:tcPr>
            <w:tcW w:w="2268" w:type="dxa"/>
          </w:tcPr>
          <w:p w:rsidR="002C1976" w:rsidRPr="0076149E" w:rsidRDefault="002C1976" w:rsidP="00666693">
            <w:pPr>
              <w:jc w:val="center"/>
              <w:rPr>
                <w:rFonts w:cs="Arial"/>
                <w:b/>
                <w:bCs/>
                <w:sz w:val="20"/>
              </w:rPr>
            </w:pPr>
            <w:r w:rsidRPr="0076149E">
              <w:rPr>
                <w:rFonts w:cs="Arial"/>
                <w:b/>
                <w:bCs/>
                <w:sz w:val="20"/>
              </w:rPr>
              <w:t>2 Working Towards Expectations</w:t>
            </w:r>
          </w:p>
        </w:tc>
        <w:tc>
          <w:tcPr>
            <w:tcW w:w="2268" w:type="dxa"/>
            <w:gridSpan w:val="2"/>
          </w:tcPr>
          <w:p w:rsidR="002C1976" w:rsidRPr="0076149E" w:rsidRDefault="002C1976" w:rsidP="00666693">
            <w:pPr>
              <w:jc w:val="center"/>
              <w:rPr>
                <w:rFonts w:cs="Arial"/>
                <w:b/>
                <w:bCs/>
                <w:sz w:val="20"/>
              </w:rPr>
            </w:pPr>
            <w:r w:rsidRPr="0076149E">
              <w:rPr>
                <w:rFonts w:cs="Arial"/>
                <w:b/>
                <w:bCs/>
                <w:sz w:val="20"/>
              </w:rPr>
              <w:t>3 Meets Expectations</w:t>
            </w:r>
          </w:p>
        </w:tc>
        <w:tc>
          <w:tcPr>
            <w:tcW w:w="2268" w:type="dxa"/>
          </w:tcPr>
          <w:p w:rsidR="002C1976" w:rsidRPr="0076149E" w:rsidRDefault="002C1976" w:rsidP="00666693">
            <w:pPr>
              <w:jc w:val="center"/>
              <w:rPr>
                <w:rFonts w:cs="Arial"/>
                <w:b/>
                <w:bCs/>
                <w:sz w:val="20"/>
              </w:rPr>
            </w:pPr>
            <w:r w:rsidRPr="0076149E">
              <w:rPr>
                <w:rFonts w:cs="Arial"/>
                <w:b/>
                <w:bCs/>
                <w:sz w:val="20"/>
              </w:rPr>
              <w:t>4 Exceeds Expectations</w:t>
            </w:r>
          </w:p>
        </w:tc>
      </w:tr>
      <w:tr w:rsidR="002C1976" w:rsidRPr="003A71DB" w:rsidTr="0076149E">
        <w:trPr>
          <w:jc w:val="center"/>
        </w:trPr>
        <w:tc>
          <w:tcPr>
            <w:tcW w:w="1980" w:type="dxa"/>
            <w:shd w:val="clear" w:color="auto" w:fill="DBE5F1" w:themeFill="accent1" w:themeFillTint="33"/>
          </w:tcPr>
          <w:p w:rsidR="002C1976" w:rsidRPr="0076149E" w:rsidRDefault="002C1976" w:rsidP="00666693">
            <w:pPr>
              <w:jc w:val="center"/>
              <w:rPr>
                <w:rFonts w:cs="Arial"/>
                <w:b/>
                <w:bCs/>
                <w:sz w:val="20"/>
              </w:rPr>
            </w:pPr>
            <w:r w:rsidRPr="0076149E">
              <w:rPr>
                <w:rFonts w:cs="Arial"/>
                <w:b/>
                <w:bCs/>
                <w:sz w:val="20"/>
                <w:u w:val="single"/>
              </w:rPr>
              <w:t>Academics</w:t>
            </w:r>
            <w:r w:rsidRPr="0076149E">
              <w:rPr>
                <w:rFonts w:cs="Arial"/>
                <w:b/>
                <w:bCs/>
                <w:sz w:val="20"/>
              </w:rPr>
              <w:t>:</w:t>
            </w:r>
          </w:p>
        </w:tc>
        <w:tc>
          <w:tcPr>
            <w:tcW w:w="2016" w:type="dxa"/>
            <w:gridSpan w:val="2"/>
            <w:shd w:val="clear" w:color="auto" w:fill="DBE5F1" w:themeFill="accent1" w:themeFillTint="33"/>
          </w:tcPr>
          <w:p w:rsidR="002C1976" w:rsidRPr="003A71DB" w:rsidRDefault="002C1976" w:rsidP="00666693">
            <w:pPr>
              <w:jc w:val="center"/>
              <w:rPr>
                <w:rFonts w:cs="Arial"/>
                <w:b/>
                <w:bCs/>
                <w:sz w:val="18"/>
                <w:szCs w:val="18"/>
              </w:rPr>
            </w:pPr>
          </w:p>
        </w:tc>
        <w:tc>
          <w:tcPr>
            <w:tcW w:w="2268" w:type="dxa"/>
            <w:shd w:val="clear" w:color="auto" w:fill="DBE5F1" w:themeFill="accent1" w:themeFillTint="33"/>
          </w:tcPr>
          <w:p w:rsidR="002C1976" w:rsidRPr="003A71DB" w:rsidRDefault="002C1976" w:rsidP="00666693">
            <w:pPr>
              <w:jc w:val="center"/>
              <w:rPr>
                <w:rFonts w:cs="Arial"/>
                <w:b/>
                <w:bCs/>
                <w:sz w:val="18"/>
                <w:szCs w:val="18"/>
              </w:rPr>
            </w:pPr>
          </w:p>
        </w:tc>
        <w:tc>
          <w:tcPr>
            <w:tcW w:w="2268" w:type="dxa"/>
            <w:gridSpan w:val="2"/>
            <w:shd w:val="clear" w:color="auto" w:fill="DBE5F1" w:themeFill="accent1" w:themeFillTint="33"/>
          </w:tcPr>
          <w:p w:rsidR="002C1976" w:rsidRPr="003A71DB" w:rsidRDefault="002C1976" w:rsidP="00666693">
            <w:pPr>
              <w:jc w:val="center"/>
              <w:rPr>
                <w:rFonts w:cs="Arial"/>
                <w:b/>
                <w:bCs/>
                <w:sz w:val="18"/>
                <w:szCs w:val="18"/>
              </w:rPr>
            </w:pPr>
          </w:p>
        </w:tc>
        <w:tc>
          <w:tcPr>
            <w:tcW w:w="2268" w:type="dxa"/>
            <w:shd w:val="clear" w:color="auto" w:fill="DBE5F1" w:themeFill="accent1" w:themeFillTint="33"/>
          </w:tcPr>
          <w:p w:rsidR="002C1976" w:rsidRPr="003A71DB" w:rsidRDefault="002C1976" w:rsidP="00666693">
            <w:pPr>
              <w:jc w:val="center"/>
              <w:rPr>
                <w:rFonts w:cs="Arial"/>
                <w:b/>
                <w:bCs/>
                <w:sz w:val="18"/>
                <w:szCs w:val="18"/>
              </w:rPr>
            </w:pPr>
          </w:p>
        </w:tc>
      </w:tr>
      <w:tr w:rsidR="002C1976" w:rsidRPr="003A71DB" w:rsidTr="0076149E">
        <w:trPr>
          <w:jc w:val="center"/>
        </w:trPr>
        <w:tc>
          <w:tcPr>
            <w:tcW w:w="1980" w:type="dxa"/>
          </w:tcPr>
          <w:p w:rsidR="002C1976" w:rsidRPr="003A71DB" w:rsidRDefault="002C1976" w:rsidP="00666693">
            <w:pPr>
              <w:jc w:val="center"/>
              <w:rPr>
                <w:rFonts w:cs="Arial"/>
                <w:b/>
                <w:bCs/>
                <w:sz w:val="18"/>
                <w:szCs w:val="18"/>
              </w:rPr>
            </w:pPr>
            <w:r w:rsidRPr="003A71DB">
              <w:rPr>
                <w:rFonts w:cs="Arial"/>
                <w:b/>
                <w:bCs/>
                <w:sz w:val="18"/>
                <w:szCs w:val="18"/>
              </w:rPr>
              <w:t xml:space="preserve">Common Assessments </w:t>
            </w:r>
            <w:r w:rsidRPr="003A71DB">
              <w:rPr>
                <w:rFonts w:cs="Arial"/>
                <w:bCs/>
                <w:sz w:val="18"/>
                <w:szCs w:val="18"/>
              </w:rPr>
              <w:t>NYS 3-8 Assessment, Regents Exam, Local Benchmark Exams</w:t>
            </w:r>
          </w:p>
        </w:tc>
        <w:tc>
          <w:tcPr>
            <w:tcW w:w="2016" w:type="dxa"/>
            <w:gridSpan w:val="2"/>
          </w:tcPr>
          <w:p w:rsidR="006D2E55" w:rsidRPr="00814C80" w:rsidRDefault="00987FB9" w:rsidP="00987FB9">
            <w:pPr>
              <w:jc w:val="center"/>
              <w:rPr>
                <w:rFonts w:cs="Arial"/>
                <w:i/>
                <w:sz w:val="18"/>
                <w:szCs w:val="18"/>
              </w:rPr>
            </w:pPr>
            <w:r w:rsidRPr="00814C80">
              <w:rPr>
                <w:rFonts w:cs="Arial"/>
                <w:b/>
                <w:i/>
                <w:sz w:val="18"/>
                <w:szCs w:val="18"/>
              </w:rPr>
              <w:t>EXAMPLE</w:t>
            </w:r>
            <w:r w:rsidRPr="00814C80">
              <w:rPr>
                <w:rFonts w:cs="Arial"/>
                <w:i/>
                <w:sz w:val="18"/>
                <w:szCs w:val="18"/>
              </w:rPr>
              <w:t xml:space="preserve">: </w:t>
            </w:r>
            <w:r w:rsidR="002C1976" w:rsidRPr="00814C80">
              <w:rPr>
                <w:rFonts w:cs="Arial"/>
                <w:i/>
                <w:sz w:val="18"/>
                <w:szCs w:val="18"/>
              </w:rPr>
              <w:t xml:space="preserve">Level 1 &amp; </w:t>
            </w:r>
            <w:r w:rsidRPr="00814C80">
              <w:rPr>
                <w:rFonts w:cs="Arial"/>
                <w:i/>
                <w:sz w:val="18"/>
                <w:szCs w:val="18"/>
              </w:rPr>
              <w:t xml:space="preserve">2 on NYS 3-8 State Assessment.  </w:t>
            </w:r>
          </w:p>
          <w:p w:rsidR="002C1976" w:rsidRPr="00814C80" w:rsidRDefault="00987FB9" w:rsidP="00987FB9">
            <w:pPr>
              <w:jc w:val="center"/>
              <w:rPr>
                <w:rFonts w:cs="Arial"/>
                <w:i/>
                <w:sz w:val="18"/>
                <w:szCs w:val="18"/>
              </w:rPr>
            </w:pPr>
            <w:r w:rsidRPr="00814C80">
              <w:rPr>
                <w:rFonts w:cs="Arial"/>
                <w:i/>
                <w:sz w:val="18"/>
                <w:szCs w:val="18"/>
              </w:rPr>
              <w:t>Level 1 &amp; 2 on Regents Exam</w:t>
            </w:r>
          </w:p>
        </w:tc>
        <w:tc>
          <w:tcPr>
            <w:tcW w:w="2268" w:type="dxa"/>
          </w:tcPr>
          <w:p w:rsidR="006D2E55" w:rsidRPr="00814C80" w:rsidRDefault="002C1976" w:rsidP="00987FB9">
            <w:pPr>
              <w:jc w:val="center"/>
              <w:rPr>
                <w:rFonts w:cs="Arial"/>
                <w:i/>
                <w:sz w:val="18"/>
                <w:szCs w:val="18"/>
              </w:rPr>
            </w:pPr>
            <w:r w:rsidRPr="00814C80">
              <w:rPr>
                <w:rFonts w:cs="Arial"/>
                <w:i/>
                <w:sz w:val="18"/>
                <w:szCs w:val="18"/>
              </w:rPr>
              <w:t>Lower level 3 on NYS 3-8 State Assessment</w:t>
            </w:r>
            <w:r w:rsidR="00987FB9" w:rsidRPr="00814C80">
              <w:rPr>
                <w:rFonts w:cs="Arial"/>
                <w:i/>
                <w:sz w:val="18"/>
                <w:szCs w:val="18"/>
              </w:rPr>
              <w:t xml:space="preserve">.  </w:t>
            </w:r>
          </w:p>
          <w:p w:rsidR="002C1976" w:rsidRPr="00814C80" w:rsidRDefault="00987FB9" w:rsidP="00987FB9">
            <w:pPr>
              <w:jc w:val="center"/>
              <w:rPr>
                <w:rFonts w:cs="Arial"/>
                <w:i/>
                <w:sz w:val="18"/>
                <w:szCs w:val="18"/>
              </w:rPr>
            </w:pPr>
            <w:r w:rsidRPr="00814C80">
              <w:rPr>
                <w:rFonts w:cs="Arial"/>
                <w:i/>
                <w:sz w:val="18"/>
                <w:szCs w:val="18"/>
              </w:rPr>
              <w:t>Level 3 on Regents exam</w:t>
            </w:r>
          </w:p>
        </w:tc>
        <w:tc>
          <w:tcPr>
            <w:tcW w:w="2268" w:type="dxa"/>
            <w:gridSpan w:val="2"/>
          </w:tcPr>
          <w:p w:rsidR="006D2E55" w:rsidRPr="00814C80" w:rsidRDefault="002C1976" w:rsidP="00987FB9">
            <w:pPr>
              <w:jc w:val="center"/>
              <w:rPr>
                <w:rFonts w:cs="Arial"/>
                <w:i/>
                <w:sz w:val="18"/>
                <w:szCs w:val="18"/>
              </w:rPr>
            </w:pPr>
            <w:r w:rsidRPr="00814C80">
              <w:rPr>
                <w:rFonts w:cs="Arial"/>
                <w:i/>
                <w:sz w:val="18"/>
                <w:szCs w:val="18"/>
              </w:rPr>
              <w:t>Higher Level 3 on NYS 3-8 State Assessment</w:t>
            </w:r>
            <w:r w:rsidR="00987FB9" w:rsidRPr="00814C80">
              <w:rPr>
                <w:rFonts w:cs="Arial"/>
                <w:i/>
                <w:sz w:val="18"/>
                <w:szCs w:val="18"/>
              </w:rPr>
              <w:t xml:space="preserve">. </w:t>
            </w:r>
          </w:p>
          <w:p w:rsidR="002C1976" w:rsidRPr="00814C80" w:rsidRDefault="00987FB9" w:rsidP="00987FB9">
            <w:pPr>
              <w:jc w:val="center"/>
              <w:rPr>
                <w:rFonts w:cs="Arial"/>
                <w:i/>
                <w:sz w:val="18"/>
                <w:szCs w:val="18"/>
              </w:rPr>
            </w:pPr>
            <w:r w:rsidRPr="00814C80">
              <w:rPr>
                <w:rFonts w:cs="Arial"/>
                <w:i/>
                <w:sz w:val="18"/>
                <w:szCs w:val="18"/>
              </w:rPr>
              <w:t>Level 4 on Regents exam</w:t>
            </w:r>
          </w:p>
        </w:tc>
        <w:tc>
          <w:tcPr>
            <w:tcW w:w="2268" w:type="dxa"/>
          </w:tcPr>
          <w:p w:rsidR="006D2E55" w:rsidRPr="00814C80" w:rsidRDefault="002C1976" w:rsidP="00987FB9">
            <w:pPr>
              <w:jc w:val="center"/>
              <w:rPr>
                <w:rFonts w:cs="Arial"/>
                <w:i/>
                <w:sz w:val="18"/>
                <w:szCs w:val="18"/>
              </w:rPr>
            </w:pPr>
            <w:r w:rsidRPr="00814C80">
              <w:rPr>
                <w:rFonts w:cs="Arial"/>
                <w:i/>
                <w:sz w:val="18"/>
                <w:szCs w:val="18"/>
              </w:rPr>
              <w:t xml:space="preserve">Level 4 on NYS 3-8 State Assessment.  </w:t>
            </w:r>
          </w:p>
          <w:p w:rsidR="002C1976" w:rsidRPr="00814C80" w:rsidRDefault="00987FB9" w:rsidP="00987FB9">
            <w:pPr>
              <w:jc w:val="center"/>
              <w:rPr>
                <w:rFonts w:cs="Arial"/>
                <w:i/>
                <w:sz w:val="18"/>
                <w:szCs w:val="18"/>
              </w:rPr>
            </w:pPr>
            <w:r w:rsidRPr="00814C80">
              <w:rPr>
                <w:rFonts w:cs="Arial"/>
                <w:i/>
                <w:sz w:val="18"/>
                <w:szCs w:val="18"/>
              </w:rPr>
              <w:t>Level 5 on Regents exam</w:t>
            </w:r>
          </w:p>
        </w:tc>
      </w:tr>
      <w:tr w:rsidR="002C1976" w:rsidRPr="003A71DB" w:rsidTr="0076149E">
        <w:trPr>
          <w:jc w:val="center"/>
        </w:trPr>
        <w:tc>
          <w:tcPr>
            <w:tcW w:w="1980" w:type="dxa"/>
          </w:tcPr>
          <w:p w:rsidR="002C1976" w:rsidRPr="003A71DB" w:rsidRDefault="002C1976" w:rsidP="00666693">
            <w:pPr>
              <w:jc w:val="center"/>
              <w:rPr>
                <w:rFonts w:cs="Arial"/>
                <w:b/>
                <w:bCs/>
                <w:sz w:val="18"/>
                <w:szCs w:val="18"/>
              </w:rPr>
            </w:pPr>
            <w:r w:rsidRPr="003A71DB">
              <w:rPr>
                <w:rFonts w:cs="Arial"/>
                <w:b/>
                <w:bCs/>
                <w:sz w:val="18"/>
                <w:szCs w:val="18"/>
              </w:rPr>
              <w:t xml:space="preserve">Class Average </w:t>
            </w:r>
            <w:r w:rsidRPr="003A71DB">
              <w:rPr>
                <w:rFonts w:cs="Arial"/>
                <w:bCs/>
                <w:sz w:val="18"/>
                <w:szCs w:val="18"/>
              </w:rPr>
              <w:t>Performance Trends</w:t>
            </w:r>
          </w:p>
        </w:tc>
        <w:tc>
          <w:tcPr>
            <w:tcW w:w="2016" w:type="dxa"/>
            <w:gridSpan w:val="2"/>
          </w:tcPr>
          <w:p w:rsidR="002C1976" w:rsidRPr="006224B5" w:rsidRDefault="002C1976" w:rsidP="00666693">
            <w:pPr>
              <w:jc w:val="center"/>
              <w:rPr>
                <w:rFonts w:cs="Arial"/>
                <w:sz w:val="18"/>
                <w:szCs w:val="18"/>
                <w:highlight w:val="yellow"/>
              </w:rPr>
            </w:pPr>
          </w:p>
        </w:tc>
        <w:tc>
          <w:tcPr>
            <w:tcW w:w="2268" w:type="dxa"/>
          </w:tcPr>
          <w:p w:rsidR="002C1976" w:rsidRPr="006224B5" w:rsidRDefault="002C1976" w:rsidP="00666693">
            <w:pPr>
              <w:jc w:val="center"/>
              <w:rPr>
                <w:rFonts w:cs="Arial"/>
                <w:sz w:val="18"/>
                <w:szCs w:val="18"/>
                <w:highlight w:val="yellow"/>
              </w:rPr>
            </w:pPr>
          </w:p>
        </w:tc>
        <w:tc>
          <w:tcPr>
            <w:tcW w:w="2268" w:type="dxa"/>
            <w:gridSpan w:val="2"/>
          </w:tcPr>
          <w:p w:rsidR="002C1976" w:rsidRPr="006224B5" w:rsidRDefault="002C1976" w:rsidP="00666693">
            <w:pPr>
              <w:jc w:val="center"/>
              <w:rPr>
                <w:rFonts w:cs="Arial"/>
                <w:sz w:val="18"/>
                <w:szCs w:val="18"/>
                <w:highlight w:val="yellow"/>
              </w:rPr>
            </w:pPr>
          </w:p>
        </w:tc>
        <w:tc>
          <w:tcPr>
            <w:tcW w:w="2268" w:type="dxa"/>
          </w:tcPr>
          <w:p w:rsidR="002C1976" w:rsidRPr="006224B5" w:rsidRDefault="002C1976" w:rsidP="00666693">
            <w:pPr>
              <w:jc w:val="center"/>
              <w:rPr>
                <w:rFonts w:cs="Arial"/>
                <w:sz w:val="18"/>
                <w:szCs w:val="18"/>
                <w:highlight w:val="yellow"/>
              </w:rPr>
            </w:pPr>
          </w:p>
        </w:tc>
      </w:tr>
      <w:tr w:rsidR="002C1976" w:rsidRPr="003A71DB" w:rsidTr="0076149E">
        <w:trPr>
          <w:jc w:val="center"/>
        </w:trPr>
        <w:tc>
          <w:tcPr>
            <w:tcW w:w="1980" w:type="dxa"/>
            <w:shd w:val="clear" w:color="auto" w:fill="DBE5F1" w:themeFill="accent1" w:themeFillTint="33"/>
            <w:vAlign w:val="bottom"/>
          </w:tcPr>
          <w:p w:rsidR="002C1976" w:rsidRPr="0076149E" w:rsidRDefault="002C1976" w:rsidP="00666693">
            <w:pPr>
              <w:jc w:val="center"/>
              <w:rPr>
                <w:rFonts w:cs="Arial"/>
                <w:b/>
                <w:color w:val="000000"/>
                <w:sz w:val="20"/>
                <w:u w:val="single"/>
              </w:rPr>
            </w:pPr>
            <w:r w:rsidRPr="0076149E">
              <w:rPr>
                <w:rFonts w:cs="Arial"/>
                <w:b/>
                <w:color w:val="000000"/>
                <w:sz w:val="20"/>
                <w:u w:val="single"/>
              </w:rPr>
              <w:t>Behavioral:</w:t>
            </w:r>
          </w:p>
        </w:tc>
        <w:tc>
          <w:tcPr>
            <w:tcW w:w="2016" w:type="dxa"/>
            <w:gridSpan w:val="2"/>
            <w:shd w:val="clear" w:color="auto" w:fill="DBE5F1" w:themeFill="accent1" w:themeFillTint="33"/>
            <w:vAlign w:val="bottom"/>
          </w:tcPr>
          <w:p w:rsidR="002C1976" w:rsidRPr="003A71DB" w:rsidRDefault="002C1976" w:rsidP="00666693">
            <w:pPr>
              <w:jc w:val="center"/>
              <w:rPr>
                <w:rFonts w:cs="Arial"/>
                <w:color w:val="000000"/>
                <w:sz w:val="18"/>
                <w:szCs w:val="18"/>
              </w:rPr>
            </w:pPr>
          </w:p>
        </w:tc>
        <w:tc>
          <w:tcPr>
            <w:tcW w:w="2268" w:type="dxa"/>
            <w:shd w:val="clear" w:color="auto" w:fill="DBE5F1" w:themeFill="accent1" w:themeFillTint="33"/>
            <w:vAlign w:val="bottom"/>
          </w:tcPr>
          <w:p w:rsidR="002C1976" w:rsidRPr="003A71DB" w:rsidRDefault="002C1976" w:rsidP="00666693">
            <w:pPr>
              <w:jc w:val="center"/>
              <w:rPr>
                <w:rFonts w:cs="Arial"/>
                <w:color w:val="000000"/>
                <w:sz w:val="18"/>
                <w:szCs w:val="18"/>
              </w:rPr>
            </w:pPr>
          </w:p>
        </w:tc>
        <w:tc>
          <w:tcPr>
            <w:tcW w:w="2268" w:type="dxa"/>
            <w:gridSpan w:val="2"/>
            <w:shd w:val="clear" w:color="auto" w:fill="DBE5F1" w:themeFill="accent1" w:themeFillTint="33"/>
            <w:vAlign w:val="bottom"/>
          </w:tcPr>
          <w:p w:rsidR="002C1976" w:rsidRPr="003A71DB" w:rsidRDefault="002C1976" w:rsidP="00666693">
            <w:pPr>
              <w:jc w:val="center"/>
              <w:rPr>
                <w:rFonts w:cs="Arial"/>
                <w:color w:val="000000"/>
                <w:sz w:val="18"/>
                <w:szCs w:val="18"/>
              </w:rPr>
            </w:pPr>
          </w:p>
        </w:tc>
        <w:tc>
          <w:tcPr>
            <w:tcW w:w="2268" w:type="dxa"/>
            <w:shd w:val="clear" w:color="auto" w:fill="DBE5F1" w:themeFill="accent1" w:themeFillTint="33"/>
            <w:vAlign w:val="bottom"/>
          </w:tcPr>
          <w:p w:rsidR="002C1976" w:rsidRPr="003A71DB" w:rsidRDefault="002C1976" w:rsidP="00666693">
            <w:pPr>
              <w:jc w:val="center"/>
              <w:rPr>
                <w:rFonts w:cs="Arial"/>
                <w:color w:val="000000"/>
                <w:sz w:val="18"/>
                <w:szCs w:val="18"/>
              </w:rPr>
            </w:pPr>
          </w:p>
        </w:tc>
      </w:tr>
      <w:tr w:rsidR="002C1976" w:rsidRPr="003A71DB" w:rsidTr="0076149E">
        <w:trPr>
          <w:jc w:val="center"/>
        </w:trPr>
        <w:tc>
          <w:tcPr>
            <w:tcW w:w="1980" w:type="dxa"/>
          </w:tcPr>
          <w:p w:rsidR="002C1976" w:rsidRPr="003A71DB" w:rsidRDefault="002C1976" w:rsidP="00666693">
            <w:pPr>
              <w:jc w:val="center"/>
              <w:rPr>
                <w:rFonts w:cs="Arial"/>
                <w:b/>
                <w:bCs/>
                <w:sz w:val="18"/>
                <w:szCs w:val="18"/>
              </w:rPr>
            </w:pPr>
            <w:r w:rsidRPr="003A71DB">
              <w:rPr>
                <w:rFonts w:cs="Arial"/>
                <w:b/>
                <w:bCs/>
                <w:sz w:val="18"/>
                <w:szCs w:val="18"/>
              </w:rPr>
              <w:t>Perseverance and Resourcefulness</w:t>
            </w:r>
          </w:p>
          <w:p w:rsidR="002C1976" w:rsidRPr="003A71DB" w:rsidRDefault="002C1976" w:rsidP="00666693">
            <w:pPr>
              <w:jc w:val="center"/>
              <w:rPr>
                <w:rFonts w:cs="Arial"/>
                <w:bCs/>
                <w:sz w:val="18"/>
                <w:szCs w:val="18"/>
              </w:rPr>
            </w:pPr>
            <w:r w:rsidRPr="003A71DB">
              <w:rPr>
                <w:rFonts w:cs="Arial"/>
                <w:bCs/>
                <w:sz w:val="18"/>
                <w:szCs w:val="18"/>
              </w:rPr>
              <w:t>MP1 : Make sense of problems and persevere in solving them</w:t>
            </w:r>
          </w:p>
          <w:p w:rsidR="002C1976" w:rsidRPr="003A71DB" w:rsidRDefault="002C1976" w:rsidP="00666693">
            <w:pPr>
              <w:jc w:val="center"/>
              <w:rPr>
                <w:rFonts w:cs="Arial"/>
                <w:b/>
                <w:bCs/>
                <w:sz w:val="18"/>
                <w:szCs w:val="18"/>
              </w:rPr>
            </w:pPr>
            <w:r w:rsidRPr="003A71DB">
              <w:rPr>
                <w:rFonts w:cs="Arial"/>
                <w:bCs/>
                <w:sz w:val="18"/>
                <w:szCs w:val="18"/>
              </w:rPr>
              <w:t>MP5: Use appropriate tools strategically</w:t>
            </w:r>
          </w:p>
        </w:tc>
        <w:tc>
          <w:tcPr>
            <w:tcW w:w="2016" w:type="dxa"/>
            <w:gridSpan w:val="2"/>
          </w:tcPr>
          <w:p w:rsidR="002C1976" w:rsidRPr="00814C80" w:rsidRDefault="002C1976" w:rsidP="00E22375">
            <w:pPr>
              <w:jc w:val="center"/>
              <w:rPr>
                <w:rFonts w:cs="Arial"/>
                <w:b/>
                <w:sz w:val="18"/>
                <w:szCs w:val="18"/>
              </w:rPr>
            </w:pPr>
          </w:p>
        </w:tc>
        <w:tc>
          <w:tcPr>
            <w:tcW w:w="2268" w:type="dxa"/>
          </w:tcPr>
          <w:p w:rsidR="002C1976" w:rsidRPr="006224B5" w:rsidRDefault="002C1976" w:rsidP="00666693">
            <w:pPr>
              <w:jc w:val="center"/>
              <w:rPr>
                <w:rFonts w:cs="Arial"/>
                <w:sz w:val="18"/>
                <w:szCs w:val="18"/>
                <w:highlight w:val="yellow"/>
              </w:rPr>
            </w:pPr>
          </w:p>
        </w:tc>
        <w:tc>
          <w:tcPr>
            <w:tcW w:w="2268" w:type="dxa"/>
            <w:gridSpan w:val="2"/>
          </w:tcPr>
          <w:p w:rsidR="002C1976" w:rsidRPr="006224B5" w:rsidRDefault="002C1976" w:rsidP="0076149E">
            <w:pPr>
              <w:jc w:val="center"/>
              <w:rPr>
                <w:rFonts w:cs="Arial"/>
                <w:sz w:val="18"/>
                <w:szCs w:val="18"/>
                <w:highlight w:val="yellow"/>
              </w:rPr>
            </w:pPr>
          </w:p>
        </w:tc>
        <w:tc>
          <w:tcPr>
            <w:tcW w:w="2268" w:type="dxa"/>
          </w:tcPr>
          <w:p w:rsidR="002C1976" w:rsidRPr="006224B5" w:rsidRDefault="002C1976" w:rsidP="0076149E">
            <w:pPr>
              <w:jc w:val="center"/>
              <w:rPr>
                <w:rFonts w:cs="Arial"/>
                <w:sz w:val="18"/>
                <w:szCs w:val="18"/>
                <w:highlight w:val="yellow"/>
              </w:rPr>
            </w:pPr>
          </w:p>
        </w:tc>
      </w:tr>
      <w:tr w:rsidR="002C1976" w:rsidRPr="003A71DB" w:rsidTr="0076149E">
        <w:trPr>
          <w:jc w:val="center"/>
        </w:trPr>
        <w:tc>
          <w:tcPr>
            <w:tcW w:w="1980" w:type="dxa"/>
          </w:tcPr>
          <w:p w:rsidR="002C1976" w:rsidRPr="003A71DB" w:rsidRDefault="002C1976" w:rsidP="00666693">
            <w:pPr>
              <w:jc w:val="center"/>
              <w:rPr>
                <w:rFonts w:cs="Arial"/>
                <w:b/>
                <w:bCs/>
                <w:sz w:val="18"/>
                <w:szCs w:val="18"/>
              </w:rPr>
            </w:pPr>
            <w:r w:rsidRPr="003A71DB">
              <w:rPr>
                <w:rFonts w:cs="Arial"/>
                <w:b/>
                <w:bCs/>
                <w:sz w:val="18"/>
                <w:szCs w:val="18"/>
              </w:rPr>
              <w:t>Mathematical Reasoning and Communication</w:t>
            </w:r>
          </w:p>
          <w:p w:rsidR="002C1976" w:rsidRPr="003A71DB" w:rsidRDefault="002C1976" w:rsidP="00666693">
            <w:pPr>
              <w:jc w:val="center"/>
              <w:rPr>
                <w:rFonts w:cs="Arial"/>
                <w:bCs/>
                <w:sz w:val="18"/>
                <w:szCs w:val="18"/>
              </w:rPr>
            </w:pPr>
            <w:r w:rsidRPr="003A71DB">
              <w:rPr>
                <w:rFonts w:cs="Arial"/>
                <w:bCs/>
                <w:sz w:val="18"/>
                <w:szCs w:val="18"/>
              </w:rPr>
              <w:t>MP3: Construct viable arguments and critique the reasoning of others</w:t>
            </w:r>
          </w:p>
          <w:p w:rsidR="002C1976" w:rsidRPr="003A71DB" w:rsidRDefault="002C1976" w:rsidP="00666693">
            <w:pPr>
              <w:jc w:val="center"/>
              <w:rPr>
                <w:rFonts w:cs="Arial"/>
                <w:b/>
                <w:bCs/>
                <w:sz w:val="18"/>
                <w:szCs w:val="18"/>
              </w:rPr>
            </w:pPr>
            <w:r w:rsidRPr="003A71DB">
              <w:rPr>
                <w:rFonts w:cs="Arial"/>
                <w:bCs/>
                <w:sz w:val="18"/>
                <w:szCs w:val="18"/>
              </w:rPr>
              <w:t>MP6: Attend to precision</w:t>
            </w:r>
          </w:p>
        </w:tc>
        <w:tc>
          <w:tcPr>
            <w:tcW w:w="2016" w:type="dxa"/>
            <w:gridSpan w:val="2"/>
          </w:tcPr>
          <w:p w:rsidR="002C1976" w:rsidRPr="003A71DB" w:rsidRDefault="00814C80" w:rsidP="00666693">
            <w:pPr>
              <w:jc w:val="center"/>
              <w:rPr>
                <w:rFonts w:cs="Arial"/>
                <w:bCs/>
                <w:sz w:val="18"/>
                <w:szCs w:val="18"/>
              </w:rPr>
            </w:pPr>
            <w:r w:rsidRPr="00814C80">
              <w:rPr>
                <w:rFonts w:cs="Arial"/>
                <w:b/>
                <w:i/>
                <w:sz w:val="18"/>
                <w:szCs w:val="18"/>
              </w:rPr>
              <w:t xml:space="preserve">EXAMPLE: </w:t>
            </w:r>
            <w:r w:rsidRPr="00814C80">
              <w:rPr>
                <w:rFonts w:cs="Arial"/>
                <w:bCs/>
                <w:i/>
                <w:sz w:val="18"/>
                <w:szCs w:val="18"/>
              </w:rPr>
              <w:t>Does not communicate effectively orally or in writing. Does not contribute much when working in groups, or overpowers the conversation and/or exhibits bullying behavior. Produces sloppy/inaccurate work</w:t>
            </w:r>
            <w:r>
              <w:rPr>
                <w:rFonts w:cs="Arial"/>
                <w:bCs/>
                <w:sz w:val="18"/>
                <w:szCs w:val="18"/>
              </w:rPr>
              <w:t>.</w:t>
            </w:r>
          </w:p>
        </w:tc>
        <w:tc>
          <w:tcPr>
            <w:tcW w:w="2268" w:type="dxa"/>
          </w:tcPr>
          <w:p w:rsidR="002C1976" w:rsidRPr="003A71DB" w:rsidRDefault="002C1976" w:rsidP="00666693">
            <w:pPr>
              <w:jc w:val="center"/>
              <w:rPr>
                <w:rFonts w:cs="Arial"/>
                <w:bCs/>
                <w:sz w:val="18"/>
                <w:szCs w:val="18"/>
              </w:rPr>
            </w:pPr>
          </w:p>
        </w:tc>
        <w:tc>
          <w:tcPr>
            <w:tcW w:w="2268" w:type="dxa"/>
            <w:gridSpan w:val="2"/>
          </w:tcPr>
          <w:p w:rsidR="002C1976" w:rsidRPr="003A71DB" w:rsidRDefault="002C1976" w:rsidP="00666693">
            <w:pPr>
              <w:jc w:val="center"/>
              <w:rPr>
                <w:rFonts w:cs="Arial"/>
                <w:bCs/>
                <w:sz w:val="18"/>
                <w:szCs w:val="18"/>
              </w:rPr>
            </w:pPr>
          </w:p>
        </w:tc>
        <w:tc>
          <w:tcPr>
            <w:tcW w:w="2268" w:type="dxa"/>
          </w:tcPr>
          <w:p w:rsidR="002C1976" w:rsidRPr="003A71DB" w:rsidRDefault="002C1976" w:rsidP="00666693">
            <w:pPr>
              <w:jc w:val="center"/>
              <w:rPr>
                <w:rFonts w:cs="Arial"/>
                <w:bCs/>
                <w:sz w:val="18"/>
                <w:szCs w:val="18"/>
              </w:rPr>
            </w:pPr>
          </w:p>
        </w:tc>
      </w:tr>
      <w:tr w:rsidR="002C1976" w:rsidRPr="003A71DB" w:rsidTr="0076149E">
        <w:trPr>
          <w:jc w:val="center"/>
        </w:trPr>
        <w:tc>
          <w:tcPr>
            <w:tcW w:w="1980" w:type="dxa"/>
          </w:tcPr>
          <w:p w:rsidR="002C1976" w:rsidRPr="003A71DB" w:rsidRDefault="002C1976" w:rsidP="00666693">
            <w:pPr>
              <w:jc w:val="center"/>
              <w:rPr>
                <w:rFonts w:cs="Arial"/>
                <w:b/>
                <w:bCs/>
                <w:sz w:val="18"/>
                <w:szCs w:val="18"/>
              </w:rPr>
            </w:pPr>
            <w:r w:rsidRPr="003A71DB">
              <w:rPr>
                <w:rFonts w:cs="Arial"/>
                <w:b/>
                <w:bCs/>
                <w:sz w:val="18"/>
                <w:szCs w:val="18"/>
              </w:rPr>
              <w:t>Overall Average</w:t>
            </w:r>
          </w:p>
        </w:tc>
        <w:tc>
          <w:tcPr>
            <w:tcW w:w="2016" w:type="dxa"/>
            <w:gridSpan w:val="2"/>
          </w:tcPr>
          <w:p w:rsidR="002C1976" w:rsidRPr="003A71DB" w:rsidRDefault="002C1976" w:rsidP="00666693">
            <w:pPr>
              <w:jc w:val="center"/>
              <w:rPr>
                <w:rFonts w:cs="Arial"/>
                <w:b/>
                <w:bCs/>
                <w:sz w:val="18"/>
                <w:szCs w:val="18"/>
              </w:rPr>
            </w:pPr>
            <w:r w:rsidRPr="003A71DB">
              <w:rPr>
                <w:rFonts w:cs="Arial"/>
                <w:b/>
                <w:bCs/>
                <w:sz w:val="18"/>
                <w:szCs w:val="18"/>
              </w:rPr>
              <w:t>1 Does Not Meet Expectations</w:t>
            </w:r>
          </w:p>
        </w:tc>
        <w:tc>
          <w:tcPr>
            <w:tcW w:w="2268" w:type="dxa"/>
          </w:tcPr>
          <w:p w:rsidR="002C1976" w:rsidRPr="003A71DB" w:rsidRDefault="002C1976" w:rsidP="00666693">
            <w:pPr>
              <w:jc w:val="center"/>
              <w:rPr>
                <w:rFonts w:cs="Arial"/>
                <w:b/>
                <w:bCs/>
                <w:sz w:val="18"/>
                <w:szCs w:val="18"/>
              </w:rPr>
            </w:pPr>
            <w:r w:rsidRPr="003A71DB">
              <w:rPr>
                <w:rFonts w:cs="Arial"/>
                <w:b/>
                <w:bCs/>
                <w:sz w:val="18"/>
                <w:szCs w:val="18"/>
              </w:rPr>
              <w:t>2 Working Towards Expectations</w:t>
            </w:r>
          </w:p>
        </w:tc>
        <w:tc>
          <w:tcPr>
            <w:tcW w:w="2268" w:type="dxa"/>
            <w:gridSpan w:val="2"/>
          </w:tcPr>
          <w:p w:rsidR="002C1976" w:rsidRPr="003A71DB" w:rsidRDefault="002C1976" w:rsidP="00666693">
            <w:pPr>
              <w:jc w:val="center"/>
              <w:rPr>
                <w:rFonts w:cs="Arial"/>
                <w:b/>
                <w:bCs/>
                <w:sz w:val="18"/>
                <w:szCs w:val="18"/>
              </w:rPr>
            </w:pPr>
            <w:r w:rsidRPr="003A71DB">
              <w:rPr>
                <w:rFonts w:cs="Arial"/>
                <w:b/>
                <w:bCs/>
                <w:sz w:val="18"/>
                <w:szCs w:val="18"/>
              </w:rPr>
              <w:t>3 Meets Expectations</w:t>
            </w:r>
          </w:p>
        </w:tc>
        <w:tc>
          <w:tcPr>
            <w:tcW w:w="2268" w:type="dxa"/>
          </w:tcPr>
          <w:p w:rsidR="002C1976" w:rsidRPr="003A71DB" w:rsidRDefault="002C1976" w:rsidP="00666693">
            <w:pPr>
              <w:jc w:val="center"/>
              <w:rPr>
                <w:rFonts w:cs="Arial"/>
                <w:b/>
                <w:bCs/>
                <w:sz w:val="18"/>
                <w:szCs w:val="18"/>
              </w:rPr>
            </w:pPr>
            <w:r w:rsidRPr="003A71DB">
              <w:rPr>
                <w:rFonts w:cs="Arial"/>
                <w:b/>
                <w:bCs/>
                <w:sz w:val="18"/>
                <w:szCs w:val="18"/>
              </w:rPr>
              <w:t>4 Exceeds Expectations</w:t>
            </w:r>
          </w:p>
        </w:tc>
      </w:tr>
    </w:tbl>
    <w:p w:rsidR="002C1976" w:rsidRPr="002C1976" w:rsidRDefault="002C1976" w:rsidP="00814C80">
      <w:pPr>
        <w:widowControl/>
        <w:overflowPunct w:val="0"/>
        <w:autoSpaceDE w:val="0"/>
        <w:autoSpaceDN w:val="0"/>
        <w:adjustRightInd w:val="0"/>
        <w:spacing w:before="240"/>
        <w:jc w:val="both"/>
        <w:textAlignment w:val="baseline"/>
        <w:rPr>
          <w:noProof/>
          <w:sz w:val="22"/>
          <w:szCs w:val="22"/>
        </w:rPr>
      </w:pPr>
    </w:p>
    <w:sectPr w:rsidR="002C1976" w:rsidRPr="002C1976" w:rsidSect="0091301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C92" w:rsidRDefault="00221C92" w:rsidP="00194C1F">
      <w:r>
        <w:separator/>
      </w:r>
    </w:p>
  </w:endnote>
  <w:endnote w:type="continuationSeparator" w:id="0">
    <w:p w:rsidR="00221C92" w:rsidRDefault="00221C92" w:rsidP="00194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693" w:rsidRDefault="006666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693" w:rsidRDefault="006666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693" w:rsidRDefault="006666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C92" w:rsidRDefault="00221C92" w:rsidP="00194C1F">
      <w:r>
        <w:separator/>
      </w:r>
    </w:p>
  </w:footnote>
  <w:footnote w:type="continuationSeparator" w:id="0">
    <w:p w:rsidR="00221C92" w:rsidRDefault="00221C92" w:rsidP="00194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693" w:rsidRDefault="006666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790258"/>
      <w:docPartObj>
        <w:docPartGallery w:val="Watermarks"/>
        <w:docPartUnique/>
      </w:docPartObj>
    </w:sdtPr>
    <w:sdtEndPr/>
    <w:sdtContent>
      <w:p w:rsidR="00666693" w:rsidRDefault="00221C92">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693" w:rsidRDefault="006666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5E39"/>
    <w:multiLevelType w:val="hybridMultilevel"/>
    <w:tmpl w:val="F0CC5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62605"/>
    <w:multiLevelType w:val="hybridMultilevel"/>
    <w:tmpl w:val="AA422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E94F51"/>
    <w:multiLevelType w:val="hybridMultilevel"/>
    <w:tmpl w:val="43B49D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FA0A1E"/>
    <w:multiLevelType w:val="hybridMultilevel"/>
    <w:tmpl w:val="B002E7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843BA3"/>
    <w:multiLevelType w:val="hybridMultilevel"/>
    <w:tmpl w:val="C9DA4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48E"/>
    <w:rsid w:val="000100DE"/>
    <w:rsid w:val="00052CBF"/>
    <w:rsid w:val="000A6C97"/>
    <w:rsid w:val="00110EF4"/>
    <w:rsid w:val="00151515"/>
    <w:rsid w:val="00194C1F"/>
    <w:rsid w:val="001B4ABB"/>
    <w:rsid w:val="00203157"/>
    <w:rsid w:val="00221C92"/>
    <w:rsid w:val="00232084"/>
    <w:rsid w:val="0025467F"/>
    <w:rsid w:val="00267D6B"/>
    <w:rsid w:val="00270D7B"/>
    <w:rsid w:val="002A7EF5"/>
    <w:rsid w:val="002C1976"/>
    <w:rsid w:val="002E7661"/>
    <w:rsid w:val="002F75A8"/>
    <w:rsid w:val="00301202"/>
    <w:rsid w:val="00305E04"/>
    <w:rsid w:val="003517B4"/>
    <w:rsid w:val="003A6A29"/>
    <w:rsid w:val="003B6735"/>
    <w:rsid w:val="003D040E"/>
    <w:rsid w:val="004128D0"/>
    <w:rsid w:val="004328D9"/>
    <w:rsid w:val="00435EF2"/>
    <w:rsid w:val="00455C78"/>
    <w:rsid w:val="00465B59"/>
    <w:rsid w:val="004C5E1C"/>
    <w:rsid w:val="00533098"/>
    <w:rsid w:val="00545B86"/>
    <w:rsid w:val="0056746A"/>
    <w:rsid w:val="00584551"/>
    <w:rsid w:val="005B0EA1"/>
    <w:rsid w:val="005C20C5"/>
    <w:rsid w:val="005D02A9"/>
    <w:rsid w:val="00601EFC"/>
    <w:rsid w:val="006224B5"/>
    <w:rsid w:val="006618D2"/>
    <w:rsid w:val="00663C33"/>
    <w:rsid w:val="00666693"/>
    <w:rsid w:val="006D2E55"/>
    <w:rsid w:val="006E295A"/>
    <w:rsid w:val="006E320E"/>
    <w:rsid w:val="0072448E"/>
    <w:rsid w:val="00746D1C"/>
    <w:rsid w:val="007479B3"/>
    <w:rsid w:val="007609C2"/>
    <w:rsid w:val="0076149E"/>
    <w:rsid w:val="00764F2A"/>
    <w:rsid w:val="007B0802"/>
    <w:rsid w:val="007B0D3F"/>
    <w:rsid w:val="007C682B"/>
    <w:rsid w:val="007E2177"/>
    <w:rsid w:val="007F26BE"/>
    <w:rsid w:val="00814C80"/>
    <w:rsid w:val="00825F86"/>
    <w:rsid w:val="00861CD9"/>
    <w:rsid w:val="0088137A"/>
    <w:rsid w:val="00890F7D"/>
    <w:rsid w:val="008C3D53"/>
    <w:rsid w:val="008D0637"/>
    <w:rsid w:val="008E6992"/>
    <w:rsid w:val="0091301B"/>
    <w:rsid w:val="0093400B"/>
    <w:rsid w:val="0096173C"/>
    <w:rsid w:val="00961919"/>
    <w:rsid w:val="00971ECF"/>
    <w:rsid w:val="0097362B"/>
    <w:rsid w:val="00987FB9"/>
    <w:rsid w:val="0099146E"/>
    <w:rsid w:val="009E4A7A"/>
    <w:rsid w:val="00A608C1"/>
    <w:rsid w:val="00A920C0"/>
    <w:rsid w:val="00A925EE"/>
    <w:rsid w:val="00AC1CB6"/>
    <w:rsid w:val="00AC35A0"/>
    <w:rsid w:val="00AE3F17"/>
    <w:rsid w:val="00AF5E76"/>
    <w:rsid w:val="00B15FF0"/>
    <w:rsid w:val="00B32A9F"/>
    <w:rsid w:val="00B41EA2"/>
    <w:rsid w:val="00B513CB"/>
    <w:rsid w:val="00B536AF"/>
    <w:rsid w:val="00B56063"/>
    <w:rsid w:val="00BD5679"/>
    <w:rsid w:val="00BE3500"/>
    <w:rsid w:val="00BE3EA3"/>
    <w:rsid w:val="00BF2B04"/>
    <w:rsid w:val="00C22DE9"/>
    <w:rsid w:val="00C47322"/>
    <w:rsid w:val="00C5344C"/>
    <w:rsid w:val="00C97255"/>
    <w:rsid w:val="00D11BB4"/>
    <w:rsid w:val="00D13CD0"/>
    <w:rsid w:val="00D15315"/>
    <w:rsid w:val="00D5604A"/>
    <w:rsid w:val="00D56CEC"/>
    <w:rsid w:val="00D66BEB"/>
    <w:rsid w:val="00D766AF"/>
    <w:rsid w:val="00DC56E2"/>
    <w:rsid w:val="00DE0B47"/>
    <w:rsid w:val="00E22375"/>
    <w:rsid w:val="00E45C76"/>
    <w:rsid w:val="00E67862"/>
    <w:rsid w:val="00EA6C01"/>
    <w:rsid w:val="00EF4161"/>
    <w:rsid w:val="00F12404"/>
    <w:rsid w:val="00F42D88"/>
    <w:rsid w:val="00F4364B"/>
    <w:rsid w:val="00F57C6D"/>
    <w:rsid w:val="00F6341D"/>
    <w:rsid w:val="00F914AD"/>
    <w:rsid w:val="00FA613B"/>
    <w:rsid w:val="00FB3F29"/>
    <w:rsid w:val="00FB4ECB"/>
    <w:rsid w:val="00FD2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48E"/>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73C"/>
    <w:pPr>
      <w:ind w:left="720"/>
      <w:contextualSpacing/>
    </w:pPr>
  </w:style>
  <w:style w:type="character" w:styleId="Hyperlink">
    <w:name w:val="Hyperlink"/>
    <w:basedOn w:val="DefaultParagraphFont"/>
    <w:uiPriority w:val="99"/>
    <w:unhideWhenUsed/>
    <w:rsid w:val="00FD204D"/>
    <w:rPr>
      <w:color w:val="0000FF" w:themeColor="hyperlink"/>
      <w:u w:val="single"/>
    </w:rPr>
  </w:style>
  <w:style w:type="table" w:styleId="TableGrid">
    <w:name w:val="Table Grid"/>
    <w:basedOn w:val="TableNormal"/>
    <w:uiPriority w:val="59"/>
    <w:rsid w:val="002C1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1976"/>
    <w:pPr>
      <w:widowControl/>
      <w:spacing w:before="100" w:beforeAutospacing="1" w:after="100" w:afterAutospacing="1"/>
    </w:pPr>
    <w:rPr>
      <w:snapToGrid/>
      <w:szCs w:val="24"/>
    </w:rPr>
  </w:style>
  <w:style w:type="paragraph" w:customStyle="1" w:styleId="Default">
    <w:name w:val="Default"/>
    <w:rsid w:val="002C1976"/>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194C1F"/>
    <w:pPr>
      <w:spacing w:after="0" w:line="240" w:lineRule="auto"/>
    </w:pPr>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194C1F"/>
    <w:rPr>
      <w:rFonts w:ascii="Tahoma" w:hAnsi="Tahoma" w:cs="Tahoma"/>
      <w:sz w:val="16"/>
      <w:szCs w:val="16"/>
    </w:rPr>
  </w:style>
  <w:style w:type="character" w:customStyle="1" w:styleId="BalloonTextChar">
    <w:name w:val="Balloon Text Char"/>
    <w:basedOn w:val="DefaultParagraphFont"/>
    <w:link w:val="BalloonText"/>
    <w:uiPriority w:val="99"/>
    <w:semiHidden/>
    <w:rsid w:val="00194C1F"/>
    <w:rPr>
      <w:rFonts w:ascii="Tahoma" w:eastAsia="Times New Roman" w:hAnsi="Tahoma" w:cs="Tahoma"/>
      <w:snapToGrid w:val="0"/>
      <w:sz w:val="16"/>
      <w:szCs w:val="16"/>
    </w:rPr>
  </w:style>
  <w:style w:type="paragraph" w:styleId="Header">
    <w:name w:val="header"/>
    <w:basedOn w:val="Normal"/>
    <w:link w:val="HeaderChar"/>
    <w:uiPriority w:val="99"/>
    <w:unhideWhenUsed/>
    <w:rsid w:val="00194C1F"/>
    <w:pPr>
      <w:tabs>
        <w:tab w:val="center" w:pos="4680"/>
        <w:tab w:val="right" w:pos="9360"/>
      </w:tabs>
    </w:pPr>
  </w:style>
  <w:style w:type="character" w:customStyle="1" w:styleId="HeaderChar">
    <w:name w:val="Header Char"/>
    <w:basedOn w:val="DefaultParagraphFont"/>
    <w:link w:val="Header"/>
    <w:uiPriority w:val="99"/>
    <w:rsid w:val="00194C1F"/>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194C1F"/>
    <w:pPr>
      <w:tabs>
        <w:tab w:val="center" w:pos="4680"/>
        <w:tab w:val="right" w:pos="9360"/>
      </w:tabs>
    </w:pPr>
  </w:style>
  <w:style w:type="character" w:customStyle="1" w:styleId="FooterChar">
    <w:name w:val="Footer Char"/>
    <w:basedOn w:val="DefaultParagraphFont"/>
    <w:link w:val="Footer"/>
    <w:uiPriority w:val="99"/>
    <w:rsid w:val="00194C1F"/>
    <w:rPr>
      <w:rFonts w:ascii="Times New Roman" w:eastAsia="Times New Roman" w:hAnsi="Times New Roman"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48E"/>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73C"/>
    <w:pPr>
      <w:ind w:left="720"/>
      <w:contextualSpacing/>
    </w:pPr>
  </w:style>
  <w:style w:type="character" w:styleId="Hyperlink">
    <w:name w:val="Hyperlink"/>
    <w:basedOn w:val="DefaultParagraphFont"/>
    <w:uiPriority w:val="99"/>
    <w:unhideWhenUsed/>
    <w:rsid w:val="00FD204D"/>
    <w:rPr>
      <w:color w:val="0000FF" w:themeColor="hyperlink"/>
      <w:u w:val="single"/>
    </w:rPr>
  </w:style>
  <w:style w:type="table" w:styleId="TableGrid">
    <w:name w:val="Table Grid"/>
    <w:basedOn w:val="TableNormal"/>
    <w:uiPriority w:val="59"/>
    <w:rsid w:val="002C1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1976"/>
    <w:pPr>
      <w:widowControl/>
      <w:spacing w:before="100" w:beforeAutospacing="1" w:after="100" w:afterAutospacing="1"/>
    </w:pPr>
    <w:rPr>
      <w:snapToGrid/>
      <w:szCs w:val="24"/>
    </w:rPr>
  </w:style>
  <w:style w:type="paragraph" w:customStyle="1" w:styleId="Default">
    <w:name w:val="Default"/>
    <w:rsid w:val="002C1976"/>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194C1F"/>
    <w:pPr>
      <w:spacing w:after="0" w:line="240" w:lineRule="auto"/>
    </w:pPr>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194C1F"/>
    <w:rPr>
      <w:rFonts w:ascii="Tahoma" w:hAnsi="Tahoma" w:cs="Tahoma"/>
      <w:sz w:val="16"/>
      <w:szCs w:val="16"/>
    </w:rPr>
  </w:style>
  <w:style w:type="character" w:customStyle="1" w:styleId="BalloonTextChar">
    <w:name w:val="Balloon Text Char"/>
    <w:basedOn w:val="DefaultParagraphFont"/>
    <w:link w:val="BalloonText"/>
    <w:uiPriority w:val="99"/>
    <w:semiHidden/>
    <w:rsid w:val="00194C1F"/>
    <w:rPr>
      <w:rFonts w:ascii="Tahoma" w:eastAsia="Times New Roman" w:hAnsi="Tahoma" w:cs="Tahoma"/>
      <w:snapToGrid w:val="0"/>
      <w:sz w:val="16"/>
      <w:szCs w:val="16"/>
    </w:rPr>
  </w:style>
  <w:style w:type="paragraph" w:styleId="Header">
    <w:name w:val="header"/>
    <w:basedOn w:val="Normal"/>
    <w:link w:val="HeaderChar"/>
    <w:uiPriority w:val="99"/>
    <w:unhideWhenUsed/>
    <w:rsid w:val="00194C1F"/>
    <w:pPr>
      <w:tabs>
        <w:tab w:val="center" w:pos="4680"/>
        <w:tab w:val="right" w:pos="9360"/>
      </w:tabs>
    </w:pPr>
  </w:style>
  <w:style w:type="character" w:customStyle="1" w:styleId="HeaderChar">
    <w:name w:val="Header Char"/>
    <w:basedOn w:val="DefaultParagraphFont"/>
    <w:link w:val="Header"/>
    <w:uiPriority w:val="99"/>
    <w:rsid w:val="00194C1F"/>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194C1F"/>
    <w:pPr>
      <w:tabs>
        <w:tab w:val="center" w:pos="4680"/>
        <w:tab w:val="right" w:pos="9360"/>
      </w:tabs>
    </w:pPr>
  </w:style>
  <w:style w:type="character" w:customStyle="1" w:styleId="FooterChar">
    <w:name w:val="Footer Char"/>
    <w:basedOn w:val="DefaultParagraphFont"/>
    <w:link w:val="Footer"/>
    <w:uiPriority w:val="99"/>
    <w:rsid w:val="00194C1F"/>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2BBC6-4B36-425A-B765-F3430BBAE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1550</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Diana</cp:lastModifiedBy>
  <cp:revision>7</cp:revision>
  <dcterms:created xsi:type="dcterms:W3CDTF">2018-02-28T13:01:00Z</dcterms:created>
  <dcterms:modified xsi:type="dcterms:W3CDTF">2018-11-03T14:35:00Z</dcterms:modified>
</cp:coreProperties>
</file>