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02" w:rsidRDefault="0077495A" w:rsidP="00227360">
      <w:pPr>
        <w:jc w:val="center"/>
        <w:rPr>
          <w:b/>
          <w:caps/>
          <w:sz w:val="28"/>
          <w:szCs w:val="28"/>
          <w:u w:val="single"/>
        </w:rPr>
      </w:pPr>
      <w:r w:rsidRPr="0017364D">
        <w:rPr>
          <w:b/>
          <w:caps/>
          <w:sz w:val="28"/>
          <w:szCs w:val="28"/>
          <w:u w:val="single"/>
        </w:rPr>
        <w:t xml:space="preserve">BILH Performance Network </w:t>
      </w:r>
      <w:r w:rsidR="00227360" w:rsidRPr="0017364D">
        <w:rPr>
          <w:b/>
          <w:caps/>
          <w:sz w:val="28"/>
          <w:szCs w:val="28"/>
          <w:u w:val="single"/>
        </w:rPr>
        <w:t>Practice Checklist</w:t>
      </w:r>
      <w:r w:rsidR="00144E02">
        <w:rPr>
          <w:b/>
          <w:caps/>
          <w:sz w:val="28"/>
          <w:szCs w:val="28"/>
          <w:u w:val="single"/>
        </w:rPr>
        <w:t xml:space="preserve"> </w:t>
      </w:r>
    </w:p>
    <w:p w:rsidR="00533803" w:rsidRDefault="004C5EE2" w:rsidP="00227360">
      <w:pPr>
        <w:jc w:val="center"/>
        <w:rPr>
          <w:b/>
          <w:caps/>
          <w:sz w:val="28"/>
          <w:szCs w:val="28"/>
          <w:u w:val="single"/>
        </w:rPr>
      </w:pPr>
      <w:r>
        <w:rPr>
          <w:b/>
          <w:caps/>
          <w:sz w:val="28"/>
          <w:szCs w:val="28"/>
          <w:u w:val="single"/>
        </w:rPr>
        <w:t>for the</w:t>
      </w:r>
      <w:r w:rsidR="00144E02">
        <w:rPr>
          <w:b/>
          <w:caps/>
          <w:sz w:val="28"/>
          <w:szCs w:val="28"/>
          <w:u w:val="single"/>
        </w:rPr>
        <w:t xml:space="preserve"> federal no surprises act and massachusetts patients first laws</w:t>
      </w:r>
    </w:p>
    <w:p w:rsidR="00F94660" w:rsidRPr="0017364D" w:rsidRDefault="00F94660" w:rsidP="00227360">
      <w:pPr>
        <w:jc w:val="center"/>
        <w:rPr>
          <w:b/>
          <w:caps/>
          <w:sz w:val="28"/>
          <w:szCs w:val="28"/>
          <w:u w:val="single"/>
        </w:rPr>
      </w:pPr>
    </w:p>
    <w:p w:rsidR="00227360" w:rsidRPr="003564DA" w:rsidRDefault="00227360" w:rsidP="004331A0">
      <w:pPr>
        <w:jc w:val="center"/>
        <w:rPr>
          <w:b/>
          <w:caps/>
          <w:sz w:val="24"/>
          <w:szCs w:val="24"/>
          <w:u w:val="single"/>
        </w:rPr>
      </w:pPr>
      <w:r w:rsidRPr="003564DA">
        <w:rPr>
          <w:b/>
          <w:caps/>
          <w:sz w:val="24"/>
          <w:szCs w:val="24"/>
          <w:u w:val="single"/>
        </w:rPr>
        <w:t>Readiness Assessment</w:t>
      </w:r>
    </w:p>
    <w:p w:rsidR="0077495A" w:rsidRDefault="00227360" w:rsidP="00227360">
      <w:pPr>
        <w:pStyle w:val="ListParagraph"/>
        <w:numPr>
          <w:ilvl w:val="0"/>
          <w:numId w:val="1"/>
        </w:numPr>
        <w:rPr>
          <w:sz w:val="24"/>
          <w:szCs w:val="24"/>
        </w:rPr>
      </w:pPr>
      <w:r w:rsidRPr="00BD0BDE">
        <w:rPr>
          <w:sz w:val="24"/>
          <w:szCs w:val="24"/>
        </w:rPr>
        <w:t>Ensure you are able to identify those health plans for which you do not have a contractual relationship (i.e</w:t>
      </w:r>
      <w:r w:rsidR="004331A0">
        <w:rPr>
          <w:sz w:val="24"/>
          <w:szCs w:val="24"/>
        </w:rPr>
        <w:t>.</w:t>
      </w:r>
      <w:r w:rsidRPr="00BD0BDE">
        <w:rPr>
          <w:sz w:val="24"/>
          <w:szCs w:val="24"/>
        </w:rPr>
        <w:t>, you are out of network).</w:t>
      </w:r>
      <w:r w:rsidR="0077495A">
        <w:rPr>
          <w:sz w:val="24"/>
          <w:szCs w:val="24"/>
        </w:rPr>
        <w:t xml:space="preserve"> </w:t>
      </w:r>
      <w:r w:rsidR="003564DA">
        <w:rPr>
          <w:sz w:val="24"/>
          <w:szCs w:val="24"/>
        </w:rPr>
        <w:t>The majority of the provisions of both laws seek to protect patients who receive items or services from an out-of-network health care provider.</w:t>
      </w:r>
    </w:p>
    <w:p w:rsidR="003564DA" w:rsidRDefault="003564DA" w:rsidP="003564DA">
      <w:pPr>
        <w:pStyle w:val="ListParagraph"/>
        <w:rPr>
          <w:sz w:val="24"/>
          <w:szCs w:val="24"/>
        </w:rPr>
      </w:pPr>
    </w:p>
    <w:p w:rsidR="0077495A" w:rsidRDefault="003564DA" w:rsidP="00227360">
      <w:pPr>
        <w:pStyle w:val="ListParagraph"/>
        <w:numPr>
          <w:ilvl w:val="0"/>
          <w:numId w:val="1"/>
        </w:numPr>
        <w:rPr>
          <w:sz w:val="24"/>
          <w:szCs w:val="24"/>
        </w:rPr>
      </w:pPr>
      <w:r>
        <w:rPr>
          <w:sz w:val="24"/>
          <w:szCs w:val="24"/>
        </w:rPr>
        <w:t>Ensure you have updated your website, posted signage, and provide written notices to patients</w:t>
      </w:r>
      <w:r w:rsidR="0077495A">
        <w:rPr>
          <w:sz w:val="24"/>
          <w:szCs w:val="24"/>
        </w:rPr>
        <w:t xml:space="preserve"> as described below.</w:t>
      </w:r>
    </w:p>
    <w:p w:rsidR="00635603" w:rsidRPr="00635603" w:rsidRDefault="00635603" w:rsidP="00635603">
      <w:pPr>
        <w:pStyle w:val="ListParagraph"/>
        <w:rPr>
          <w:sz w:val="24"/>
          <w:szCs w:val="24"/>
        </w:rPr>
      </w:pPr>
    </w:p>
    <w:p w:rsidR="00635603" w:rsidRDefault="00635603" w:rsidP="00227360">
      <w:pPr>
        <w:pStyle w:val="ListParagraph"/>
        <w:numPr>
          <w:ilvl w:val="0"/>
          <w:numId w:val="1"/>
        </w:numPr>
        <w:rPr>
          <w:sz w:val="24"/>
          <w:szCs w:val="24"/>
        </w:rPr>
      </w:pPr>
      <w:r>
        <w:rPr>
          <w:sz w:val="24"/>
          <w:szCs w:val="24"/>
        </w:rPr>
        <w:t xml:space="preserve">Train </w:t>
      </w:r>
      <w:r w:rsidR="00954DD8">
        <w:rPr>
          <w:sz w:val="24"/>
          <w:szCs w:val="24"/>
        </w:rPr>
        <w:t xml:space="preserve">your </w:t>
      </w:r>
      <w:r>
        <w:rPr>
          <w:sz w:val="24"/>
          <w:szCs w:val="24"/>
        </w:rPr>
        <w:t>scheduling staff on the specific obligations that apply at the time of scheduling.</w:t>
      </w:r>
    </w:p>
    <w:p w:rsidR="003564DA" w:rsidRPr="003564DA" w:rsidRDefault="003564DA" w:rsidP="003564DA">
      <w:pPr>
        <w:pStyle w:val="ListParagraph"/>
        <w:rPr>
          <w:sz w:val="24"/>
          <w:szCs w:val="24"/>
        </w:rPr>
      </w:pPr>
    </w:p>
    <w:p w:rsidR="0077495A" w:rsidRDefault="0077495A" w:rsidP="00227360">
      <w:pPr>
        <w:pStyle w:val="ListParagraph"/>
        <w:numPr>
          <w:ilvl w:val="0"/>
          <w:numId w:val="1"/>
        </w:numPr>
        <w:rPr>
          <w:sz w:val="24"/>
          <w:szCs w:val="24"/>
        </w:rPr>
      </w:pPr>
      <w:r>
        <w:rPr>
          <w:sz w:val="24"/>
          <w:szCs w:val="24"/>
        </w:rPr>
        <w:t xml:space="preserve">When in doubt as to whether </w:t>
      </w:r>
      <w:r w:rsidR="003564DA">
        <w:rPr>
          <w:sz w:val="24"/>
          <w:szCs w:val="24"/>
        </w:rPr>
        <w:t>a</w:t>
      </w:r>
      <w:r>
        <w:rPr>
          <w:sz w:val="24"/>
          <w:szCs w:val="24"/>
        </w:rPr>
        <w:t xml:space="preserve"> patient received the necessary disclosures and, if applicable, provided written consent, ensure you</w:t>
      </w:r>
      <w:r w:rsidR="006E4733">
        <w:rPr>
          <w:sz w:val="24"/>
          <w:szCs w:val="24"/>
        </w:rPr>
        <w:t xml:space="preserve">r billing staff do </w:t>
      </w:r>
      <w:r w:rsidR="0037799D">
        <w:rPr>
          <w:sz w:val="24"/>
          <w:szCs w:val="24"/>
        </w:rPr>
        <w:t>not</w:t>
      </w:r>
      <w:r>
        <w:rPr>
          <w:sz w:val="24"/>
          <w:szCs w:val="24"/>
        </w:rPr>
        <w:t xml:space="preserve"> </w:t>
      </w:r>
      <w:r w:rsidR="0037799D">
        <w:rPr>
          <w:sz w:val="24"/>
          <w:szCs w:val="24"/>
        </w:rPr>
        <w:t>balance bill the patient.</w:t>
      </w:r>
    </w:p>
    <w:p w:rsidR="003564DA" w:rsidRPr="003564DA" w:rsidRDefault="003564DA" w:rsidP="003564DA">
      <w:pPr>
        <w:pStyle w:val="ListParagraph"/>
        <w:rPr>
          <w:sz w:val="24"/>
          <w:szCs w:val="24"/>
        </w:rPr>
      </w:pPr>
    </w:p>
    <w:p w:rsidR="003564DA" w:rsidRDefault="003564DA" w:rsidP="003564DA">
      <w:pPr>
        <w:pStyle w:val="ListParagraph"/>
        <w:numPr>
          <w:ilvl w:val="0"/>
          <w:numId w:val="1"/>
        </w:numPr>
        <w:rPr>
          <w:sz w:val="24"/>
          <w:szCs w:val="24"/>
        </w:rPr>
      </w:pPr>
      <w:r w:rsidRPr="00BD0BDE">
        <w:rPr>
          <w:sz w:val="24"/>
          <w:szCs w:val="24"/>
        </w:rPr>
        <w:t>Ensure you are able to identify pat</w:t>
      </w:r>
      <w:r>
        <w:rPr>
          <w:sz w:val="24"/>
          <w:szCs w:val="24"/>
        </w:rPr>
        <w:t>ients who are uninsured or self-</w:t>
      </w:r>
      <w:r w:rsidR="00BF5879">
        <w:rPr>
          <w:sz w:val="24"/>
          <w:szCs w:val="24"/>
        </w:rPr>
        <w:t xml:space="preserve">pay and have the ability to provide </w:t>
      </w:r>
      <w:r w:rsidR="0037799D">
        <w:rPr>
          <w:sz w:val="24"/>
          <w:szCs w:val="24"/>
        </w:rPr>
        <w:t xml:space="preserve">them </w:t>
      </w:r>
      <w:r w:rsidR="00BF5879">
        <w:rPr>
          <w:sz w:val="24"/>
          <w:szCs w:val="24"/>
        </w:rPr>
        <w:t xml:space="preserve">a good faith estimate of expected charges. </w:t>
      </w:r>
    </w:p>
    <w:p w:rsidR="003564DA" w:rsidRPr="003564DA" w:rsidRDefault="003564DA" w:rsidP="003564DA">
      <w:pPr>
        <w:pStyle w:val="ListParagraph"/>
        <w:rPr>
          <w:sz w:val="24"/>
          <w:szCs w:val="24"/>
        </w:rPr>
      </w:pPr>
    </w:p>
    <w:p w:rsidR="003564DA" w:rsidRDefault="00150B0C" w:rsidP="003564DA">
      <w:pPr>
        <w:pStyle w:val="ListParagraph"/>
        <w:numPr>
          <w:ilvl w:val="0"/>
          <w:numId w:val="1"/>
        </w:numPr>
        <w:rPr>
          <w:sz w:val="24"/>
          <w:szCs w:val="24"/>
        </w:rPr>
      </w:pPr>
      <w:r>
        <w:rPr>
          <w:sz w:val="24"/>
          <w:szCs w:val="24"/>
        </w:rPr>
        <w:t>Prepare to engage in the patient-provider dispute resolution process</w:t>
      </w:r>
      <w:r w:rsidR="00954DD8">
        <w:rPr>
          <w:sz w:val="24"/>
          <w:szCs w:val="24"/>
        </w:rPr>
        <w:t>.</w:t>
      </w:r>
    </w:p>
    <w:p w:rsidR="00954DD8" w:rsidRPr="00954DD8" w:rsidRDefault="00954DD8" w:rsidP="00954DD8">
      <w:pPr>
        <w:pStyle w:val="ListParagraph"/>
        <w:rPr>
          <w:sz w:val="24"/>
          <w:szCs w:val="24"/>
        </w:rPr>
      </w:pPr>
    </w:p>
    <w:p w:rsidR="00954DD8" w:rsidRDefault="00954DD8" w:rsidP="00954DD8">
      <w:pPr>
        <w:pStyle w:val="ListParagraph"/>
        <w:numPr>
          <w:ilvl w:val="0"/>
          <w:numId w:val="1"/>
        </w:numPr>
        <w:rPr>
          <w:sz w:val="24"/>
          <w:szCs w:val="24"/>
        </w:rPr>
      </w:pPr>
      <w:r>
        <w:rPr>
          <w:sz w:val="24"/>
          <w:szCs w:val="24"/>
        </w:rPr>
        <w:t xml:space="preserve">Confirm the network status of other providers to which you typically refer patients so the necessary disclosures </w:t>
      </w:r>
      <w:r w:rsidR="00C64353">
        <w:rPr>
          <w:sz w:val="24"/>
          <w:szCs w:val="24"/>
        </w:rPr>
        <w:t xml:space="preserve">may be </w:t>
      </w:r>
      <w:r>
        <w:rPr>
          <w:sz w:val="24"/>
          <w:szCs w:val="24"/>
        </w:rPr>
        <w:t xml:space="preserve">made as described below. </w:t>
      </w:r>
    </w:p>
    <w:p w:rsidR="00BD00BD" w:rsidRPr="00BD00BD" w:rsidRDefault="00BD00BD" w:rsidP="00BD00BD">
      <w:pPr>
        <w:pStyle w:val="ListParagraph"/>
        <w:rPr>
          <w:sz w:val="24"/>
          <w:szCs w:val="24"/>
        </w:rPr>
      </w:pPr>
    </w:p>
    <w:p w:rsidR="00BD00BD" w:rsidRDefault="00BD00BD" w:rsidP="00954DD8">
      <w:pPr>
        <w:pStyle w:val="ListParagraph"/>
        <w:numPr>
          <w:ilvl w:val="0"/>
          <w:numId w:val="1"/>
        </w:numPr>
        <w:rPr>
          <w:sz w:val="24"/>
          <w:szCs w:val="24"/>
        </w:rPr>
      </w:pPr>
      <w:r>
        <w:rPr>
          <w:sz w:val="24"/>
          <w:szCs w:val="24"/>
        </w:rPr>
        <w:t>Retain records of the patient notice and consent to balance bill or good faith estimate.</w:t>
      </w:r>
    </w:p>
    <w:p w:rsidR="00FD3D50" w:rsidRDefault="00FD3D50" w:rsidP="00FD3D50">
      <w:pPr>
        <w:jc w:val="center"/>
        <w:rPr>
          <w:b/>
          <w:sz w:val="24"/>
          <w:szCs w:val="24"/>
        </w:rPr>
      </w:pPr>
      <w:r w:rsidRPr="00FD3D50">
        <w:rPr>
          <w:b/>
          <w:sz w:val="24"/>
          <w:szCs w:val="24"/>
        </w:rPr>
        <w:t>***</w:t>
      </w:r>
    </w:p>
    <w:p w:rsidR="006046C2" w:rsidRDefault="006046C2" w:rsidP="00FD3D50">
      <w:pPr>
        <w:jc w:val="center"/>
        <w:rPr>
          <w:b/>
          <w:sz w:val="24"/>
          <w:szCs w:val="24"/>
        </w:rPr>
        <w:sectPr w:rsidR="006046C2">
          <w:footerReference w:type="default" r:id="rId8"/>
          <w:pgSz w:w="12240" w:h="15840"/>
          <w:pgMar w:top="1440" w:right="1440" w:bottom="1440" w:left="1440" w:header="720" w:footer="720" w:gutter="0"/>
          <w:cols w:space="720"/>
          <w:docGrid w:linePitch="360"/>
        </w:sectPr>
      </w:pPr>
    </w:p>
    <w:p w:rsidR="00E17B44" w:rsidRPr="00BD0BDE" w:rsidRDefault="000E131E" w:rsidP="000E131E">
      <w:pPr>
        <w:rPr>
          <w:sz w:val="24"/>
          <w:szCs w:val="24"/>
        </w:rPr>
      </w:pPr>
      <w:r w:rsidRPr="00BD0BDE">
        <w:rPr>
          <w:sz w:val="24"/>
          <w:szCs w:val="24"/>
        </w:rPr>
        <w:lastRenderedPageBreak/>
        <w:t>All health care providers have the following obligations</w:t>
      </w:r>
      <w:r w:rsidR="00BD0BDE">
        <w:rPr>
          <w:sz w:val="24"/>
          <w:szCs w:val="24"/>
        </w:rPr>
        <w:t xml:space="preserve"> under the federal and Massachusetts laws</w:t>
      </w:r>
      <w:r w:rsidRPr="00BD0BDE">
        <w:rPr>
          <w:sz w:val="24"/>
          <w:szCs w:val="24"/>
        </w:rPr>
        <w:t>:</w:t>
      </w:r>
    </w:p>
    <w:p w:rsidR="008B667A" w:rsidRDefault="008B667A" w:rsidP="008B667A">
      <w:pPr>
        <w:jc w:val="center"/>
        <w:rPr>
          <w:b/>
          <w:caps/>
          <w:sz w:val="24"/>
          <w:szCs w:val="24"/>
          <w:u w:val="single"/>
        </w:rPr>
      </w:pPr>
      <w:r>
        <w:rPr>
          <w:b/>
          <w:caps/>
          <w:sz w:val="24"/>
          <w:szCs w:val="24"/>
          <w:u w:val="single"/>
        </w:rPr>
        <w:t xml:space="preserve">scheduling obligations </w:t>
      </w:r>
      <w:r w:rsidR="008762B4">
        <w:rPr>
          <w:b/>
          <w:caps/>
          <w:sz w:val="24"/>
          <w:szCs w:val="24"/>
          <w:u w:val="single"/>
        </w:rPr>
        <w:t xml:space="preserve">FOR NON-EMERGENCY SERVICES </w:t>
      </w:r>
      <w:r>
        <w:rPr>
          <w:b/>
          <w:caps/>
          <w:sz w:val="24"/>
          <w:szCs w:val="24"/>
          <w:u w:val="single"/>
        </w:rPr>
        <w:t>under massachusetts patients first law</w:t>
      </w:r>
      <w:r w:rsidR="00835E01">
        <w:rPr>
          <w:b/>
          <w:caps/>
          <w:sz w:val="24"/>
          <w:szCs w:val="24"/>
          <w:u w:val="single"/>
        </w:rPr>
        <w:t>*</w:t>
      </w:r>
    </w:p>
    <w:p w:rsidR="004F1DE0" w:rsidRPr="004F1DE0" w:rsidRDefault="008B667A" w:rsidP="004F1DE0">
      <w:pPr>
        <w:pStyle w:val="ListParagraph"/>
        <w:numPr>
          <w:ilvl w:val="0"/>
          <w:numId w:val="3"/>
        </w:numPr>
        <w:rPr>
          <w:caps/>
          <w:sz w:val="24"/>
          <w:szCs w:val="24"/>
        </w:rPr>
      </w:pPr>
      <w:r>
        <w:rPr>
          <w:sz w:val="24"/>
          <w:szCs w:val="24"/>
          <w:u w:val="single"/>
        </w:rPr>
        <w:t>Disclose Network Status</w:t>
      </w:r>
      <w:r w:rsidRPr="008B667A">
        <w:rPr>
          <w:sz w:val="24"/>
          <w:szCs w:val="24"/>
        </w:rPr>
        <w:t xml:space="preserve">. </w:t>
      </w:r>
      <w:r>
        <w:rPr>
          <w:sz w:val="24"/>
          <w:szCs w:val="24"/>
        </w:rPr>
        <w:t xml:space="preserve">At the time of scheduling, inform all insured patients whether you </w:t>
      </w:r>
      <w:r w:rsidR="004F1DE0">
        <w:rPr>
          <w:sz w:val="24"/>
          <w:szCs w:val="24"/>
        </w:rPr>
        <w:t>participate</w:t>
      </w:r>
      <w:r>
        <w:rPr>
          <w:sz w:val="24"/>
          <w:szCs w:val="24"/>
        </w:rPr>
        <w:t xml:space="preserve"> in their health plan’s network or not. </w:t>
      </w:r>
    </w:p>
    <w:p w:rsidR="004F1DE0" w:rsidRPr="004F1DE0" w:rsidRDefault="004F1DE0" w:rsidP="004F1DE0">
      <w:pPr>
        <w:pStyle w:val="ListParagraph"/>
        <w:rPr>
          <w:caps/>
          <w:sz w:val="24"/>
          <w:szCs w:val="24"/>
        </w:rPr>
      </w:pPr>
    </w:p>
    <w:p w:rsidR="004F1DE0" w:rsidRPr="004F1DE0" w:rsidRDefault="008B667A" w:rsidP="004F1DE0">
      <w:pPr>
        <w:pStyle w:val="ListParagraph"/>
        <w:numPr>
          <w:ilvl w:val="0"/>
          <w:numId w:val="3"/>
        </w:numPr>
        <w:rPr>
          <w:caps/>
          <w:sz w:val="24"/>
          <w:szCs w:val="24"/>
        </w:rPr>
      </w:pPr>
      <w:r w:rsidRPr="004F1DE0">
        <w:rPr>
          <w:sz w:val="24"/>
          <w:szCs w:val="24"/>
          <w:u w:val="single"/>
        </w:rPr>
        <w:t>In-Network</w:t>
      </w:r>
      <w:r w:rsidRPr="004F1DE0">
        <w:rPr>
          <w:sz w:val="24"/>
          <w:szCs w:val="24"/>
        </w:rPr>
        <w:t xml:space="preserve">. If you are in-network, inform </w:t>
      </w:r>
      <w:r w:rsidR="004F1DE0" w:rsidRPr="004F1DE0">
        <w:rPr>
          <w:sz w:val="24"/>
          <w:szCs w:val="24"/>
        </w:rPr>
        <w:t xml:space="preserve">the patient that </w:t>
      </w:r>
      <w:r w:rsidR="004C5EE2">
        <w:rPr>
          <w:sz w:val="24"/>
          <w:szCs w:val="24"/>
        </w:rPr>
        <w:t>they</w:t>
      </w:r>
      <w:r w:rsidR="004F1DE0" w:rsidRPr="004F1DE0">
        <w:rPr>
          <w:sz w:val="24"/>
          <w:szCs w:val="24"/>
        </w:rPr>
        <w:t xml:space="preserve"> may request disclosure of the allowed amount (including any applicable facility fee) and may obtain additional information on their out of pocket costs from their health plan.</w:t>
      </w:r>
    </w:p>
    <w:p w:rsidR="004F1DE0" w:rsidRPr="004F1DE0" w:rsidRDefault="004F1DE0" w:rsidP="004F1DE0">
      <w:pPr>
        <w:pStyle w:val="ListParagraph"/>
        <w:rPr>
          <w:sz w:val="24"/>
          <w:szCs w:val="24"/>
          <w:u w:val="single"/>
        </w:rPr>
      </w:pPr>
    </w:p>
    <w:p w:rsidR="00FC00AD" w:rsidRPr="00FC00AD" w:rsidRDefault="008B667A" w:rsidP="004F1DE0">
      <w:pPr>
        <w:pStyle w:val="ListParagraph"/>
        <w:numPr>
          <w:ilvl w:val="0"/>
          <w:numId w:val="3"/>
        </w:numPr>
        <w:rPr>
          <w:caps/>
          <w:sz w:val="24"/>
          <w:szCs w:val="24"/>
        </w:rPr>
      </w:pPr>
      <w:r w:rsidRPr="004F1DE0">
        <w:rPr>
          <w:sz w:val="24"/>
          <w:szCs w:val="24"/>
          <w:u w:val="single"/>
        </w:rPr>
        <w:t>Out-of-Network</w:t>
      </w:r>
      <w:r w:rsidRPr="004F1DE0">
        <w:rPr>
          <w:sz w:val="24"/>
          <w:szCs w:val="24"/>
        </w:rPr>
        <w:t xml:space="preserve">. </w:t>
      </w:r>
      <w:r w:rsidR="00FC00AD">
        <w:rPr>
          <w:sz w:val="24"/>
          <w:szCs w:val="24"/>
        </w:rPr>
        <w:t>If you are out-of-network, you must:</w:t>
      </w:r>
    </w:p>
    <w:p w:rsidR="00FC00AD" w:rsidRPr="00FC00AD" w:rsidRDefault="00FC00AD" w:rsidP="00FC00AD">
      <w:pPr>
        <w:pStyle w:val="ListParagraph"/>
        <w:rPr>
          <w:sz w:val="24"/>
          <w:szCs w:val="24"/>
        </w:rPr>
      </w:pPr>
    </w:p>
    <w:p w:rsidR="008B667A" w:rsidRDefault="004F1DE0" w:rsidP="00FC00AD">
      <w:pPr>
        <w:pStyle w:val="ListParagraph"/>
        <w:numPr>
          <w:ilvl w:val="1"/>
          <w:numId w:val="3"/>
        </w:numPr>
        <w:rPr>
          <w:sz w:val="24"/>
          <w:szCs w:val="24"/>
        </w:rPr>
      </w:pPr>
      <w:r w:rsidRPr="004F1DE0">
        <w:rPr>
          <w:sz w:val="24"/>
          <w:szCs w:val="24"/>
        </w:rPr>
        <w:t>inform the p</w:t>
      </w:r>
      <w:r w:rsidRPr="00FC00AD">
        <w:rPr>
          <w:sz w:val="24"/>
          <w:szCs w:val="24"/>
        </w:rPr>
        <w:t xml:space="preserve">atient of the expected charges for the service, that the patient is responsible for the amount of any charges not covered by the patient’s health plan, and that the patient may be able to obtain the service </w:t>
      </w:r>
      <w:r w:rsidR="004C5EE2">
        <w:rPr>
          <w:sz w:val="24"/>
          <w:szCs w:val="24"/>
        </w:rPr>
        <w:t xml:space="preserve">from </w:t>
      </w:r>
      <w:r w:rsidR="00FC00AD" w:rsidRPr="00FC00AD">
        <w:rPr>
          <w:sz w:val="24"/>
          <w:szCs w:val="24"/>
        </w:rPr>
        <w:t>an in-network provider</w:t>
      </w:r>
      <w:r w:rsidR="004C5EE2">
        <w:rPr>
          <w:sz w:val="24"/>
          <w:szCs w:val="24"/>
        </w:rPr>
        <w:t xml:space="preserve"> at</w:t>
      </w:r>
      <w:r w:rsidR="004C5EE2" w:rsidRPr="00FC00AD">
        <w:rPr>
          <w:sz w:val="24"/>
          <w:szCs w:val="24"/>
        </w:rPr>
        <w:t xml:space="preserve"> a lower charge by</w:t>
      </w:r>
      <w:r w:rsidR="00FC00AD" w:rsidRPr="00FC00AD">
        <w:rPr>
          <w:sz w:val="24"/>
          <w:szCs w:val="24"/>
        </w:rPr>
        <w:t xml:space="preserve">; </w:t>
      </w:r>
      <w:r w:rsidR="00FC00AD">
        <w:rPr>
          <w:sz w:val="24"/>
          <w:szCs w:val="24"/>
        </w:rPr>
        <w:t>and</w:t>
      </w:r>
    </w:p>
    <w:p w:rsidR="00FC00AD" w:rsidRPr="00FC00AD" w:rsidRDefault="00FC00AD" w:rsidP="00FC00AD">
      <w:pPr>
        <w:pStyle w:val="ListParagraph"/>
        <w:ind w:left="1440"/>
        <w:rPr>
          <w:sz w:val="24"/>
          <w:szCs w:val="24"/>
        </w:rPr>
      </w:pPr>
    </w:p>
    <w:p w:rsidR="00FC00AD" w:rsidRDefault="00FC00AD" w:rsidP="00FC00AD">
      <w:pPr>
        <w:pStyle w:val="ListParagraph"/>
        <w:numPr>
          <w:ilvl w:val="1"/>
          <w:numId w:val="3"/>
        </w:numPr>
        <w:rPr>
          <w:sz w:val="24"/>
          <w:szCs w:val="24"/>
        </w:rPr>
      </w:pPr>
      <w:proofErr w:type="gramStart"/>
      <w:r w:rsidRPr="00FC00AD">
        <w:rPr>
          <w:sz w:val="24"/>
          <w:szCs w:val="24"/>
        </w:rPr>
        <w:t>re-inforce</w:t>
      </w:r>
      <w:proofErr w:type="gramEnd"/>
      <w:r w:rsidRPr="00FC00AD">
        <w:rPr>
          <w:sz w:val="24"/>
          <w:szCs w:val="24"/>
        </w:rPr>
        <w:t xml:space="preserve"> the initial notification made </w:t>
      </w:r>
      <w:r w:rsidR="00896C4C">
        <w:rPr>
          <w:sz w:val="24"/>
          <w:szCs w:val="24"/>
        </w:rPr>
        <w:t xml:space="preserve">to the patient </w:t>
      </w:r>
      <w:r w:rsidRPr="00FC00AD">
        <w:rPr>
          <w:sz w:val="24"/>
          <w:szCs w:val="24"/>
        </w:rPr>
        <w:t xml:space="preserve">at the time of scheduling in </w:t>
      </w:r>
      <w:r w:rsidRPr="005D752C">
        <w:rPr>
          <w:i/>
          <w:sz w:val="24"/>
          <w:szCs w:val="24"/>
        </w:rPr>
        <w:t>writing and verbally</w:t>
      </w:r>
      <w:r>
        <w:rPr>
          <w:sz w:val="24"/>
          <w:szCs w:val="24"/>
        </w:rPr>
        <w:t xml:space="preserve"> not less than 7 days before the date of service.</w:t>
      </w:r>
      <w:r>
        <w:rPr>
          <w:rStyle w:val="FootnoteReference"/>
          <w:sz w:val="24"/>
          <w:szCs w:val="24"/>
        </w:rPr>
        <w:footnoteReference w:id="1"/>
      </w:r>
      <w:r w:rsidR="008762B4">
        <w:rPr>
          <w:sz w:val="24"/>
          <w:szCs w:val="24"/>
        </w:rPr>
        <w:t xml:space="preserve"> If you fail to provide this written and verbal notification, you must bill the patient as you would a patient for whom you are in-network.  </w:t>
      </w:r>
    </w:p>
    <w:p w:rsidR="004E2605" w:rsidRPr="004E2605" w:rsidRDefault="004E2605" w:rsidP="004E2605">
      <w:pPr>
        <w:jc w:val="center"/>
        <w:rPr>
          <w:b/>
          <w:caps/>
          <w:sz w:val="24"/>
          <w:szCs w:val="24"/>
          <w:u w:val="single"/>
        </w:rPr>
      </w:pPr>
      <w:r>
        <w:rPr>
          <w:b/>
          <w:caps/>
          <w:sz w:val="24"/>
          <w:szCs w:val="24"/>
          <w:u w:val="single"/>
        </w:rPr>
        <w:t>REFERRAL</w:t>
      </w:r>
      <w:r w:rsidRPr="004E2605">
        <w:rPr>
          <w:b/>
          <w:caps/>
          <w:sz w:val="24"/>
          <w:szCs w:val="24"/>
          <w:u w:val="single"/>
        </w:rPr>
        <w:t xml:space="preserve"> obligations under massachusetts patients first law</w:t>
      </w:r>
    </w:p>
    <w:p w:rsidR="00A04CEB" w:rsidRPr="00A04CEB" w:rsidRDefault="00A04CEB" w:rsidP="00A04CEB">
      <w:pPr>
        <w:pStyle w:val="ListParagraph"/>
        <w:numPr>
          <w:ilvl w:val="0"/>
          <w:numId w:val="4"/>
        </w:numPr>
        <w:rPr>
          <w:b/>
          <w:sz w:val="24"/>
          <w:szCs w:val="24"/>
          <w:u w:val="single"/>
        </w:rPr>
      </w:pPr>
      <w:r w:rsidRPr="00A04CEB">
        <w:rPr>
          <w:sz w:val="24"/>
          <w:szCs w:val="24"/>
        </w:rPr>
        <w:t>If you refer a patient to another provider</w:t>
      </w:r>
      <w:r>
        <w:rPr>
          <w:sz w:val="24"/>
          <w:szCs w:val="24"/>
        </w:rPr>
        <w:t xml:space="preserve">, you must disclose if that provider is part of the same contracting entity as you (e.g., same PHO, same IPA, etc.), the possibility that the provider to whom you are referring the patient does not participate in the patient’s health plan and that, if so, out-of-network rates may apply, and that the patient has the opportunity to verify the provider’s network status and the patient’s out of pocket costs with the patient’s health plan. </w:t>
      </w:r>
    </w:p>
    <w:p w:rsidR="00A04CEB" w:rsidRPr="00A04CEB" w:rsidRDefault="00A04CEB" w:rsidP="00A04CEB">
      <w:pPr>
        <w:pStyle w:val="ListParagraph"/>
        <w:rPr>
          <w:b/>
          <w:sz w:val="24"/>
          <w:szCs w:val="24"/>
          <w:u w:val="single"/>
        </w:rPr>
      </w:pPr>
    </w:p>
    <w:p w:rsidR="00A04CEB" w:rsidRPr="00A04CEB" w:rsidRDefault="00A04CEB" w:rsidP="00A04CEB">
      <w:pPr>
        <w:pStyle w:val="ListParagraph"/>
        <w:numPr>
          <w:ilvl w:val="0"/>
          <w:numId w:val="4"/>
        </w:numPr>
        <w:rPr>
          <w:b/>
          <w:sz w:val="24"/>
          <w:szCs w:val="24"/>
          <w:u w:val="single"/>
        </w:rPr>
      </w:pPr>
      <w:r>
        <w:rPr>
          <w:sz w:val="24"/>
          <w:szCs w:val="24"/>
        </w:rPr>
        <w:t xml:space="preserve">If you directly schedule, order or arrange for a service on a patient’s behalf, you must verify whether the provider to whom you are referring the patient participates in the patient’s health plan </w:t>
      </w:r>
      <w:r>
        <w:rPr>
          <w:sz w:val="24"/>
          <w:szCs w:val="24"/>
          <w:u w:val="single"/>
        </w:rPr>
        <w:t>and</w:t>
      </w:r>
      <w:r>
        <w:rPr>
          <w:sz w:val="24"/>
          <w:szCs w:val="24"/>
        </w:rPr>
        <w:t xml:space="preserve"> notify the patient if the provider is out-of-network or if the provider’s network status cannot be verified. </w:t>
      </w:r>
    </w:p>
    <w:p w:rsidR="00E17B44" w:rsidRPr="000C03AE" w:rsidRDefault="00E17B44" w:rsidP="00FB62D6">
      <w:pPr>
        <w:jc w:val="center"/>
        <w:rPr>
          <w:b/>
          <w:caps/>
          <w:sz w:val="24"/>
          <w:szCs w:val="24"/>
          <w:u w:val="single"/>
        </w:rPr>
      </w:pPr>
      <w:r w:rsidRPr="000C03AE">
        <w:rPr>
          <w:b/>
          <w:caps/>
          <w:sz w:val="24"/>
          <w:szCs w:val="24"/>
          <w:u w:val="single"/>
        </w:rPr>
        <w:t>Good Faith Estimate Requirement for Uninsured or Self Pay Patients under the Federal No Surprises Act</w:t>
      </w:r>
    </w:p>
    <w:p w:rsidR="00E17B44" w:rsidRPr="00BD0BDE" w:rsidRDefault="00F02C4D" w:rsidP="000E131E">
      <w:pPr>
        <w:pStyle w:val="ListParagraph"/>
        <w:numPr>
          <w:ilvl w:val="0"/>
          <w:numId w:val="2"/>
        </w:numPr>
        <w:rPr>
          <w:sz w:val="24"/>
          <w:szCs w:val="24"/>
        </w:rPr>
      </w:pPr>
      <w:r w:rsidRPr="00BD0BDE">
        <w:rPr>
          <w:sz w:val="24"/>
          <w:szCs w:val="24"/>
          <w:u w:val="single"/>
        </w:rPr>
        <w:t xml:space="preserve">Written </w:t>
      </w:r>
      <w:r w:rsidR="00AB7A5A">
        <w:rPr>
          <w:sz w:val="24"/>
          <w:szCs w:val="24"/>
          <w:u w:val="single"/>
        </w:rPr>
        <w:t xml:space="preserve">&amp; Verbal </w:t>
      </w:r>
      <w:r w:rsidR="00E17B44" w:rsidRPr="00BD0BDE">
        <w:rPr>
          <w:sz w:val="24"/>
          <w:szCs w:val="24"/>
          <w:u w:val="single"/>
        </w:rPr>
        <w:t>Disclosure Requirements</w:t>
      </w:r>
      <w:r w:rsidR="00E17B44" w:rsidRPr="00BD0BDE">
        <w:rPr>
          <w:sz w:val="24"/>
          <w:szCs w:val="24"/>
        </w:rPr>
        <w:t xml:space="preserve">. </w:t>
      </w:r>
    </w:p>
    <w:p w:rsidR="00E17B44" w:rsidRPr="00BD0BDE" w:rsidRDefault="00E17B44" w:rsidP="00E17B44">
      <w:pPr>
        <w:pStyle w:val="ListParagraph"/>
        <w:numPr>
          <w:ilvl w:val="1"/>
          <w:numId w:val="2"/>
        </w:numPr>
        <w:rPr>
          <w:sz w:val="24"/>
          <w:szCs w:val="24"/>
        </w:rPr>
      </w:pPr>
      <w:r w:rsidRPr="00BD0BDE">
        <w:rPr>
          <w:sz w:val="24"/>
          <w:szCs w:val="24"/>
        </w:rPr>
        <w:t xml:space="preserve">Must </w:t>
      </w:r>
      <w:hyperlink r:id="rId9" w:history="1">
        <w:r w:rsidRPr="00213552">
          <w:rPr>
            <w:rStyle w:val="Hyperlink"/>
            <w:sz w:val="24"/>
            <w:szCs w:val="24"/>
          </w:rPr>
          <w:t>post information on the availability of a good faith estimate</w:t>
        </w:r>
      </w:hyperlink>
      <w:r w:rsidRPr="00BD0BDE">
        <w:rPr>
          <w:sz w:val="24"/>
          <w:szCs w:val="24"/>
        </w:rPr>
        <w:t xml:space="preserve"> on your website, in your office, and on-site where scheduling or questions about the cost of items and services occur. </w:t>
      </w:r>
    </w:p>
    <w:p w:rsidR="00E17B44" w:rsidRPr="00BD0BDE" w:rsidRDefault="00E17B44" w:rsidP="00E17B44">
      <w:pPr>
        <w:pStyle w:val="ListParagraph"/>
        <w:numPr>
          <w:ilvl w:val="1"/>
          <w:numId w:val="2"/>
        </w:numPr>
        <w:rPr>
          <w:sz w:val="24"/>
          <w:szCs w:val="24"/>
        </w:rPr>
      </w:pPr>
      <w:r w:rsidRPr="00BD0BDE">
        <w:rPr>
          <w:sz w:val="24"/>
          <w:szCs w:val="24"/>
        </w:rPr>
        <w:t xml:space="preserve">At the time of scheduling or upon a patient’s request, </w:t>
      </w:r>
      <w:r w:rsidR="00F02C4D" w:rsidRPr="00BD0BDE">
        <w:rPr>
          <w:sz w:val="24"/>
          <w:szCs w:val="24"/>
        </w:rPr>
        <w:t>you must verball</w:t>
      </w:r>
      <w:r w:rsidR="005F0028">
        <w:rPr>
          <w:sz w:val="24"/>
          <w:szCs w:val="24"/>
        </w:rPr>
        <w:t>y</w:t>
      </w:r>
      <w:r w:rsidR="00F02C4D" w:rsidRPr="00BD0BDE">
        <w:rPr>
          <w:sz w:val="24"/>
          <w:szCs w:val="24"/>
        </w:rPr>
        <w:t xml:space="preserve"> </w:t>
      </w:r>
      <w:r w:rsidRPr="00BD0BDE">
        <w:rPr>
          <w:sz w:val="24"/>
          <w:szCs w:val="24"/>
        </w:rPr>
        <w:t>inform the uninsured or self-pay patient of the availability of a good faith estimate</w:t>
      </w:r>
      <w:r w:rsidR="00F02C4D" w:rsidRPr="00BD0BDE">
        <w:rPr>
          <w:sz w:val="24"/>
          <w:szCs w:val="24"/>
        </w:rPr>
        <w:t xml:space="preserve"> of expected charges</w:t>
      </w:r>
      <w:r w:rsidRPr="00BD0BDE">
        <w:rPr>
          <w:sz w:val="24"/>
          <w:szCs w:val="24"/>
        </w:rPr>
        <w:t xml:space="preserve">.   </w:t>
      </w:r>
    </w:p>
    <w:p w:rsidR="005D752C" w:rsidRDefault="000E131E" w:rsidP="00990811">
      <w:pPr>
        <w:pStyle w:val="ListParagraph"/>
        <w:numPr>
          <w:ilvl w:val="0"/>
          <w:numId w:val="2"/>
        </w:numPr>
        <w:rPr>
          <w:sz w:val="24"/>
          <w:szCs w:val="24"/>
        </w:rPr>
      </w:pPr>
      <w:r w:rsidRPr="00BD0BDE">
        <w:rPr>
          <w:sz w:val="24"/>
          <w:szCs w:val="24"/>
        </w:rPr>
        <w:t xml:space="preserve">Provide a </w:t>
      </w:r>
      <w:hyperlink r:id="rId10" w:history="1">
        <w:r w:rsidRPr="00BD0BDE">
          <w:rPr>
            <w:rStyle w:val="Hyperlink"/>
            <w:sz w:val="24"/>
            <w:szCs w:val="24"/>
          </w:rPr>
          <w:t>good faith estimate</w:t>
        </w:r>
      </w:hyperlink>
      <w:r w:rsidRPr="00BD0BDE">
        <w:rPr>
          <w:sz w:val="24"/>
          <w:szCs w:val="24"/>
        </w:rPr>
        <w:t xml:space="preserve"> </w:t>
      </w:r>
      <w:r w:rsidR="00EC3AB2" w:rsidRPr="00BD0BDE">
        <w:rPr>
          <w:sz w:val="24"/>
          <w:szCs w:val="24"/>
        </w:rPr>
        <w:t>of expected charge</w:t>
      </w:r>
      <w:r w:rsidR="00472366">
        <w:rPr>
          <w:sz w:val="24"/>
          <w:szCs w:val="24"/>
        </w:rPr>
        <w:t>s</w:t>
      </w:r>
      <w:r w:rsidR="00EC3AB2" w:rsidRPr="00BD0BDE">
        <w:rPr>
          <w:sz w:val="24"/>
          <w:szCs w:val="24"/>
        </w:rPr>
        <w:t xml:space="preserve"> </w:t>
      </w:r>
      <w:r w:rsidR="00472366">
        <w:rPr>
          <w:sz w:val="24"/>
          <w:szCs w:val="24"/>
        </w:rPr>
        <w:t>to uninsured and self-</w:t>
      </w:r>
      <w:r w:rsidRPr="00BD0BDE">
        <w:rPr>
          <w:sz w:val="24"/>
          <w:szCs w:val="24"/>
        </w:rPr>
        <w:t>pay patients</w:t>
      </w:r>
      <w:r w:rsidR="005F0028">
        <w:rPr>
          <w:sz w:val="24"/>
          <w:szCs w:val="24"/>
        </w:rPr>
        <w:t xml:space="preserve"> via paper or electronic delivery within 3 busines</w:t>
      </w:r>
      <w:r w:rsidR="00990811">
        <w:rPr>
          <w:sz w:val="24"/>
          <w:szCs w:val="24"/>
        </w:rPr>
        <w:t>s days of scheduling or request</w:t>
      </w:r>
      <w:r w:rsidR="00472366">
        <w:rPr>
          <w:rStyle w:val="FootnoteReference"/>
          <w:sz w:val="24"/>
          <w:szCs w:val="24"/>
        </w:rPr>
        <w:footnoteReference w:id="2"/>
      </w:r>
      <w:r w:rsidRPr="00BD0BDE">
        <w:rPr>
          <w:sz w:val="24"/>
          <w:szCs w:val="24"/>
        </w:rPr>
        <w:t>.</w:t>
      </w:r>
      <w:r w:rsidR="00472366">
        <w:rPr>
          <w:sz w:val="24"/>
          <w:szCs w:val="24"/>
        </w:rPr>
        <w:t xml:space="preserve"> </w:t>
      </w:r>
      <w:r w:rsidR="005D752C">
        <w:rPr>
          <w:sz w:val="24"/>
          <w:szCs w:val="24"/>
        </w:rPr>
        <w:t xml:space="preserve"> </w:t>
      </w:r>
    </w:p>
    <w:p w:rsidR="00472366" w:rsidRDefault="005D752C" w:rsidP="005D752C">
      <w:pPr>
        <w:pStyle w:val="ListParagraph"/>
        <w:numPr>
          <w:ilvl w:val="1"/>
          <w:numId w:val="2"/>
        </w:numPr>
        <w:rPr>
          <w:sz w:val="24"/>
          <w:szCs w:val="24"/>
        </w:rPr>
      </w:pPr>
      <w:r>
        <w:rPr>
          <w:sz w:val="24"/>
          <w:szCs w:val="24"/>
        </w:rPr>
        <w:t xml:space="preserve">If you are the scheduling provider, the good faith estimate must include the expected charges from other providers and facilities involved in the patient’s care effective January 1, 2023. </w:t>
      </w:r>
    </w:p>
    <w:p w:rsidR="000C03AE" w:rsidRDefault="000C03AE" w:rsidP="00990811">
      <w:pPr>
        <w:pStyle w:val="ListParagraph"/>
        <w:numPr>
          <w:ilvl w:val="0"/>
          <w:numId w:val="2"/>
        </w:numPr>
        <w:rPr>
          <w:sz w:val="24"/>
          <w:szCs w:val="24"/>
        </w:rPr>
      </w:pPr>
      <w:r>
        <w:rPr>
          <w:sz w:val="24"/>
          <w:szCs w:val="24"/>
        </w:rPr>
        <w:t xml:space="preserve">Provide an updated good faith estimate to an uninsured or self-pay patient if there any changes anticipated up to 1 day before the date of service. </w:t>
      </w:r>
    </w:p>
    <w:p w:rsidR="00F02C4D" w:rsidRDefault="00F02C4D" w:rsidP="000E131E">
      <w:pPr>
        <w:pStyle w:val="ListParagraph"/>
        <w:numPr>
          <w:ilvl w:val="0"/>
          <w:numId w:val="2"/>
        </w:numPr>
        <w:rPr>
          <w:sz w:val="24"/>
          <w:szCs w:val="24"/>
        </w:rPr>
      </w:pPr>
      <w:r w:rsidRPr="00BD0BDE">
        <w:rPr>
          <w:sz w:val="24"/>
          <w:szCs w:val="24"/>
        </w:rPr>
        <w:t xml:space="preserve">Prepare to engage in the </w:t>
      </w:r>
      <w:hyperlink r:id="rId11" w:history="1">
        <w:r w:rsidRPr="00BD0BDE">
          <w:rPr>
            <w:rStyle w:val="Hyperlink"/>
            <w:sz w:val="24"/>
            <w:szCs w:val="24"/>
          </w:rPr>
          <w:t>patient-provider dispute resolution process</w:t>
        </w:r>
      </w:hyperlink>
      <w:r w:rsidRPr="00BD0BDE">
        <w:rPr>
          <w:sz w:val="24"/>
          <w:szCs w:val="24"/>
        </w:rPr>
        <w:t xml:space="preserve"> with a patient who is charged more than $400 than the good faith estimate you provided.</w:t>
      </w:r>
    </w:p>
    <w:p w:rsidR="000C03AE" w:rsidRPr="00BD0BDE" w:rsidRDefault="000C03AE" w:rsidP="000E131E">
      <w:pPr>
        <w:pStyle w:val="ListParagraph"/>
        <w:numPr>
          <w:ilvl w:val="0"/>
          <w:numId w:val="2"/>
        </w:numPr>
        <w:rPr>
          <w:sz w:val="24"/>
          <w:szCs w:val="24"/>
        </w:rPr>
      </w:pPr>
      <w:r>
        <w:rPr>
          <w:sz w:val="24"/>
          <w:szCs w:val="24"/>
        </w:rPr>
        <w:t xml:space="preserve">Retain the good faith estimate in the patient’s medical record and provide a copy to the patient upon request. </w:t>
      </w:r>
    </w:p>
    <w:p w:rsidR="00FD3D50" w:rsidRPr="00FD3D50" w:rsidRDefault="00FD3D50" w:rsidP="00FD3D50">
      <w:pPr>
        <w:jc w:val="center"/>
        <w:rPr>
          <w:b/>
          <w:sz w:val="24"/>
          <w:szCs w:val="24"/>
        </w:rPr>
      </w:pPr>
      <w:r w:rsidRPr="00FD3D50">
        <w:rPr>
          <w:b/>
          <w:sz w:val="24"/>
          <w:szCs w:val="24"/>
        </w:rPr>
        <w:t>***</w:t>
      </w:r>
    </w:p>
    <w:p w:rsidR="000E131E" w:rsidRDefault="000E131E" w:rsidP="000E131E">
      <w:pPr>
        <w:rPr>
          <w:sz w:val="24"/>
          <w:szCs w:val="24"/>
        </w:rPr>
      </w:pPr>
      <w:r w:rsidRPr="00BD0BDE">
        <w:rPr>
          <w:sz w:val="24"/>
          <w:szCs w:val="24"/>
        </w:rPr>
        <w:t>In addition, if you provide items or services in connection with a patient’s visit to a Hospital or Ambulatory Surgery Center</w:t>
      </w:r>
      <w:r w:rsidR="007F4837">
        <w:rPr>
          <w:sz w:val="24"/>
          <w:szCs w:val="24"/>
        </w:rPr>
        <w:t xml:space="preserve"> (regardless of whether you are on-site)</w:t>
      </w:r>
      <w:r w:rsidRPr="00BD0BDE">
        <w:rPr>
          <w:sz w:val="24"/>
          <w:szCs w:val="24"/>
        </w:rPr>
        <w:t xml:space="preserve">, you have the following obligations to </w:t>
      </w:r>
      <w:r w:rsidR="007F4837">
        <w:rPr>
          <w:sz w:val="24"/>
          <w:szCs w:val="24"/>
        </w:rPr>
        <w:t>non-government</w:t>
      </w:r>
      <w:r w:rsidRPr="00BD0BDE">
        <w:rPr>
          <w:sz w:val="24"/>
          <w:szCs w:val="24"/>
        </w:rPr>
        <w:t xml:space="preserve"> insured patients only:</w:t>
      </w:r>
    </w:p>
    <w:p w:rsidR="00BD0BDE" w:rsidRPr="000C03AE" w:rsidRDefault="00BD0BDE" w:rsidP="00BD0BDE">
      <w:pPr>
        <w:jc w:val="center"/>
        <w:rPr>
          <w:b/>
          <w:caps/>
          <w:sz w:val="24"/>
          <w:szCs w:val="24"/>
          <w:u w:val="single"/>
        </w:rPr>
      </w:pPr>
      <w:r w:rsidRPr="000C03AE">
        <w:rPr>
          <w:b/>
          <w:caps/>
          <w:sz w:val="24"/>
          <w:szCs w:val="24"/>
          <w:u w:val="single"/>
        </w:rPr>
        <w:lastRenderedPageBreak/>
        <w:t xml:space="preserve">Balance Billing </w:t>
      </w:r>
      <w:r w:rsidR="00EB4FEF">
        <w:rPr>
          <w:b/>
          <w:caps/>
          <w:sz w:val="24"/>
          <w:szCs w:val="24"/>
          <w:u w:val="single"/>
        </w:rPr>
        <w:t>protections</w:t>
      </w:r>
      <w:r w:rsidRPr="000C03AE">
        <w:rPr>
          <w:b/>
          <w:caps/>
          <w:sz w:val="24"/>
          <w:szCs w:val="24"/>
          <w:u w:val="single"/>
        </w:rPr>
        <w:t xml:space="preserve"> under the Federal No Surprises Act</w:t>
      </w:r>
      <w:r w:rsidR="001F20E4">
        <w:rPr>
          <w:b/>
          <w:caps/>
          <w:sz w:val="24"/>
          <w:szCs w:val="24"/>
          <w:u w:val="single"/>
        </w:rPr>
        <w:t xml:space="preserve"> for non-government insured patients</w:t>
      </w:r>
      <w:r w:rsidR="00EB4FEF">
        <w:rPr>
          <w:b/>
          <w:caps/>
          <w:sz w:val="24"/>
          <w:szCs w:val="24"/>
          <w:u w:val="single"/>
        </w:rPr>
        <w:t xml:space="preserve"> receiving services at a hospital or ASC</w:t>
      </w:r>
      <w:r w:rsidR="00B27633">
        <w:rPr>
          <w:b/>
          <w:caps/>
          <w:sz w:val="24"/>
          <w:szCs w:val="24"/>
          <w:u w:val="single"/>
        </w:rPr>
        <w:t xml:space="preserve"> </w:t>
      </w:r>
    </w:p>
    <w:p w:rsidR="001F20E4" w:rsidRPr="00BD0BDE" w:rsidRDefault="001F20E4" w:rsidP="001F20E4">
      <w:pPr>
        <w:pStyle w:val="ListParagraph"/>
        <w:numPr>
          <w:ilvl w:val="0"/>
          <w:numId w:val="2"/>
        </w:numPr>
        <w:rPr>
          <w:sz w:val="24"/>
          <w:szCs w:val="24"/>
        </w:rPr>
      </w:pPr>
      <w:r w:rsidRPr="00BD0BDE">
        <w:rPr>
          <w:sz w:val="24"/>
          <w:szCs w:val="24"/>
          <w:u w:val="single"/>
        </w:rPr>
        <w:t>Disclosure Requirements</w:t>
      </w:r>
      <w:r w:rsidRPr="00BD0BDE">
        <w:rPr>
          <w:sz w:val="24"/>
          <w:szCs w:val="24"/>
        </w:rPr>
        <w:t xml:space="preserve">. </w:t>
      </w:r>
      <w:r>
        <w:rPr>
          <w:sz w:val="24"/>
          <w:szCs w:val="24"/>
        </w:rPr>
        <w:t xml:space="preserve">If you provide any items or services to a non-government insured patient in connection with a visit at a Hospital or ASC, you must: </w:t>
      </w:r>
    </w:p>
    <w:p w:rsidR="001F20E4" w:rsidRDefault="001F20E4" w:rsidP="00AD0292">
      <w:pPr>
        <w:pStyle w:val="ListParagraph"/>
        <w:numPr>
          <w:ilvl w:val="2"/>
          <w:numId w:val="2"/>
        </w:numPr>
        <w:rPr>
          <w:sz w:val="24"/>
          <w:szCs w:val="24"/>
        </w:rPr>
      </w:pPr>
      <w:r>
        <w:rPr>
          <w:sz w:val="24"/>
          <w:szCs w:val="24"/>
        </w:rPr>
        <w:t xml:space="preserve">Post </w:t>
      </w:r>
      <w:hyperlink r:id="rId12" w:history="1">
        <w:r w:rsidRPr="00B138A7">
          <w:rPr>
            <w:rStyle w:val="Hyperlink"/>
            <w:sz w:val="24"/>
            <w:szCs w:val="24"/>
          </w:rPr>
          <w:t xml:space="preserve">information on balance billing protections </w:t>
        </w:r>
      </w:hyperlink>
      <w:r w:rsidRPr="001F20E4">
        <w:rPr>
          <w:sz w:val="24"/>
          <w:szCs w:val="24"/>
        </w:rPr>
        <w:t>on your website</w:t>
      </w:r>
      <w:r>
        <w:rPr>
          <w:sz w:val="24"/>
          <w:szCs w:val="24"/>
        </w:rPr>
        <w:t xml:space="preserve"> and on a sign in your office;</w:t>
      </w:r>
      <w:r w:rsidR="00C01534">
        <w:rPr>
          <w:sz w:val="24"/>
          <w:szCs w:val="24"/>
        </w:rPr>
        <w:t xml:space="preserve"> and</w:t>
      </w:r>
    </w:p>
    <w:p w:rsidR="0002687A" w:rsidRPr="0002687A" w:rsidRDefault="001F20E4" w:rsidP="00B138A7">
      <w:pPr>
        <w:pStyle w:val="ListParagraph"/>
        <w:numPr>
          <w:ilvl w:val="2"/>
          <w:numId w:val="2"/>
        </w:numPr>
        <w:rPr>
          <w:sz w:val="24"/>
          <w:szCs w:val="24"/>
          <w:u w:val="single"/>
        </w:rPr>
      </w:pPr>
      <w:r>
        <w:rPr>
          <w:sz w:val="24"/>
          <w:szCs w:val="24"/>
        </w:rPr>
        <w:t xml:space="preserve">Provide each </w:t>
      </w:r>
      <w:r w:rsidR="00B27633">
        <w:rPr>
          <w:sz w:val="24"/>
          <w:szCs w:val="24"/>
        </w:rPr>
        <w:t xml:space="preserve">non-government insured </w:t>
      </w:r>
      <w:r>
        <w:rPr>
          <w:sz w:val="24"/>
          <w:szCs w:val="24"/>
        </w:rPr>
        <w:t xml:space="preserve">patient with a </w:t>
      </w:r>
      <w:hyperlink r:id="rId13" w:history="1">
        <w:r w:rsidRPr="00B138A7">
          <w:rPr>
            <w:rStyle w:val="Hyperlink"/>
            <w:sz w:val="24"/>
            <w:szCs w:val="24"/>
          </w:rPr>
          <w:t>1 page notice</w:t>
        </w:r>
      </w:hyperlink>
      <w:r>
        <w:rPr>
          <w:sz w:val="24"/>
          <w:szCs w:val="24"/>
        </w:rPr>
        <w:t xml:space="preserve"> regarding balance billing protections</w:t>
      </w:r>
      <w:r w:rsidR="00B138A7">
        <w:rPr>
          <w:sz w:val="24"/>
          <w:szCs w:val="24"/>
        </w:rPr>
        <w:t xml:space="preserve"> in-person or through mail or e-mail prior to requesting payment</w:t>
      </w:r>
      <w:r>
        <w:rPr>
          <w:sz w:val="24"/>
          <w:szCs w:val="24"/>
        </w:rPr>
        <w:t>.</w:t>
      </w:r>
    </w:p>
    <w:p w:rsidR="00883898" w:rsidRPr="00B27633" w:rsidRDefault="0002687A" w:rsidP="00B138A7">
      <w:pPr>
        <w:pStyle w:val="ListParagraph"/>
        <w:numPr>
          <w:ilvl w:val="2"/>
          <w:numId w:val="2"/>
        </w:numPr>
        <w:rPr>
          <w:sz w:val="24"/>
          <w:szCs w:val="24"/>
          <w:u w:val="single"/>
        </w:rPr>
      </w:pPr>
      <w:r>
        <w:rPr>
          <w:sz w:val="24"/>
          <w:szCs w:val="24"/>
          <w:u w:val="single"/>
        </w:rPr>
        <w:t>Exception</w:t>
      </w:r>
      <w:r>
        <w:rPr>
          <w:sz w:val="24"/>
          <w:szCs w:val="24"/>
        </w:rPr>
        <w:t xml:space="preserve">: you can enter into a </w:t>
      </w:r>
      <w:r w:rsidR="00B44F5C">
        <w:rPr>
          <w:sz w:val="24"/>
          <w:szCs w:val="24"/>
        </w:rPr>
        <w:t xml:space="preserve">brief </w:t>
      </w:r>
      <w:r>
        <w:rPr>
          <w:sz w:val="24"/>
          <w:szCs w:val="24"/>
        </w:rPr>
        <w:t xml:space="preserve">written agreement with a Hospital or ASC under which the Hospital or ASC posts the required signage and provides patients with the 1 page notice on your behalf. </w:t>
      </w:r>
    </w:p>
    <w:p w:rsidR="00B27633" w:rsidRPr="00B27633" w:rsidRDefault="00B27633" w:rsidP="00B27633">
      <w:pPr>
        <w:pStyle w:val="ListParagraph"/>
        <w:ind w:left="2160"/>
        <w:rPr>
          <w:sz w:val="24"/>
          <w:szCs w:val="24"/>
          <w:u w:val="single"/>
        </w:rPr>
      </w:pPr>
    </w:p>
    <w:p w:rsidR="00B27633" w:rsidRPr="00C96440" w:rsidRDefault="006046C2" w:rsidP="00B27633">
      <w:pPr>
        <w:pStyle w:val="ListParagraph"/>
        <w:numPr>
          <w:ilvl w:val="0"/>
          <w:numId w:val="2"/>
        </w:numPr>
        <w:rPr>
          <w:sz w:val="24"/>
          <w:szCs w:val="24"/>
          <w:u w:val="single"/>
        </w:rPr>
      </w:pPr>
      <w:r w:rsidRPr="004F1DE0">
        <w:rPr>
          <w:sz w:val="24"/>
          <w:szCs w:val="24"/>
          <w:u w:val="single"/>
        </w:rPr>
        <w:t>In-Network</w:t>
      </w:r>
      <w:r w:rsidRPr="004F1DE0">
        <w:rPr>
          <w:sz w:val="24"/>
          <w:szCs w:val="24"/>
        </w:rPr>
        <w:t xml:space="preserve">. </w:t>
      </w:r>
      <w:r w:rsidR="00B27633">
        <w:rPr>
          <w:sz w:val="24"/>
          <w:szCs w:val="24"/>
        </w:rPr>
        <w:t>If you have a contractual relationship with the non-government insured patient’s health plan</w:t>
      </w:r>
      <w:r w:rsidR="00173815">
        <w:rPr>
          <w:sz w:val="24"/>
          <w:szCs w:val="24"/>
        </w:rPr>
        <w:t xml:space="preserve"> (i.e., in-network)</w:t>
      </w:r>
      <w:r w:rsidR="00B27633">
        <w:rPr>
          <w:sz w:val="24"/>
          <w:szCs w:val="24"/>
        </w:rPr>
        <w:t>, you have no further obligation under these provisions of the No Sur</w:t>
      </w:r>
      <w:r w:rsidR="00C96440">
        <w:rPr>
          <w:sz w:val="24"/>
          <w:szCs w:val="24"/>
        </w:rPr>
        <w:t>prises Act</w:t>
      </w:r>
      <w:r w:rsidR="00C96440" w:rsidRPr="00C96440">
        <w:rPr>
          <w:sz w:val="24"/>
          <w:szCs w:val="24"/>
        </w:rPr>
        <w:t>.</w:t>
      </w:r>
    </w:p>
    <w:p w:rsidR="00C96440" w:rsidRDefault="00C96440" w:rsidP="00C96440">
      <w:pPr>
        <w:pStyle w:val="ListParagraph"/>
        <w:rPr>
          <w:sz w:val="24"/>
          <w:szCs w:val="24"/>
          <w:u w:val="single"/>
        </w:rPr>
      </w:pPr>
    </w:p>
    <w:p w:rsidR="00C96440" w:rsidRPr="00C96440" w:rsidRDefault="006046C2" w:rsidP="000F173B">
      <w:pPr>
        <w:pStyle w:val="ListParagraph"/>
        <w:numPr>
          <w:ilvl w:val="0"/>
          <w:numId w:val="2"/>
        </w:numPr>
        <w:rPr>
          <w:sz w:val="24"/>
          <w:szCs w:val="24"/>
          <w:u w:val="single"/>
        </w:rPr>
      </w:pPr>
      <w:r w:rsidRPr="004F1DE0">
        <w:rPr>
          <w:sz w:val="24"/>
          <w:szCs w:val="24"/>
          <w:u w:val="single"/>
        </w:rPr>
        <w:t>Out-of-Network</w:t>
      </w:r>
      <w:r w:rsidRPr="004F1DE0">
        <w:rPr>
          <w:sz w:val="24"/>
          <w:szCs w:val="24"/>
        </w:rPr>
        <w:t>.</w:t>
      </w:r>
      <w:r>
        <w:rPr>
          <w:sz w:val="24"/>
          <w:szCs w:val="24"/>
        </w:rPr>
        <w:t xml:space="preserve"> </w:t>
      </w:r>
      <w:r w:rsidR="00C96440" w:rsidRPr="00C96440">
        <w:rPr>
          <w:sz w:val="24"/>
          <w:szCs w:val="24"/>
        </w:rPr>
        <w:t>If you do not have a contractual relationship with the non-government insured patient’s health plan</w:t>
      </w:r>
      <w:r w:rsidR="00173815">
        <w:rPr>
          <w:sz w:val="24"/>
          <w:szCs w:val="24"/>
        </w:rPr>
        <w:t xml:space="preserve"> (i.e., out-of-network)</w:t>
      </w:r>
      <w:r w:rsidR="00C96440" w:rsidRPr="00C96440">
        <w:rPr>
          <w:sz w:val="24"/>
          <w:szCs w:val="24"/>
        </w:rPr>
        <w:t xml:space="preserve">, </w:t>
      </w:r>
      <w:r w:rsidR="00C96440">
        <w:rPr>
          <w:sz w:val="24"/>
          <w:szCs w:val="24"/>
        </w:rPr>
        <w:t>the following addition</w:t>
      </w:r>
      <w:r w:rsidR="00173815">
        <w:rPr>
          <w:sz w:val="24"/>
          <w:szCs w:val="24"/>
        </w:rPr>
        <w:t>al</w:t>
      </w:r>
      <w:r w:rsidR="00C96440">
        <w:rPr>
          <w:sz w:val="24"/>
          <w:szCs w:val="24"/>
        </w:rPr>
        <w:t xml:space="preserve"> requirements apply:</w:t>
      </w:r>
    </w:p>
    <w:p w:rsidR="00C96440" w:rsidRPr="00C96440" w:rsidRDefault="00C96440" w:rsidP="00C96440">
      <w:pPr>
        <w:pStyle w:val="ListParagraph"/>
        <w:rPr>
          <w:sz w:val="24"/>
          <w:szCs w:val="24"/>
          <w:u w:val="single"/>
        </w:rPr>
      </w:pPr>
    </w:p>
    <w:p w:rsidR="00C96440" w:rsidRPr="00C96440" w:rsidRDefault="00C96440" w:rsidP="00C96440">
      <w:pPr>
        <w:pStyle w:val="ListParagraph"/>
        <w:numPr>
          <w:ilvl w:val="1"/>
          <w:numId w:val="2"/>
        </w:numPr>
        <w:rPr>
          <w:sz w:val="24"/>
          <w:szCs w:val="24"/>
          <w:u w:val="single"/>
        </w:rPr>
      </w:pPr>
      <w:r>
        <w:rPr>
          <w:sz w:val="24"/>
          <w:szCs w:val="24"/>
        </w:rPr>
        <w:t>You are prohibited from billing the non-government insured patient more than the in-network cost sharing amount unless the patient</w:t>
      </w:r>
      <w:r w:rsidR="00173815">
        <w:rPr>
          <w:sz w:val="24"/>
          <w:szCs w:val="24"/>
        </w:rPr>
        <w:t xml:space="preserve"> is given</w:t>
      </w:r>
      <w:r>
        <w:rPr>
          <w:sz w:val="24"/>
          <w:szCs w:val="24"/>
        </w:rPr>
        <w:t xml:space="preserve"> </w:t>
      </w:r>
      <w:hyperlink r:id="rId14" w:history="1">
        <w:r w:rsidRPr="00173815">
          <w:rPr>
            <w:rStyle w:val="Hyperlink"/>
            <w:sz w:val="24"/>
            <w:szCs w:val="24"/>
          </w:rPr>
          <w:t>advance notice and written consent</w:t>
        </w:r>
      </w:hyperlink>
      <w:r w:rsidR="00173815">
        <w:rPr>
          <w:sz w:val="24"/>
          <w:szCs w:val="24"/>
        </w:rPr>
        <w:t xml:space="preserve"> </w:t>
      </w:r>
      <w:r>
        <w:rPr>
          <w:sz w:val="24"/>
          <w:szCs w:val="24"/>
        </w:rPr>
        <w:t xml:space="preserve">is obtained. </w:t>
      </w:r>
    </w:p>
    <w:p w:rsidR="00C96440" w:rsidRPr="00EC171A" w:rsidRDefault="00173815" w:rsidP="00C96440">
      <w:pPr>
        <w:pStyle w:val="ListParagraph"/>
        <w:numPr>
          <w:ilvl w:val="2"/>
          <w:numId w:val="2"/>
        </w:numPr>
        <w:rPr>
          <w:sz w:val="24"/>
          <w:szCs w:val="24"/>
          <w:u w:val="single"/>
        </w:rPr>
      </w:pPr>
      <w:r>
        <w:rPr>
          <w:sz w:val="24"/>
          <w:szCs w:val="24"/>
        </w:rPr>
        <w:t>For e</w:t>
      </w:r>
      <w:r w:rsidR="00C96440">
        <w:rPr>
          <w:sz w:val="24"/>
          <w:szCs w:val="24"/>
        </w:rPr>
        <w:t>mergency</w:t>
      </w:r>
      <w:r>
        <w:rPr>
          <w:sz w:val="24"/>
          <w:szCs w:val="24"/>
        </w:rPr>
        <w:t xml:space="preserve"> services, notice and consent is only permitted for post-stabilization services that meet certain requirements. </w:t>
      </w:r>
    </w:p>
    <w:p w:rsidR="00EC171A" w:rsidRPr="001F466E" w:rsidRDefault="00EC171A" w:rsidP="00C96440">
      <w:pPr>
        <w:pStyle w:val="ListParagraph"/>
        <w:numPr>
          <w:ilvl w:val="2"/>
          <w:numId w:val="2"/>
        </w:numPr>
        <w:rPr>
          <w:sz w:val="24"/>
          <w:szCs w:val="24"/>
          <w:u w:val="single"/>
        </w:rPr>
      </w:pPr>
      <w:r>
        <w:rPr>
          <w:sz w:val="24"/>
          <w:szCs w:val="24"/>
        </w:rPr>
        <w:t xml:space="preserve">For non-emergency services, notice and consent is not permitted to be obtained by hospital-based specialists (e.g., anesthesiologist), for diagnostic services including radiology and laboratory services, and for certain other services. </w:t>
      </w:r>
    </w:p>
    <w:p w:rsidR="001F466E" w:rsidRPr="001F466E" w:rsidRDefault="001F466E" w:rsidP="001F466E">
      <w:pPr>
        <w:pStyle w:val="ListParagraph"/>
        <w:ind w:left="2160"/>
        <w:rPr>
          <w:sz w:val="24"/>
          <w:szCs w:val="24"/>
          <w:u w:val="single"/>
        </w:rPr>
      </w:pPr>
    </w:p>
    <w:p w:rsidR="008C08EB" w:rsidRPr="008C08EB" w:rsidRDefault="008C08EB" w:rsidP="001F466E">
      <w:pPr>
        <w:pStyle w:val="ListParagraph"/>
        <w:numPr>
          <w:ilvl w:val="1"/>
          <w:numId w:val="2"/>
        </w:numPr>
        <w:rPr>
          <w:sz w:val="24"/>
          <w:szCs w:val="24"/>
          <w:u w:val="single"/>
        </w:rPr>
      </w:pPr>
      <w:r>
        <w:rPr>
          <w:sz w:val="24"/>
          <w:szCs w:val="24"/>
        </w:rPr>
        <w:t xml:space="preserve">There is </w:t>
      </w:r>
      <w:proofErr w:type="gramStart"/>
      <w:r>
        <w:rPr>
          <w:sz w:val="24"/>
          <w:szCs w:val="24"/>
        </w:rPr>
        <w:t>a disconnect</w:t>
      </w:r>
      <w:proofErr w:type="gramEnd"/>
      <w:r>
        <w:rPr>
          <w:sz w:val="24"/>
          <w:szCs w:val="24"/>
        </w:rPr>
        <w:t xml:space="preserve"> between the federal and Massachusetts laws in terms of the timing of the additional notification, and with respect to the federal law, consent requirement. In light of that, providers are urged to follow the more restrictive Massachusetts law provisions and provide advance notice and obtain </w:t>
      </w:r>
      <w:r>
        <w:rPr>
          <w:sz w:val="24"/>
          <w:szCs w:val="24"/>
        </w:rPr>
        <w:lastRenderedPageBreak/>
        <w:t xml:space="preserve">consent not less than 7 days before the date of service if the service is scheduled at least 7 days in advance, or </w:t>
      </w:r>
      <w:r w:rsidR="00113E84">
        <w:rPr>
          <w:sz w:val="24"/>
          <w:szCs w:val="24"/>
        </w:rPr>
        <w:t xml:space="preserve">not less than 2 days before the date of service (or as soon as practicable) if the service is scheduled less </w:t>
      </w:r>
      <w:r w:rsidR="00A245A9">
        <w:rPr>
          <w:sz w:val="24"/>
          <w:szCs w:val="24"/>
        </w:rPr>
        <w:t>than 7 days in advance.</w:t>
      </w:r>
    </w:p>
    <w:p w:rsidR="008C08EB" w:rsidRPr="008C08EB" w:rsidRDefault="008C08EB" w:rsidP="008C08EB">
      <w:pPr>
        <w:pStyle w:val="ListParagraph"/>
        <w:ind w:left="1440"/>
        <w:rPr>
          <w:sz w:val="24"/>
          <w:szCs w:val="24"/>
          <w:u w:val="single"/>
        </w:rPr>
      </w:pPr>
    </w:p>
    <w:p w:rsidR="001F466E" w:rsidRPr="001F466E" w:rsidRDefault="001F466E" w:rsidP="001F466E">
      <w:pPr>
        <w:pStyle w:val="ListParagraph"/>
        <w:numPr>
          <w:ilvl w:val="1"/>
          <w:numId w:val="2"/>
        </w:numPr>
        <w:rPr>
          <w:sz w:val="24"/>
          <w:szCs w:val="24"/>
          <w:u w:val="single"/>
        </w:rPr>
      </w:pPr>
      <w:r>
        <w:rPr>
          <w:sz w:val="24"/>
          <w:szCs w:val="24"/>
        </w:rPr>
        <w:t>A copy of the signed notice and consent must be:</w:t>
      </w:r>
    </w:p>
    <w:p w:rsidR="001F466E" w:rsidRPr="001F466E" w:rsidRDefault="001F466E" w:rsidP="001F466E">
      <w:pPr>
        <w:pStyle w:val="ListParagraph"/>
        <w:numPr>
          <w:ilvl w:val="2"/>
          <w:numId w:val="2"/>
        </w:numPr>
        <w:rPr>
          <w:sz w:val="24"/>
          <w:szCs w:val="24"/>
          <w:u w:val="single"/>
        </w:rPr>
      </w:pPr>
      <w:r>
        <w:rPr>
          <w:sz w:val="24"/>
          <w:szCs w:val="24"/>
        </w:rPr>
        <w:t xml:space="preserve">provided to the patient through mail or e-mail; </w:t>
      </w:r>
    </w:p>
    <w:p w:rsidR="001F466E" w:rsidRPr="001F466E" w:rsidRDefault="001F466E" w:rsidP="001F466E">
      <w:pPr>
        <w:pStyle w:val="ListParagraph"/>
        <w:numPr>
          <w:ilvl w:val="2"/>
          <w:numId w:val="2"/>
        </w:numPr>
        <w:rPr>
          <w:sz w:val="24"/>
          <w:szCs w:val="24"/>
          <w:u w:val="single"/>
        </w:rPr>
      </w:pPr>
      <w:r>
        <w:rPr>
          <w:sz w:val="24"/>
          <w:szCs w:val="24"/>
        </w:rPr>
        <w:t xml:space="preserve">provided to the patient’s health plan if the health plan will be billed; and </w:t>
      </w:r>
    </w:p>
    <w:p w:rsidR="001F466E" w:rsidRPr="00417F79" w:rsidRDefault="001F466E" w:rsidP="001F466E">
      <w:pPr>
        <w:pStyle w:val="ListParagraph"/>
        <w:numPr>
          <w:ilvl w:val="2"/>
          <w:numId w:val="2"/>
        </w:numPr>
        <w:rPr>
          <w:sz w:val="24"/>
          <w:szCs w:val="24"/>
          <w:u w:val="single"/>
        </w:rPr>
      </w:pPr>
      <w:proofErr w:type="gramStart"/>
      <w:r>
        <w:rPr>
          <w:sz w:val="24"/>
          <w:szCs w:val="24"/>
        </w:rPr>
        <w:t>retained</w:t>
      </w:r>
      <w:proofErr w:type="gramEnd"/>
      <w:r>
        <w:rPr>
          <w:sz w:val="24"/>
          <w:szCs w:val="24"/>
        </w:rPr>
        <w:t xml:space="preserve"> by you (or by the Hospital or ASC on your behalf) for a minimum of 7 years. </w:t>
      </w:r>
    </w:p>
    <w:p w:rsidR="00417F79" w:rsidRPr="00417F79" w:rsidRDefault="00417F79" w:rsidP="00417F79">
      <w:pPr>
        <w:pStyle w:val="ListParagraph"/>
        <w:ind w:left="2160"/>
        <w:rPr>
          <w:sz w:val="24"/>
          <w:szCs w:val="24"/>
          <w:u w:val="single"/>
        </w:rPr>
      </w:pPr>
    </w:p>
    <w:p w:rsidR="00417F79" w:rsidRPr="001F466E" w:rsidRDefault="00417F79" w:rsidP="00417F79">
      <w:pPr>
        <w:pStyle w:val="ListParagraph"/>
        <w:numPr>
          <w:ilvl w:val="1"/>
          <w:numId w:val="2"/>
        </w:numPr>
        <w:rPr>
          <w:sz w:val="24"/>
          <w:szCs w:val="24"/>
          <w:u w:val="single"/>
        </w:rPr>
      </w:pPr>
      <w:r>
        <w:rPr>
          <w:sz w:val="24"/>
          <w:szCs w:val="24"/>
        </w:rPr>
        <w:t xml:space="preserve">If you dispute the rate </w:t>
      </w:r>
      <w:r w:rsidR="00E450F1">
        <w:rPr>
          <w:sz w:val="24"/>
          <w:szCs w:val="24"/>
        </w:rPr>
        <w:t xml:space="preserve">a health plan has paid you as an out-of-network provider, </w:t>
      </w:r>
      <w:r>
        <w:rPr>
          <w:sz w:val="24"/>
          <w:szCs w:val="24"/>
        </w:rPr>
        <w:t xml:space="preserve">you may </w:t>
      </w:r>
      <w:r w:rsidR="00E450F1">
        <w:rPr>
          <w:sz w:val="24"/>
          <w:szCs w:val="24"/>
        </w:rPr>
        <w:t xml:space="preserve">be eligible to </w:t>
      </w:r>
      <w:r>
        <w:rPr>
          <w:sz w:val="24"/>
          <w:szCs w:val="24"/>
        </w:rPr>
        <w:t xml:space="preserve">access the </w:t>
      </w:r>
      <w:hyperlink r:id="rId15" w:history="1">
        <w:r w:rsidRPr="00417F79">
          <w:rPr>
            <w:rStyle w:val="Hyperlink"/>
            <w:sz w:val="24"/>
            <w:szCs w:val="24"/>
          </w:rPr>
          <w:t>independent dispute resolution</w:t>
        </w:r>
      </w:hyperlink>
      <w:r>
        <w:rPr>
          <w:sz w:val="24"/>
          <w:szCs w:val="24"/>
        </w:rPr>
        <w:t xml:space="preserve"> process to resolve </w:t>
      </w:r>
      <w:r w:rsidR="00E450F1">
        <w:rPr>
          <w:sz w:val="24"/>
          <w:szCs w:val="24"/>
        </w:rPr>
        <w:t xml:space="preserve">the dispute. </w:t>
      </w:r>
    </w:p>
    <w:p w:rsidR="00B27633" w:rsidRPr="0002687A" w:rsidRDefault="00B27633" w:rsidP="00173815">
      <w:pPr>
        <w:pStyle w:val="ListParagraph"/>
        <w:rPr>
          <w:sz w:val="24"/>
          <w:szCs w:val="24"/>
          <w:u w:val="single"/>
        </w:rPr>
      </w:pPr>
    </w:p>
    <w:p w:rsidR="0002687A" w:rsidRDefault="0002687A" w:rsidP="00B27633">
      <w:pPr>
        <w:rPr>
          <w:sz w:val="24"/>
          <w:szCs w:val="24"/>
          <w:u w:val="single"/>
        </w:rPr>
      </w:pPr>
    </w:p>
    <w:p w:rsidR="00B27633" w:rsidRPr="00B27633" w:rsidRDefault="00B27633" w:rsidP="00B27633">
      <w:pPr>
        <w:rPr>
          <w:sz w:val="24"/>
          <w:szCs w:val="24"/>
          <w:u w:val="single"/>
        </w:rPr>
        <w:sectPr w:rsidR="00B27633" w:rsidRPr="00B27633">
          <w:pgSz w:w="12240" w:h="15840"/>
          <w:pgMar w:top="1440" w:right="1440" w:bottom="1440" w:left="1440" w:header="720" w:footer="720" w:gutter="0"/>
          <w:cols w:space="720"/>
          <w:docGrid w:linePitch="360"/>
        </w:sectPr>
      </w:pPr>
    </w:p>
    <w:p w:rsidR="00E57760" w:rsidRDefault="00E57760" w:rsidP="00E57760">
      <w:pPr>
        <w:rPr>
          <w:sz w:val="24"/>
          <w:szCs w:val="24"/>
          <w:u w:val="single"/>
        </w:rPr>
      </w:pPr>
    </w:p>
    <w:tbl>
      <w:tblPr>
        <w:tblStyle w:val="TableGrid"/>
        <w:tblW w:w="13135" w:type="dxa"/>
        <w:tblLayout w:type="fixed"/>
        <w:tblLook w:val="04A0" w:firstRow="1" w:lastRow="0" w:firstColumn="1" w:lastColumn="0" w:noHBand="0" w:noVBand="1"/>
      </w:tblPr>
      <w:tblGrid>
        <w:gridCol w:w="2605"/>
        <w:gridCol w:w="1504"/>
        <w:gridCol w:w="1504"/>
        <w:gridCol w:w="1504"/>
        <w:gridCol w:w="1505"/>
        <w:gridCol w:w="1504"/>
        <w:gridCol w:w="1504"/>
        <w:gridCol w:w="1505"/>
      </w:tblGrid>
      <w:tr w:rsidR="00705705" w:rsidRPr="00E57760" w:rsidTr="007252E9">
        <w:trPr>
          <w:cantSplit/>
          <w:tblHeader/>
        </w:trPr>
        <w:tc>
          <w:tcPr>
            <w:tcW w:w="2605" w:type="dxa"/>
          </w:tcPr>
          <w:p w:rsidR="00705705" w:rsidRPr="00E57760" w:rsidRDefault="00705705" w:rsidP="00CB6055">
            <w:pPr>
              <w:jc w:val="center"/>
              <w:rPr>
                <w:b/>
                <w:sz w:val="24"/>
                <w:szCs w:val="24"/>
                <w:u w:val="single"/>
              </w:rPr>
            </w:pPr>
          </w:p>
        </w:tc>
        <w:tc>
          <w:tcPr>
            <w:tcW w:w="3008" w:type="dxa"/>
            <w:gridSpan w:val="2"/>
          </w:tcPr>
          <w:p w:rsidR="00705705" w:rsidRDefault="00705705" w:rsidP="00705705">
            <w:pPr>
              <w:jc w:val="center"/>
              <w:rPr>
                <w:b/>
                <w:sz w:val="24"/>
                <w:szCs w:val="24"/>
              </w:rPr>
            </w:pPr>
            <w:r>
              <w:rPr>
                <w:b/>
                <w:sz w:val="24"/>
                <w:szCs w:val="24"/>
              </w:rPr>
              <w:t>MASSACHUSETTS LAW</w:t>
            </w:r>
            <w:r w:rsidR="00835E01">
              <w:rPr>
                <w:b/>
                <w:sz w:val="24"/>
                <w:szCs w:val="24"/>
              </w:rPr>
              <w:t>*</w:t>
            </w:r>
          </w:p>
          <w:p w:rsidR="00835E01" w:rsidRPr="00835E01" w:rsidRDefault="00835E01" w:rsidP="00705705">
            <w:pPr>
              <w:jc w:val="center"/>
              <w:rPr>
                <w:b/>
                <w:sz w:val="20"/>
                <w:szCs w:val="20"/>
              </w:rPr>
            </w:pPr>
            <w:r w:rsidRPr="00835E01">
              <w:rPr>
                <w:b/>
                <w:sz w:val="20"/>
                <w:szCs w:val="20"/>
              </w:rPr>
              <w:t>(delayed until Jan 2025)</w:t>
            </w:r>
          </w:p>
        </w:tc>
        <w:tc>
          <w:tcPr>
            <w:tcW w:w="7522" w:type="dxa"/>
            <w:gridSpan w:val="5"/>
          </w:tcPr>
          <w:p w:rsidR="00705705" w:rsidRDefault="00705705" w:rsidP="00705705">
            <w:pPr>
              <w:jc w:val="center"/>
              <w:rPr>
                <w:b/>
                <w:sz w:val="24"/>
                <w:szCs w:val="24"/>
              </w:rPr>
            </w:pPr>
            <w:r>
              <w:rPr>
                <w:b/>
                <w:sz w:val="24"/>
                <w:szCs w:val="24"/>
              </w:rPr>
              <w:t>FEDERAL LAW</w:t>
            </w:r>
          </w:p>
        </w:tc>
      </w:tr>
      <w:tr w:rsidR="00CB6055" w:rsidRPr="00E57760" w:rsidTr="007252E9">
        <w:trPr>
          <w:cantSplit/>
          <w:tblHeader/>
        </w:trPr>
        <w:tc>
          <w:tcPr>
            <w:tcW w:w="2605" w:type="dxa"/>
          </w:tcPr>
          <w:p w:rsidR="00CB6055" w:rsidRPr="00E57760" w:rsidRDefault="003E721D" w:rsidP="00CB6055">
            <w:pPr>
              <w:jc w:val="center"/>
              <w:rPr>
                <w:b/>
                <w:sz w:val="24"/>
                <w:szCs w:val="24"/>
                <w:u w:val="single"/>
              </w:rPr>
            </w:pPr>
            <w:r>
              <w:rPr>
                <w:b/>
                <w:sz w:val="24"/>
                <w:szCs w:val="24"/>
                <w:u w:val="single"/>
              </w:rPr>
              <w:t>Health Care Provider Providing Professional Services to</w:t>
            </w:r>
            <w:r w:rsidRPr="003E721D">
              <w:rPr>
                <w:b/>
                <w:sz w:val="24"/>
                <w:szCs w:val="24"/>
              </w:rPr>
              <w:t>:</w:t>
            </w:r>
          </w:p>
        </w:tc>
        <w:tc>
          <w:tcPr>
            <w:tcW w:w="1504" w:type="dxa"/>
          </w:tcPr>
          <w:p w:rsidR="00CB6055" w:rsidRPr="00E57760" w:rsidRDefault="00CB6055" w:rsidP="00705705">
            <w:pPr>
              <w:jc w:val="center"/>
              <w:rPr>
                <w:b/>
                <w:sz w:val="24"/>
                <w:szCs w:val="24"/>
              </w:rPr>
            </w:pPr>
            <w:r w:rsidRPr="00E57760">
              <w:rPr>
                <w:b/>
                <w:sz w:val="24"/>
                <w:szCs w:val="24"/>
              </w:rPr>
              <w:t xml:space="preserve">Scheduling Obligations </w:t>
            </w:r>
          </w:p>
        </w:tc>
        <w:tc>
          <w:tcPr>
            <w:tcW w:w="1504" w:type="dxa"/>
          </w:tcPr>
          <w:p w:rsidR="00CB6055" w:rsidRPr="00E57760" w:rsidRDefault="00CB6055" w:rsidP="00705705">
            <w:pPr>
              <w:jc w:val="center"/>
              <w:rPr>
                <w:b/>
                <w:sz w:val="24"/>
                <w:szCs w:val="24"/>
              </w:rPr>
            </w:pPr>
            <w:r w:rsidRPr="00E57760">
              <w:rPr>
                <w:b/>
                <w:sz w:val="24"/>
                <w:szCs w:val="24"/>
              </w:rPr>
              <w:t xml:space="preserve">Referral Obligations </w:t>
            </w:r>
          </w:p>
        </w:tc>
        <w:tc>
          <w:tcPr>
            <w:tcW w:w="1504" w:type="dxa"/>
          </w:tcPr>
          <w:p w:rsidR="00CB6055" w:rsidRPr="00E57760" w:rsidRDefault="00CB6055" w:rsidP="00705705">
            <w:pPr>
              <w:jc w:val="center"/>
              <w:rPr>
                <w:b/>
                <w:sz w:val="24"/>
                <w:szCs w:val="24"/>
              </w:rPr>
            </w:pPr>
            <w:r w:rsidRPr="00E57760">
              <w:rPr>
                <w:b/>
                <w:sz w:val="24"/>
                <w:szCs w:val="24"/>
              </w:rPr>
              <w:t xml:space="preserve">Balance Billing Disclosure </w:t>
            </w:r>
          </w:p>
        </w:tc>
        <w:tc>
          <w:tcPr>
            <w:tcW w:w="1505" w:type="dxa"/>
          </w:tcPr>
          <w:p w:rsidR="00CB6055" w:rsidRPr="00E57760" w:rsidRDefault="00CB6055" w:rsidP="00705705">
            <w:pPr>
              <w:jc w:val="center"/>
              <w:rPr>
                <w:b/>
                <w:sz w:val="24"/>
                <w:szCs w:val="24"/>
              </w:rPr>
            </w:pPr>
            <w:r w:rsidRPr="00E57760">
              <w:rPr>
                <w:b/>
                <w:sz w:val="24"/>
                <w:szCs w:val="24"/>
              </w:rPr>
              <w:t>Balance Billing Prohibition</w:t>
            </w:r>
            <w:r w:rsidR="003E721D">
              <w:rPr>
                <w:b/>
                <w:sz w:val="24"/>
                <w:szCs w:val="24"/>
              </w:rPr>
              <w:t xml:space="preserve"> Applies</w:t>
            </w:r>
          </w:p>
        </w:tc>
        <w:tc>
          <w:tcPr>
            <w:tcW w:w="1504" w:type="dxa"/>
          </w:tcPr>
          <w:p w:rsidR="00CB6055" w:rsidRPr="00E57760" w:rsidRDefault="00CB6055" w:rsidP="00CB6055">
            <w:pPr>
              <w:jc w:val="center"/>
              <w:rPr>
                <w:b/>
                <w:sz w:val="24"/>
                <w:szCs w:val="24"/>
              </w:rPr>
            </w:pPr>
            <w:r>
              <w:rPr>
                <w:b/>
                <w:sz w:val="24"/>
                <w:szCs w:val="24"/>
              </w:rPr>
              <w:t xml:space="preserve">Notice &amp; Consent </w:t>
            </w:r>
            <w:r w:rsidR="00705705">
              <w:rPr>
                <w:b/>
                <w:sz w:val="24"/>
                <w:szCs w:val="24"/>
              </w:rPr>
              <w:t xml:space="preserve">Required </w:t>
            </w:r>
            <w:r w:rsidR="00144E02">
              <w:rPr>
                <w:b/>
                <w:sz w:val="24"/>
                <w:szCs w:val="24"/>
              </w:rPr>
              <w:t xml:space="preserve">for Out-of-Network Provider </w:t>
            </w:r>
            <w:r>
              <w:rPr>
                <w:b/>
                <w:sz w:val="24"/>
                <w:szCs w:val="24"/>
              </w:rPr>
              <w:t>to Balance Bill</w:t>
            </w:r>
          </w:p>
        </w:tc>
        <w:tc>
          <w:tcPr>
            <w:tcW w:w="1504" w:type="dxa"/>
          </w:tcPr>
          <w:p w:rsidR="00CB6055" w:rsidRPr="00E57760" w:rsidRDefault="00CB6055" w:rsidP="00705705">
            <w:pPr>
              <w:jc w:val="center"/>
              <w:rPr>
                <w:b/>
                <w:sz w:val="24"/>
                <w:szCs w:val="24"/>
              </w:rPr>
            </w:pPr>
            <w:r>
              <w:rPr>
                <w:b/>
                <w:sz w:val="24"/>
                <w:szCs w:val="24"/>
              </w:rPr>
              <w:t xml:space="preserve">Good Faith Estimate </w:t>
            </w:r>
            <w:r w:rsidRPr="00E57760">
              <w:rPr>
                <w:b/>
                <w:sz w:val="24"/>
                <w:szCs w:val="24"/>
              </w:rPr>
              <w:t xml:space="preserve">Disclosure </w:t>
            </w:r>
          </w:p>
        </w:tc>
        <w:tc>
          <w:tcPr>
            <w:tcW w:w="1505" w:type="dxa"/>
          </w:tcPr>
          <w:p w:rsidR="00CB6055" w:rsidRPr="00E57760" w:rsidRDefault="00705705" w:rsidP="00705705">
            <w:pPr>
              <w:jc w:val="center"/>
              <w:rPr>
                <w:b/>
                <w:sz w:val="24"/>
                <w:szCs w:val="24"/>
                <w:u w:val="single"/>
              </w:rPr>
            </w:pPr>
            <w:r>
              <w:rPr>
                <w:b/>
                <w:sz w:val="24"/>
                <w:szCs w:val="24"/>
              </w:rPr>
              <w:t xml:space="preserve">Provide </w:t>
            </w:r>
            <w:r w:rsidR="00CB6055" w:rsidRPr="00E57760">
              <w:rPr>
                <w:b/>
                <w:sz w:val="24"/>
                <w:szCs w:val="24"/>
              </w:rPr>
              <w:t xml:space="preserve">Good Faith Estimate </w:t>
            </w:r>
          </w:p>
        </w:tc>
      </w:tr>
      <w:tr w:rsidR="00CB6055" w:rsidTr="00705705">
        <w:tc>
          <w:tcPr>
            <w:tcW w:w="2605" w:type="dxa"/>
          </w:tcPr>
          <w:p w:rsidR="00CB6055" w:rsidRPr="00E57760" w:rsidRDefault="00CB6055" w:rsidP="00431ECA">
            <w:pPr>
              <w:jc w:val="center"/>
              <w:rPr>
                <w:b/>
                <w:sz w:val="24"/>
                <w:szCs w:val="24"/>
              </w:rPr>
            </w:pPr>
            <w:r>
              <w:rPr>
                <w:b/>
                <w:sz w:val="24"/>
                <w:szCs w:val="24"/>
              </w:rPr>
              <w:t xml:space="preserve">Government </w:t>
            </w:r>
            <w:r w:rsidRPr="00E57760">
              <w:rPr>
                <w:b/>
                <w:sz w:val="24"/>
                <w:szCs w:val="24"/>
              </w:rPr>
              <w:t xml:space="preserve">Insured Patient </w:t>
            </w:r>
            <w:r w:rsidR="003E721D">
              <w:rPr>
                <w:b/>
                <w:sz w:val="24"/>
                <w:szCs w:val="24"/>
              </w:rPr>
              <w:t>in connection with a</w:t>
            </w:r>
            <w:r w:rsidR="00431ECA">
              <w:rPr>
                <w:b/>
                <w:sz w:val="24"/>
                <w:szCs w:val="24"/>
              </w:rPr>
              <w:t>n Emergency Visit at a</w:t>
            </w:r>
            <w:r w:rsidR="003E721D">
              <w:rPr>
                <w:b/>
                <w:sz w:val="24"/>
                <w:szCs w:val="24"/>
              </w:rPr>
              <w:t xml:space="preserve"> Hospital or ASC </w:t>
            </w:r>
          </w:p>
        </w:tc>
        <w:tc>
          <w:tcPr>
            <w:tcW w:w="1504" w:type="dxa"/>
          </w:tcPr>
          <w:p w:rsidR="00CB6055" w:rsidRPr="00E57760" w:rsidRDefault="00CB6055" w:rsidP="00CB6055">
            <w:pPr>
              <w:rPr>
                <w:sz w:val="24"/>
                <w:szCs w:val="24"/>
              </w:rPr>
            </w:pPr>
          </w:p>
        </w:tc>
        <w:tc>
          <w:tcPr>
            <w:tcW w:w="1504" w:type="dxa"/>
          </w:tcPr>
          <w:p w:rsidR="00CB6055" w:rsidRDefault="00CB6055" w:rsidP="00CB6055">
            <w:pPr>
              <w:rPr>
                <w:sz w:val="24"/>
                <w:szCs w:val="24"/>
                <w:u w:val="single"/>
              </w:rPr>
            </w:pPr>
          </w:p>
        </w:tc>
        <w:tc>
          <w:tcPr>
            <w:tcW w:w="1504" w:type="dxa"/>
            <w:vAlign w:val="center"/>
          </w:tcPr>
          <w:p w:rsidR="00CB6055" w:rsidRPr="00883898" w:rsidRDefault="00CB6055" w:rsidP="00CB6055">
            <w:pPr>
              <w:jc w:val="center"/>
              <w:rPr>
                <w:sz w:val="24"/>
                <w:szCs w:val="24"/>
              </w:rPr>
            </w:pPr>
          </w:p>
        </w:tc>
        <w:tc>
          <w:tcPr>
            <w:tcW w:w="1505" w:type="dxa"/>
            <w:vAlign w:val="center"/>
          </w:tcPr>
          <w:p w:rsidR="00CB6055" w:rsidRPr="00883898" w:rsidRDefault="00CB6055" w:rsidP="00CB6055">
            <w:pPr>
              <w:ind w:left="360"/>
              <w:rPr>
                <w:sz w:val="24"/>
                <w:szCs w:val="24"/>
                <w:u w:val="single"/>
              </w:rPr>
            </w:pPr>
          </w:p>
        </w:tc>
        <w:tc>
          <w:tcPr>
            <w:tcW w:w="1504" w:type="dxa"/>
            <w:vAlign w:val="center"/>
          </w:tcPr>
          <w:p w:rsidR="00CB6055" w:rsidRPr="00883898" w:rsidRDefault="00CB6055" w:rsidP="00CB6055">
            <w:pPr>
              <w:rPr>
                <w:sz w:val="24"/>
                <w:szCs w:val="24"/>
                <w:u w:val="single"/>
              </w:rPr>
            </w:pPr>
          </w:p>
        </w:tc>
        <w:tc>
          <w:tcPr>
            <w:tcW w:w="1504" w:type="dxa"/>
          </w:tcPr>
          <w:p w:rsidR="00CB6055" w:rsidRDefault="00CB6055" w:rsidP="00CB6055">
            <w:pPr>
              <w:rPr>
                <w:sz w:val="24"/>
                <w:szCs w:val="24"/>
                <w:u w:val="single"/>
              </w:rPr>
            </w:pPr>
          </w:p>
        </w:tc>
        <w:tc>
          <w:tcPr>
            <w:tcW w:w="1505" w:type="dxa"/>
          </w:tcPr>
          <w:p w:rsidR="00CB6055" w:rsidRDefault="00CB6055" w:rsidP="00CB6055">
            <w:pPr>
              <w:rPr>
                <w:sz w:val="24"/>
                <w:szCs w:val="24"/>
                <w:u w:val="single"/>
              </w:rPr>
            </w:pPr>
          </w:p>
        </w:tc>
      </w:tr>
      <w:tr w:rsidR="00CB6055" w:rsidTr="00431ECA">
        <w:tc>
          <w:tcPr>
            <w:tcW w:w="2605" w:type="dxa"/>
          </w:tcPr>
          <w:p w:rsidR="00CB6055" w:rsidRPr="00E57760" w:rsidRDefault="00CB6055" w:rsidP="00FD3D50">
            <w:pPr>
              <w:jc w:val="center"/>
              <w:rPr>
                <w:b/>
                <w:sz w:val="24"/>
                <w:szCs w:val="24"/>
              </w:rPr>
            </w:pPr>
            <w:r>
              <w:rPr>
                <w:b/>
                <w:sz w:val="24"/>
                <w:szCs w:val="24"/>
              </w:rPr>
              <w:t>Non-Government</w:t>
            </w:r>
            <w:r w:rsidRPr="00E57760">
              <w:rPr>
                <w:b/>
                <w:sz w:val="24"/>
                <w:szCs w:val="24"/>
              </w:rPr>
              <w:t xml:space="preserve"> Insured Patient</w:t>
            </w:r>
            <w:r w:rsidR="003E721D">
              <w:rPr>
                <w:b/>
                <w:sz w:val="24"/>
                <w:szCs w:val="24"/>
              </w:rPr>
              <w:t xml:space="preserve"> in connection with a</w:t>
            </w:r>
            <w:r w:rsidR="00431ECA">
              <w:rPr>
                <w:b/>
                <w:sz w:val="24"/>
                <w:szCs w:val="24"/>
              </w:rPr>
              <w:t xml:space="preserve">n Emergency Visit at a </w:t>
            </w:r>
            <w:r w:rsidR="003E721D">
              <w:rPr>
                <w:b/>
                <w:sz w:val="24"/>
                <w:szCs w:val="24"/>
              </w:rPr>
              <w:t xml:space="preserve"> Hospital or ASC</w:t>
            </w:r>
          </w:p>
        </w:tc>
        <w:tc>
          <w:tcPr>
            <w:tcW w:w="1504" w:type="dxa"/>
          </w:tcPr>
          <w:p w:rsidR="00CB6055" w:rsidRDefault="00CB6055" w:rsidP="00CB6055">
            <w:pPr>
              <w:rPr>
                <w:sz w:val="24"/>
                <w:szCs w:val="24"/>
                <w:u w:val="single"/>
              </w:rPr>
            </w:pPr>
          </w:p>
        </w:tc>
        <w:tc>
          <w:tcPr>
            <w:tcW w:w="1504" w:type="dxa"/>
          </w:tcPr>
          <w:p w:rsidR="00CB6055" w:rsidRDefault="00CB6055" w:rsidP="00CB6055">
            <w:pPr>
              <w:rPr>
                <w:sz w:val="24"/>
                <w:szCs w:val="24"/>
                <w:u w:val="single"/>
              </w:rPr>
            </w:pPr>
          </w:p>
        </w:tc>
        <w:tc>
          <w:tcPr>
            <w:tcW w:w="1504" w:type="dxa"/>
            <w:vAlign w:val="center"/>
          </w:tcPr>
          <w:p w:rsidR="00144E02" w:rsidRPr="00905CF4" w:rsidRDefault="00431ECA" w:rsidP="00431ECA">
            <w:pPr>
              <w:jc w:val="center"/>
              <w:rPr>
                <w:b/>
                <w:sz w:val="24"/>
                <w:szCs w:val="24"/>
              </w:rPr>
            </w:pPr>
            <w:r w:rsidRPr="00905CF4">
              <w:rPr>
                <w:b/>
                <w:sz w:val="24"/>
                <w:szCs w:val="24"/>
              </w:rPr>
              <w:t>X</w:t>
            </w:r>
            <w:r w:rsidR="00144E02" w:rsidRPr="00905CF4">
              <w:rPr>
                <w:b/>
                <w:sz w:val="24"/>
                <w:szCs w:val="24"/>
              </w:rPr>
              <w:t xml:space="preserve"> </w:t>
            </w:r>
          </w:p>
          <w:p w:rsidR="00CB6055" w:rsidRPr="00905CF4" w:rsidRDefault="00CB6055" w:rsidP="00431ECA">
            <w:pPr>
              <w:jc w:val="center"/>
              <w:rPr>
                <w:sz w:val="20"/>
                <w:szCs w:val="20"/>
                <w:u w:val="single"/>
              </w:rPr>
            </w:pPr>
          </w:p>
        </w:tc>
        <w:tc>
          <w:tcPr>
            <w:tcW w:w="1505" w:type="dxa"/>
            <w:vAlign w:val="center"/>
          </w:tcPr>
          <w:p w:rsidR="00144E02" w:rsidRPr="00905CF4" w:rsidRDefault="00144E02" w:rsidP="00144E02">
            <w:pPr>
              <w:jc w:val="center"/>
              <w:rPr>
                <w:b/>
                <w:sz w:val="24"/>
                <w:szCs w:val="24"/>
              </w:rPr>
            </w:pPr>
            <w:r w:rsidRPr="00905CF4">
              <w:rPr>
                <w:b/>
                <w:sz w:val="24"/>
                <w:szCs w:val="24"/>
              </w:rPr>
              <w:t xml:space="preserve">X </w:t>
            </w:r>
          </w:p>
          <w:p w:rsidR="00CB6055" w:rsidRPr="00905CF4" w:rsidRDefault="00144E02" w:rsidP="00144E02">
            <w:pPr>
              <w:jc w:val="center"/>
              <w:rPr>
                <w:sz w:val="20"/>
                <w:szCs w:val="20"/>
                <w:u w:val="single"/>
              </w:rPr>
            </w:pPr>
            <w:r w:rsidRPr="00905CF4">
              <w:rPr>
                <w:sz w:val="20"/>
                <w:szCs w:val="20"/>
              </w:rPr>
              <w:t>if provider is out-of-network only</w:t>
            </w:r>
          </w:p>
        </w:tc>
        <w:tc>
          <w:tcPr>
            <w:tcW w:w="1504" w:type="dxa"/>
            <w:vAlign w:val="center"/>
          </w:tcPr>
          <w:p w:rsidR="00705705" w:rsidRPr="00905CF4" w:rsidRDefault="00705705" w:rsidP="003E721D">
            <w:pPr>
              <w:jc w:val="center"/>
              <w:rPr>
                <w:b/>
                <w:sz w:val="24"/>
                <w:szCs w:val="24"/>
              </w:rPr>
            </w:pPr>
            <w:r w:rsidRPr="00905CF4">
              <w:rPr>
                <w:b/>
                <w:sz w:val="24"/>
                <w:szCs w:val="24"/>
              </w:rPr>
              <w:t>X</w:t>
            </w:r>
          </w:p>
          <w:p w:rsidR="00CB6055" w:rsidRDefault="008913A0" w:rsidP="008913A0">
            <w:pPr>
              <w:jc w:val="center"/>
              <w:rPr>
                <w:sz w:val="24"/>
                <w:szCs w:val="24"/>
                <w:u w:val="single"/>
              </w:rPr>
            </w:pPr>
            <w:r>
              <w:rPr>
                <w:sz w:val="20"/>
                <w:szCs w:val="20"/>
              </w:rPr>
              <w:t>Narrow set of p</w:t>
            </w:r>
            <w:r w:rsidR="00705705" w:rsidRPr="00883898">
              <w:rPr>
                <w:sz w:val="20"/>
                <w:szCs w:val="20"/>
              </w:rPr>
              <w:t>ost-stabilization services only</w:t>
            </w:r>
            <w:r w:rsidR="00814D68">
              <w:rPr>
                <w:sz w:val="20"/>
                <w:szCs w:val="20"/>
              </w:rPr>
              <w:t xml:space="preserve">. </w:t>
            </w:r>
          </w:p>
        </w:tc>
        <w:tc>
          <w:tcPr>
            <w:tcW w:w="1504" w:type="dxa"/>
          </w:tcPr>
          <w:p w:rsidR="00CB6055" w:rsidRDefault="00CB6055" w:rsidP="00CB6055">
            <w:pPr>
              <w:rPr>
                <w:sz w:val="24"/>
                <w:szCs w:val="24"/>
                <w:u w:val="single"/>
              </w:rPr>
            </w:pPr>
          </w:p>
        </w:tc>
        <w:tc>
          <w:tcPr>
            <w:tcW w:w="1505" w:type="dxa"/>
          </w:tcPr>
          <w:p w:rsidR="00CB6055" w:rsidRDefault="00CB6055" w:rsidP="00CB6055">
            <w:pPr>
              <w:rPr>
                <w:sz w:val="24"/>
                <w:szCs w:val="24"/>
                <w:u w:val="single"/>
              </w:rPr>
            </w:pPr>
          </w:p>
        </w:tc>
      </w:tr>
      <w:tr w:rsidR="00CB6055" w:rsidTr="00705705">
        <w:tc>
          <w:tcPr>
            <w:tcW w:w="2605" w:type="dxa"/>
          </w:tcPr>
          <w:p w:rsidR="00CB6055" w:rsidRPr="00E57760" w:rsidRDefault="00CB6055" w:rsidP="00431ECA">
            <w:pPr>
              <w:jc w:val="center"/>
              <w:rPr>
                <w:b/>
                <w:sz w:val="24"/>
                <w:szCs w:val="24"/>
              </w:rPr>
            </w:pPr>
            <w:r w:rsidRPr="00E57760">
              <w:rPr>
                <w:b/>
                <w:sz w:val="24"/>
                <w:szCs w:val="24"/>
              </w:rPr>
              <w:t>Uninsured or Self-pay</w:t>
            </w:r>
            <w:r>
              <w:rPr>
                <w:b/>
                <w:sz w:val="24"/>
                <w:szCs w:val="24"/>
              </w:rPr>
              <w:t xml:space="preserve"> patient </w:t>
            </w:r>
            <w:r w:rsidR="003E721D">
              <w:rPr>
                <w:b/>
                <w:sz w:val="24"/>
                <w:szCs w:val="24"/>
              </w:rPr>
              <w:t>in connection with a</w:t>
            </w:r>
            <w:r w:rsidR="00431ECA">
              <w:rPr>
                <w:b/>
                <w:sz w:val="24"/>
                <w:szCs w:val="24"/>
              </w:rPr>
              <w:t>n Emergency Visit at a</w:t>
            </w:r>
            <w:r w:rsidR="003E721D">
              <w:rPr>
                <w:b/>
                <w:sz w:val="24"/>
                <w:szCs w:val="24"/>
              </w:rPr>
              <w:t xml:space="preserve"> Hospital or ASC </w:t>
            </w:r>
          </w:p>
        </w:tc>
        <w:tc>
          <w:tcPr>
            <w:tcW w:w="1504" w:type="dxa"/>
            <w:vAlign w:val="center"/>
          </w:tcPr>
          <w:p w:rsidR="00CB6055" w:rsidRPr="00883898" w:rsidRDefault="00CB6055" w:rsidP="00CB6055">
            <w:pPr>
              <w:jc w:val="center"/>
              <w:rPr>
                <w:sz w:val="24"/>
                <w:szCs w:val="24"/>
              </w:rPr>
            </w:pPr>
          </w:p>
        </w:tc>
        <w:tc>
          <w:tcPr>
            <w:tcW w:w="1504" w:type="dxa"/>
            <w:vAlign w:val="center"/>
          </w:tcPr>
          <w:p w:rsidR="00CB6055" w:rsidRPr="00883898" w:rsidRDefault="00CB6055" w:rsidP="00CB6055">
            <w:pPr>
              <w:ind w:left="360"/>
              <w:rPr>
                <w:sz w:val="24"/>
                <w:szCs w:val="24"/>
              </w:rPr>
            </w:pPr>
          </w:p>
        </w:tc>
        <w:tc>
          <w:tcPr>
            <w:tcW w:w="1504" w:type="dxa"/>
          </w:tcPr>
          <w:p w:rsidR="00CB6055" w:rsidRDefault="00CB6055" w:rsidP="00CB6055">
            <w:pPr>
              <w:rPr>
                <w:sz w:val="24"/>
                <w:szCs w:val="24"/>
                <w:u w:val="single"/>
              </w:rPr>
            </w:pPr>
          </w:p>
        </w:tc>
        <w:tc>
          <w:tcPr>
            <w:tcW w:w="1505" w:type="dxa"/>
          </w:tcPr>
          <w:p w:rsidR="00CB6055" w:rsidRDefault="00CB6055" w:rsidP="00CB6055">
            <w:pPr>
              <w:rPr>
                <w:sz w:val="24"/>
                <w:szCs w:val="24"/>
                <w:u w:val="single"/>
              </w:rPr>
            </w:pPr>
          </w:p>
        </w:tc>
        <w:tc>
          <w:tcPr>
            <w:tcW w:w="1504" w:type="dxa"/>
          </w:tcPr>
          <w:p w:rsidR="00CB6055" w:rsidRDefault="00CB6055" w:rsidP="00CB6055">
            <w:pPr>
              <w:rPr>
                <w:sz w:val="24"/>
                <w:szCs w:val="24"/>
                <w:u w:val="single"/>
              </w:rPr>
            </w:pPr>
          </w:p>
        </w:tc>
        <w:tc>
          <w:tcPr>
            <w:tcW w:w="1504" w:type="dxa"/>
          </w:tcPr>
          <w:p w:rsidR="00CB6055" w:rsidRDefault="00CB6055" w:rsidP="00CB6055">
            <w:pPr>
              <w:rPr>
                <w:sz w:val="24"/>
                <w:szCs w:val="24"/>
                <w:u w:val="single"/>
              </w:rPr>
            </w:pPr>
          </w:p>
        </w:tc>
        <w:tc>
          <w:tcPr>
            <w:tcW w:w="1505" w:type="dxa"/>
          </w:tcPr>
          <w:p w:rsidR="00CB6055" w:rsidRDefault="00CB6055" w:rsidP="00CB6055">
            <w:pPr>
              <w:rPr>
                <w:sz w:val="24"/>
                <w:szCs w:val="24"/>
                <w:u w:val="single"/>
              </w:rPr>
            </w:pPr>
          </w:p>
        </w:tc>
      </w:tr>
      <w:tr w:rsidR="006D308D" w:rsidTr="007E65D4">
        <w:trPr>
          <w:cantSplit/>
        </w:trPr>
        <w:tc>
          <w:tcPr>
            <w:tcW w:w="2605" w:type="dxa"/>
          </w:tcPr>
          <w:p w:rsidR="006D308D" w:rsidRPr="00E57760" w:rsidRDefault="006D308D" w:rsidP="006D308D">
            <w:pPr>
              <w:jc w:val="center"/>
              <w:rPr>
                <w:b/>
                <w:sz w:val="24"/>
                <w:szCs w:val="24"/>
              </w:rPr>
            </w:pPr>
            <w:r>
              <w:rPr>
                <w:b/>
                <w:sz w:val="24"/>
                <w:szCs w:val="24"/>
              </w:rPr>
              <w:lastRenderedPageBreak/>
              <w:t>Government</w:t>
            </w:r>
            <w:r w:rsidRPr="00E57760">
              <w:rPr>
                <w:b/>
                <w:sz w:val="24"/>
                <w:szCs w:val="24"/>
              </w:rPr>
              <w:t xml:space="preserve"> Insured Patient</w:t>
            </w:r>
            <w:r>
              <w:rPr>
                <w:b/>
                <w:sz w:val="24"/>
                <w:szCs w:val="24"/>
              </w:rPr>
              <w:t xml:space="preserve"> in connection with a Non-Emergency Visit at a Hospital or ASC</w:t>
            </w:r>
            <w:r w:rsidRPr="00E57760">
              <w:rPr>
                <w:b/>
                <w:sz w:val="24"/>
                <w:szCs w:val="24"/>
              </w:rPr>
              <w:t xml:space="preserve"> </w:t>
            </w:r>
          </w:p>
        </w:tc>
        <w:tc>
          <w:tcPr>
            <w:tcW w:w="1504" w:type="dxa"/>
            <w:vAlign w:val="center"/>
          </w:tcPr>
          <w:p w:rsidR="006D308D" w:rsidRPr="00905CF4" w:rsidRDefault="006D308D" w:rsidP="006D308D">
            <w:pPr>
              <w:jc w:val="center"/>
              <w:rPr>
                <w:b/>
                <w:sz w:val="24"/>
                <w:szCs w:val="24"/>
              </w:rPr>
            </w:pPr>
            <w:r w:rsidRPr="00905CF4">
              <w:rPr>
                <w:b/>
                <w:sz w:val="24"/>
                <w:szCs w:val="24"/>
              </w:rPr>
              <w:t xml:space="preserve">X </w:t>
            </w:r>
          </w:p>
          <w:p w:rsidR="006D308D" w:rsidRPr="00905CF4" w:rsidRDefault="006D308D" w:rsidP="006D308D">
            <w:pPr>
              <w:jc w:val="center"/>
              <w:rPr>
                <w:sz w:val="20"/>
                <w:szCs w:val="20"/>
                <w:u w:val="single"/>
              </w:rPr>
            </w:pPr>
            <w:r w:rsidRPr="00905CF4">
              <w:rPr>
                <w:sz w:val="20"/>
                <w:szCs w:val="20"/>
              </w:rPr>
              <w:t>if provider is the scheduling the service</w:t>
            </w:r>
          </w:p>
        </w:tc>
        <w:tc>
          <w:tcPr>
            <w:tcW w:w="1504" w:type="dxa"/>
            <w:vAlign w:val="center"/>
          </w:tcPr>
          <w:p w:rsidR="00566A72" w:rsidRPr="00905CF4" w:rsidRDefault="006D308D" w:rsidP="006D308D">
            <w:pPr>
              <w:jc w:val="center"/>
              <w:rPr>
                <w:b/>
                <w:sz w:val="24"/>
                <w:szCs w:val="24"/>
              </w:rPr>
            </w:pPr>
            <w:r w:rsidRPr="00905CF4">
              <w:rPr>
                <w:b/>
                <w:sz w:val="24"/>
                <w:szCs w:val="24"/>
              </w:rPr>
              <w:t>X</w:t>
            </w:r>
            <w:r w:rsidR="00566A72" w:rsidRPr="00905CF4">
              <w:rPr>
                <w:b/>
                <w:sz w:val="24"/>
                <w:szCs w:val="24"/>
              </w:rPr>
              <w:t xml:space="preserve"> </w:t>
            </w:r>
          </w:p>
          <w:p w:rsidR="006D308D" w:rsidRPr="00905CF4" w:rsidRDefault="00566A72" w:rsidP="006D308D">
            <w:pPr>
              <w:jc w:val="center"/>
              <w:rPr>
                <w:sz w:val="20"/>
                <w:szCs w:val="20"/>
                <w:u w:val="single"/>
              </w:rPr>
            </w:pPr>
            <w:r w:rsidRPr="00905CF4">
              <w:rPr>
                <w:sz w:val="20"/>
                <w:szCs w:val="20"/>
              </w:rPr>
              <w:t>if provider is making a referral</w:t>
            </w:r>
          </w:p>
        </w:tc>
        <w:tc>
          <w:tcPr>
            <w:tcW w:w="1504" w:type="dxa"/>
            <w:vAlign w:val="center"/>
          </w:tcPr>
          <w:p w:rsidR="006D308D" w:rsidRDefault="006D308D" w:rsidP="006D308D">
            <w:pPr>
              <w:jc w:val="center"/>
              <w:rPr>
                <w:sz w:val="24"/>
                <w:szCs w:val="24"/>
                <w:u w:val="single"/>
              </w:rPr>
            </w:pPr>
          </w:p>
        </w:tc>
        <w:tc>
          <w:tcPr>
            <w:tcW w:w="1505" w:type="dxa"/>
            <w:vAlign w:val="center"/>
          </w:tcPr>
          <w:p w:rsidR="006D308D" w:rsidRDefault="006D308D" w:rsidP="006D308D">
            <w:pPr>
              <w:jc w:val="center"/>
              <w:rPr>
                <w:sz w:val="24"/>
                <w:szCs w:val="24"/>
                <w:u w:val="single"/>
              </w:rPr>
            </w:pPr>
          </w:p>
        </w:tc>
        <w:tc>
          <w:tcPr>
            <w:tcW w:w="1504" w:type="dxa"/>
            <w:vAlign w:val="center"/>
          </w:tcPr>
          <w:p w:rsidR="006D308D" w:rsidRDefault="006D308D" w:rsidP="006D308D">
            <w:pPr>
              <w:jc w:val="center"/>
              <w:rPr>
                <w:sz w:val="24"/>
                <w:szCs w:val="24"/>
                <w:u w:val="single"/>
              </w:rPr>
            </w:pPr>
          </w:p>
        </w:tc>
        <w:tc>
          <w:tcPr>
            <w:tcW w:w="1504" w:type="dxa"/>
          </w:tcPr>
          <w:p w:rsidR="006D308D" w:rsidRDefault="006D308D" w:rsidP="006D308D">
            <w:pPr>
              <w:rPr>
                <w:sz w:val="24"/>
                <w:szCs w:val="24"/>
                <w:u w:val="single"/>
              </w:rPr>
            </w:pPr>
          </w:p>
        </w:tc>
        <w:tc>
          <w:tcPr>
            <w:tcW w:w="1505" w:type="dxa"/>
          </w:tcPr>
          <w:p w:rsidR="006D308D" w:rsidRDefault="006D308D" w:rsidP="006D308D">
            <w:pPr>
              <w:rPr>
                <w:sz w:val="24"/>
                <w:szCs w:val="24"/>
                <w:u w:val="single"/>
              </w:rPr>
            </w:pPr>
          </w:p>
        </w:tc>
      </w:tr>
      <w:tr w:rsidR="006D308D" w:rsidTr="00FD3D50">
        <w:trPr>
          <w:cantSplit/>
        </w:trPr>
        <w:tc>
          <w:tcPr>
            <w:tcW w:w="2605" w:type="dxa"/>
          </w:tcPr>
          <w:p w:rsidR="006D308D" w:rsidRPr="00E57760" w:rsidRDefault="006D308D" w:rsidP="006D308D">
            <w:pPr>
              <w:jc w:val="center"/>
              <w:rPr>
                <w:b/>
                <w:sz w:val="24"/>
                <w:szCs w:val="24"/>
              </w:rPr>
            </w:pPr>
            <w:r>
              <w:rPr>
                <w:b/>
                <w:sz w:val="24"/>
                <w:szCs w:val="24"/>
              </w:rPr>
              <w:t xml:space="preserve">Non-Government </w:t>
            </w:r>
            <w:r w:rsidRPr="00E57760">
              <w:rPr>
                <w:b/>
                <w:sz w:val="24"/>
                <w:szCs w:val="24"/>
              </w:rPr>
              <w:t xml:space="preserve">Insured Patient </w:t>
            </w:r>
            <w:r>
              <w:rPr>
                <w:b/>
                <w:sz w:val="24"/>
                <w:szCs w:val="24"/>
              </w:rPr>
              <w:t xml:space="preserve"> in connection with a </w:t>
            </w:r>
            <w:r w:rsidRPr="00E57760">
              <w:rPr>
                <w:b/>
                <w:sz w:val="24"/>
                <w:szCs w:val="24"/>
              </w:rPr>
              <w:t xml:space="preserve">Non-emergency </w:t>
            </w:r>
            <w:r>
              <w:rPr>
                <w:b/>
                <w:sz w:val="24"/>
                <w:szCs w:val="24"/>
              </w:rPr>
              <w:t>Visit at a Hospital or ASC</w:t>
            </w:r>
          </w:p>
        </w:tc>
        <w:tc>
          <w:tcPr>
            <w:tcW w:w="1504" w:type="dxa"/>
            <w:vAlign w:val="center"/>
          </w:tcPr>
          <w:p w:rsidR="006D308D" w:rsidRPr="00905CF4" w:rsidRDefault="006D308D" w:rsidP="006D308D">
            <w:pPr>
              <w:jc w:val="center"/>
              <w:rPr>
                <w:b/>
                <w:sz w:val="24"/>
                <w:szCs w:val="24"/>
              </w:rPr>
            </w:pPr>
            <w:r w:rsidRPr="00905CF4">
              <w:rPr>
                <w:b/>
                <w:sz w:val="24"/>
                <w:szCs w:val="24"/>
              </w:rPr>
              <w:t xml:space="preserve">X </w:t>
            </w:r>
          </w:p>
          <w:p w:rsidR="006D308D" w:rsidRPr="00905CF4" w:rsidRDefault="006D308D" w:rsidP="006D308D">
            <w:pPr>
              <w:jc w:val="center"/>
              <w:rPr>
                <w:sz w:val="20"/>
                <w:szCs w:val="20"/>
                <w:u w:val="single"/>
              </w:rPr>
            </w:pPr>
            <w:r w:rsidRPr="00905CF4">
              <w:rPr>
                <w:sz w:val="20"/>
                <w:szCs w:val="20"/>
              </w:rPr>
              <w:t>if provider is the scheduling the service</w:t>
            </w:r>
          </w:p>
        </w:tc>
        <w:tc>
          <w:tcPr>
            <w:tcW w:w="1504" w:type="dxa"/>
            <w:vAlign w:val="center"/>
          </w:tcPr>
          <w:p w:rsidR="00566A72" w:rsidRPr="00905CF4" w:rsidRDefault="00566A72" w:rsidP="00566A72">
            <w:pPr>
              <w:jc w:val="center"/>
              <w:rPr>
                <w:b/>
                <w:sz w:val="24"/>
                <w:szCs w:val="24"/>
              </w:rPr>
            </w:pPr>
            <w:r w:rsidRPr="00905CF4">
              <w:rPr>
                <w:b/>
                <w:sz w:val="24"/>
                <w:szCs w:val="24"/>
              </w:rPr>
              <w:t xml:space="preserve">X </w:t>
            </w:r>
          </w:p>
          <w:p w:rsidR="006D308D" w:rsidRPr="00905CF4" w:rsidRDefault="00566A72" w:rsidP="00566A72">
            <w:pPr>
              <w:jc w:val="center"/>
              <w:rPr>
                <w:sz w:val="20"/>
                <w:szCs w:val="20"/>
                <w:u w:val="single"/>
              </w:rPr>
            </w:pPr>
            <w:r w:rsidRPr="00905CF4">
              <w:rPr>
                <w:sz w:val="20"/>
                <w:szCs w:val="20"/>
              </w:rPr>
              <w:t>if provider is making a referral</w:t>
            </w:r>
          </w:p>
        </w:tc>
        <w:tc>
          <w:tcPr>
            <w:tcW w:w="1504" w:type="dxa"/>
            <w:vAlign w:val="center"/>
          </w:tcPr>
          <w:p w:rsidR="006D308D" w:rsidRPr="00905CF4" w:rsidRDefault="006D308D" w:rsidP="006D308D">
            <w:pPr>
              <w:jc w:val="center"/>
              <w:rPr>
                <w:b/>
                <w:sz w:val="24"/>
                <w:szCs w:val="24"/>
              </w:rPr>
            </w:pPr>
            <w:r w:rsidRPr="00905CF4">
              <w:rPr>
                <w:b/>
                <w:sz w:val="24"/>
                <w:szCs w:val="24"/>
              </w:rPr>
              <w:t xml:space="preserve">X </w:t>
            </w:r>
          </w:p>
          <w:p w:rsidR="006D308D" w:rsidRPr="00905CF4" w:rsidRDefault="006D308D" w:rsidP="006D308D">
            <w:pPr>
              <w:jc w:val="center"/>
              <w:rPr>
                <w:sz w:val="20"/>
                <w:szCs w:val="20"/>
                <w:u w:val="single"/>
              </w:rPr>
            </w:pPr>
          </w:p>
        </w:tc>
        <w:tc>
          <w:tcPr>
            <w:tcW w:w="1505" w:type="dxa"/>
            <w:vAlign w:val="center"/>
          </w:tcPr>
          <w:p w:rsidR="006D308D" w:rsidRPr="00905CF4" w:rsidRDefault="006D308D" w:rsidP="006D308D">
            <w:pPr>
              <w:jc w:val="center"/>
              <w:rPr>
                <w:b/>
                <w:sz w:val="24"/>
                <w:szCs w:val="24"/>
              </w:rPr>
            </w:pPr>
            <w:r w:rsidRPr="00905CF4">
              <w:rPr>
                <w:b/>
                <w:sz w:val="24"/>
                <w:szCs w:val="24"/>
              </w:rPr>
              <w:t xml:space="preserve">X </w:t>
            </w:r>
          </w:p>
          <w:p w:rsidR="006D308D" w:rsidRPr="00905CF4" w:rsidRDefault="006D308D" w:rsidP="006D308D">
            <w:pPr>
              <w:jc w:val="center"/>
              <w:rPr>
                <w:sz w:val="20"/>
                <w:szCs w:val="20"/>
                <w:u w:val="single"/>
              </w:rPr>
            </w:pPr>
            <w:r w:rsidRPr="00905CF4">
              <w:rPr>
                <w:sz w:val="20"/>
                <w:szCs w:val="20"/>
              </w:rPr>
              <w:t>if provider is out-of-network only</w:t>
            </w:r>
          </w:p>
        </w:tc>
        <w:tc>
          <w:tcPr>
            <w:tcW w:w="1504" w:type="dxa"/>
            <w:vAlign w:val="center"/>
          </w:tcPr>
          <w:p w:rsidR="006D308D" w:rsidRDefault="006D308D" w:rsidP="006D308D">
            <w:pPr>
              <w:jc w:val="center"/>
              <w:rPr>
                <w:b/>
                <w:sz w:val="24"/>
                <w:szCs w:val="24"/>
              </w:rPr>
            </w:pPr>
            <w:r w:rsidRPr="00905CF4">
              <w:rPr>
                <w:b/>
                <w:sz w:val="24"/>
                <w:szCs w:val="24"/>
              </w:rPr>
              <w:t xml:space="preserve">X </w:t>
            </w:r>
          </w:p>
          <w:p w:rsidR="008913A0" w:rsidRPr="00905CF4" w:rsidRDefault="008913A0" w:rsidP="006D308D">
            <w:pPr>
              <w:jc w:val="center"/>
              <w:rPr>
                <w:b/>
                <w:sz w:val="24"/>
                <w:szCs w:val="24"/>
              </w:rPr>
            </w:pPr>
            <w:r>
              <w:rPr>
                <w:sz w:val="20"/>
                <w:szCs w:val="20"/>
              </w:rPr>
              <w:t>Not an option for hospital-based specialists</w:t>
            </w:r>
            <w:r w:rsidR="00855BF0">
              <w:rPr>
                <w:sz w:val="20"/>
                <w:szCs w:val="20"/>
              </w:rPr>
              <w:t>, diagnostic or laboratory services, and certain other services</w:t>
            </w:r>
            <w:r>
              <w:rPr>
                <w:sz w:val="20"/>
                <w:szCs w:val="20"/>
              </w:rPr>
              <w:t>.</w:t>
            </w:r>
          </w:p>
          <w:p w:rsidR="006D308D" w:rsidRDefault="006D308D" w:rsidP="006D308D">
            <w:pPr>
              <w:jc w:val="center"/>
              <w:rPr>
                <w:sz w:val="24"/>
                <w:szCs w:val="24"/>
                <w:u w:val="single"/>
              </w:rPr>
            </w:pPr>
          </w:p>
        </w:tc>
        <w:tc>
          <w:tcPr>
            <w:tcW w:w="1504" w:type="dxa"/>
          </w:tcPr>
          <w:p w:rsidR="006D308D" w:rsidRDefault="006D308D" w:rsidP="006D308D">
            <w:pPr>
              <w:rPr>
                <w:sz w:val="24"/>
                <w:szCs w:val="24"/>
                <w:u w:val="single"/>
              </w:rPr>
            </w:pPr>
          </w:p>
        </w:tc>
        <w:tc>
          <w:tcPr>
            <w:tcW w:w="1505" w:type="dxa"/>
          </w:tcPr>
          <w:p w:rsidR="006D308D" w:rsidRDefault="006D308D" w:rsidP="006D308D">
            <w:pPr>
              <w:rPr>
                <w:sz w:val="24"/>
                <w:szCs w:val="24"/>
                <w:u w:val="single"/>
              </w:rPr>
            </w:pPr>
          </w:p>
        </w:tc>
      </w:tr>
      <w:tr w:rsidR="006D308D" w:rsidTr="00F94660">
        <w:trPr>
          <w:cantSplit/>
        </w:trPr>
        <w:tc>
          <w:tcPr>
            <w:tcW w:w="2605" w:type="dxa"/>
          </w:tcPr>
          <w:p w:rsidR="006D308D" w:rsidRPr="00E57760" w:rsidRDefault="006D308D" w:rsidP="006D308D">
            <w:pPr>
              <w:jc w:val="center"/>
              <w:rPr>
                <w:b/>
                <w:sz w:val="24"/>
                <w:szCs w:val="24"/>
              </w:rPr>
            </w:pPr>
            <w:r>
              <w:rPr>
                <w:b/>
                <w:sz w:val="24"/>
                <w:szCs w:val="24"/>
              </w:rPr>
              <w:lastRenderedPageBreak/>
              <w:t>Government</w:t>
            </w:r>
            <w:r w:rsidRPr="00E57760">
              <w:rPr>
                <w:b/>
                <w:sz w:val="24"/>
                <w:szCs w:val="24"/>
              </w:rPr>
              <w:t xml:space="preserve"> Insured Patient</w:t>
            </w:r>
            <w:r>
              <w:rPr>
                <w:b/>
                <w:sz w:val="24"/>
                <w:szCs w:val="24"/>
              </w:rPr>
              <w:t xml:space="preserve"> in connection with a Non-Emergency Visit at a location other than a Hospital or ASC</w:t>
            </w:r>
            <w:r w:rsidRPr="00E57760">
              <w:rPr>
                <w:b/>
                <w:sz w:val="24"/>
                <w:szCs w:val="24"/>
              </w:rPr>
              <w:t xml:space="preserve"> </w:t>
            </w:r>
          </w:p>
        </w:tc>
        <w:tc>
          <w:tcPr>
            <w:tcW w:w="1504" w:type="dxa"/>
            <w:vAlign w:val="center"/>
          </w:tcPr>
          <w:p w:rsidR="006D308D" w:rsidRPr="00905CF4" w:rsidRDefault="006D308D" w:rsidP="006D308D">
            <w:pPr>
              <w:jc w:val="center"/>
              <w:rPr>
                <w:b/>
                <w:sz w:val="24"/>
                <w:szCs w:val="24"/>
              </w:rPr>
            </w:pPr>
            <w:r w:rsidRPr="00905CF4">
              <w:rPr>
                <w:b/>
                <w:sz w:val="24"/>
                <w:szCs w:val="24"/>
              </w:rPr>
              <w:t xml:space="preserve">X </w:t>
            </w:r>
          </w:p>
          <w:p w:rsidR="006D308D" w:rsidRPr="00905CF4" w:rsidRDefault="006D308D" w:rsidP="006D308D">
            <w:pPr>
              <w:jc w:val="center"/>
              <w:rPr>
                <w:sz w:val="20"/>
                <w:szCs w:val="20"/>
                <w:u w:val="single"/>
              </w:rPr>
            </w:pPr>
            <w:r w:rsidRPr="00905CF4">
              <w:rPr>
                <w:sz w:val="20"/>
                <w:szCs w:val="20"/>
              </w:rPr>
              <w:t>if provider is the scheduling the service</w:t>
            </w:r>
          </w:p>
        </w:tc>
        <w:tc>
          <w:tcPr>
            <w:tcW w:w="1504" w:type="dxa"/>
            <w:vAlign w:val="center"/>
          </w:tcPr>
          <w:p w:rsidR="00566A72" w:rsidRPr="00905CF4" w:rsidRDefault="00566A72" w:rsidP="00566A72">
            <w:pPr>
              <w:jc w:val="center"/>
              <w:rPr>
                <w:b/>
                <w:sz w:val="24"/>
                <w:szCs w:val="24"/>
              </w:rPr>
            </w:pPr>
            <w:r w:rsidRPr="00905CF4">
              <w:rPr>
                <w:b/>
                <w:sz w:val="24"/>
                <w:szCs w:val="24"/>
              </w:rPr>
              <w:t xml:space="preserve">X </w:t>
            </w:r>
          </w:p>
          <w:p w:rsidR="006D308D" w:rsidRPr="00905CF4" w:rsidRDefault="00566A72" w:rsidP="00566A72">
            <w:pPr>
              <w:jc w:val="center"/>
              <w:rPr>
                <w:sz w:val="20"/>
                <w:szCs w:val="20"/>
                <w:u w:val="single"/>
              </w:rPr>
            </w:pPr>
            <w:r w:rsidRPr="00905CF4">
              <w:rPr>
                <w:sz w:val="20"/>
                <w:szCs w:val="20"/>
              </w:rPr>
              <w:t>if provider is making a referral</w:t>
            </w:r>
          </w:p>
        </w:tc>
        <w:tc>
          <w:tcPr>
            <w:tcW w:w="1504" w:type="dxa"/>
            <w:vAlign w:val="center"/>
          </w:tcPr>
          <w:p w:rsidR="006D308D" w:rsidRDefault="006D308D" w:rsidP="006D308D">
            <w:pPr>
              <w:jc w:val="center"/>
              <w:rPr>
                <w:sz w:val="24"/>
                <w:szCs w:val="24"/>
                <w:u w:val="single"/>
              </w:rPr>
            </w:pPr>
          </w:p>
        </w:tc>
        <w:tc>
          <w:tcPr>
            <w:tcW w:w="1505" w:type="dxa"/>
            <w:vAlign w:val="center"/>
          </w:tcPr>
          <w:p w:rsidR="006D308D" w:rsidRDefault="006D308D" w:rsidP="006D308D">
            <w:pPr>
              <w:jc w:val="center"/>
              <w:rPr>
                <w:sz w:val="24"/>
                <w:szCs w:val="24"/>
                <w:u w:val="single"/>
              </w:rPr>
            </w:pPr>
          </w:p>
        </w:tc>
        <w:tc>
          <w:tcPr>
            <w:tcW w:w="1504" w:type="dxa"/>
            <w:vAlign w:val="center"/>
          </w:tcPr>
          <w:p w:rsidR="006D308D" w:rsidRDefault="006D308D" w:rsidP="006D308D">
            <w:pPr>
              <w:jc w:val="center"/>
              <w:rPr>
                <w:sz w:val="24"/>
                <w:szCs w:val="24"/>
                <w:u w:val="single"/>
              </w:rPr>
            </w:pPr>
          </w:p>
        </w:tc>
        <w:tc>
          <w:tcPr>
            <w:tcW w:w="1504" w:type="dxa"/>
          </w:tcPr>
          <w:p w:rsidR="006D308D" w:rsidRDefault="006D308D" w:rsidP="006D308D">
            <w:pPr>
              <w:rPr>
                <w:sz w:val="24"/>
                <w:szCs w:val="24"/>
                <w:u w:val="single"/>
              </w:rPr>
            </w:pPr>
          </w:p>
        </w:tc>
        <w:tc>
          <w:tcPr>
            <w:tcW w:w="1505" w:type="dxa"/>
          </w:tcPr>
          <w:p w:rsidR="006D308D" w:rsidRDefault="006D308D" w:rsidP="006D308D">
            <w:pPr>
              <w:rPr>
                <w:sz w:val="24"/>
                <w:szCs w:val="24"/>
                <w:u w:val="single"/>
              </w:rPr>
            </w:pPr>
          </w:p>
        </w:tc>
      </w:tr>
      <w:tr w:rsidR="006D308D" w:rsidTr="004331A0">
        <w:tc>
          <w:tcPr>
            <w:tcW w:w="2605" w:type="dxa"/>
          </w:tcPr>
          <w:p w:rsidR="006D308D" w:rsidRPr="00E57760" w:rsidRDefault="006D308D" w:rsidP="006D308D">
            <w:pPr>
              <w:jc w:val="center"/>
              <w:rPr>
                <w:b/>
                <w:sz w:val="24"/>
                <w:szCs w:val="24"/>
              </w:rPr>
            </w:pPr>
            <w:r>
              <w:rPr>
                <w:b/>
                <w:sz w:val="24"/>
                <w:szCs w:val="24"/>
              </w:rPr>
              <w:t>Non-Government</w:t>
            </w:r>
            <w:r w:rsidRPr="00E57760">
              <w:rPr>
                <w:b/>
                <w:sz w:val="24"/>
                <w:szCs w:val="24"/>
              </w:rPr>
              <w:t xml:space="preserve"> Insured Patient </w:t>
            </w:r>
            <w:r>
              <w:rPr>
                <w:b/>
                <w:sz w:val="24"/>
                <w:szCs w:val="24"/>
              </w:rPr>
              <w:t xml:space="preserve"> in connection with a </w:t>
            </w:r>
            <w:r w:rsidRPr="00E57760">
              <w:rPr>
                <w:b/>
                <w:sz w:val="24"/>
                <w:szCs w:val="24"/>
              </w:rPr>
              <w:t xml:space="preserve">Non-emergency </w:t>
            </w:r>
            <w:r>
              <w:rPr>
                <w:b/>
                <w:sz w:val="24"/>
                <w:szCs w:val="24"/>
              </w:rPr>
              <w:t>Visit at a location other than a Hospital or ASC</w:t>
            </w:r>
          </w:p>
        </w:tc>
        <w:tc>
          <w:tcPr>
            <w:tcW w:w="1504" w:type="dxa"/>
            <w:vAlign w:val="center"/>
          </w:tcPr>
          <w:p w:rsidR="006D308D" w:rsidRPr="00905CF4" w:rsidRDefault="006D308D" w:rsidP="006D308D">
            <w:pPr>
              <w:jc w:val="center"/>
              <w:rPr>
                <w:b/>
                <w:sz w:val="24"/>
                <w:szCs w:val="24"/>
              </w:rPr>
            </w:pPr>
            <w:r w:rsidRPr="00905CF4">
              <w:rPr>
                <w:b/>
                <w:sz w:val="24"/>
                <w:szCs w:val="24"/>
              </w:rPr>
              <w:t xml:space="preserve">X </w:t>
            </w:r>
          </w:p>
          <w:p w:rsidR="006D308D" w:rsidRPr="00905CF4" w:rsidRDefault="006D308D" w:rsidP="006D308D">
            <w:pPr>
              <w:jc w:val="center"/>
              <w:rPr>
                <w:sz w:val="20"/>
                <w:szCs w:val="20"/>
                <w:u w:val="single"/>
              </w:rPr>
            </w:pPr>
            <w:r w:rsidRPr="00905CF4">
              <w:rPr>
                <w:sz w:val="20"/>
                <w:szCs w:val="20"/>
              </w:rPr>
              <w:t>if provider is the scheduling the service</w:t>
            </w:r>
          </w:p>
        </w:tc>
        <w:tc>
          <w:tcPr>
            <w:tcW w:w="1504" w:type="dxa"/>
            <w:vAlign w:val="center"/>
          </w:tcPr>
          <w:p w:rsidR="00566A72" w:rsidRPr="00905CF4" w:rsidRDefault="00566A72" w:rsidP="00566A72">
            <w:pPr>
              <w:jc w:val="center"/>
              <w:rPr>
                <w:b/>
                <w:sz w:val="24"/>
                <w:szCs w:val="24"/>
              </w:rPr>
            </w:pPr>
            <w:r w:rsidRPr="00905CF4">
              <w:rPr>
                <w:b/>
                <w:sz w:val="24"/>
                <w:szCs w:val="24"/>
              </w:rPr>
              <w:t>X</w:t>
            </w:r>
          </w:p>
          <w:p w:rsidR="006D308D" w:rsidRPr="00905CF4" w:rsidRDefault="00566A72" w:rsidP="00566A72">
            <w:pPr>
              <w:jc w:val="center"/>
              <w:rPr>
                <w:sz w:val="20"/>
                <w:szCs w:val="20"/>
                <w:u w:val="single"/>
              </w:rPr>
            </w:pPr>
            <w:r w:rsidRPr="00905CF4">
              <w:rPr>
                <w:sz w:val="20"/>
                <w:szCs w:val="20"/>
              </w:rPr>
              <w:t>if provider is making a referral</w:t>
            </w:r>
          </w:p>
        </w:tc>
        <w:tc>
          <w:tcPr>
            <w:tcW w:w="1504" w:type="dxa"/>
            <w:vAlign w:val="center"/>
          </w:tcPr>
          <w:p w:rsidR="006D308D" w:rsidRDefault="006D308D" w:rsidP="006D308D">
            <w:pPr>
              <w:jc w:val="center"/>
              <w:rPr>
                <w:sz w:val="24"/>
                <w:szCs w:val="24"/>
                <w:u w:val="single"/>
              </w:rPr>
            </w:pPr>
          </w:p>
        </w:tc>
        <w:tc>
          <w:tcPr>
            <w:tcW w:w="1505" w:type="dxa"/>
            <w:vAlign w:val="center"/>
          </w:tcPr>
          <w:p w:rsidR="006D308D" w:rsidRDefault="006D308D" w:rsidP="006D308D">
            <w:pPr>
              <w:jc w:val="center"/>
              <w:rPr>
                <w:sz w:val="24"/>
                <w:szCs w:val="24"/>
                <w:u w:val="single"/>
              </w:rPr>
            </w:pPr>
          </w:p>
        </w:tc>
        <w:tc>
          <w:tcPr>
            <w:tcW w:w="1504" w:type="dxa"/>
            <w:vAlign w:val="center"/>
          </w:tcPr>
          <w:p w:rsidR="006D308D" w:rsidRDefault="006D308D" w:rsidP="006D308D">
            <w:pPr>
              <w:jc w:val="center"/>
              <w:rPr>
                <w:sz w:val="24"/>
                <w:szCs w:val="24"/>
                <w:u w:val="single"/>
              </w:rPr>
            </w:pPr>
          </w:p>
        </w:tc>
        <w:tc>
          <w:tcPr>
            <w:tcW w:w="1504" w:type="dxa"/>
          </w:tcPr>
          <w:p w:rsidR="006D308D" w:rsidRDefault="006D308D" w:rsidP="006D308D">
            <w:pPr>
              <w:rPr>
                <w:sz w:val="24"/>
                <w:szCs w:val="24"/>
                <w:u w:val="single"/>
              </w:rPr>
            </w:pPr>
          </w:p>
        </w:tc>
        <w:tc>
          <w:tcPr>
            <w:tcW w:w="1505" w:type="dxa"/>
          </w:tcPr>
          <w:p w:rsidR="006D308D" w:rsidRDefault="006D308D" w:rsidP="006D308D">
            <w:pPr>
              <w:rPr>
                <w:sz w:val="24"/>
                <w:szCs w:val="24"/>
                <w:u w:val="single"/>
              </w:rPr>
            </w:pPr>
          </w:p>
        </w:tc>
      </w:tr>
      <w:tr w:rsidR="006D308D" w:rsidTr="00F94660">
        <w:trPr>
          <w:cantSplit/>
        </w:trPr>
        <w:tc>
          <w:tcPr>
            <w:tcW w:w="2605" w:type="dxa"/>
          </w:tcPr>
          <w:p w:rsidR="006D308D" w:rsidRPr="00E57760" w:rsidRDefault="006D308D" w:rsidP="006D308D">
            <w:pPr>
              <w:jc w:val="center"/>
              <w:rPr>
                <w:b/>
                <w:sz w:val="24"/>
                <w:szCs w:val="24"/>
              </w:rPr>
            </w:pPr>
            <w:r w:rsidRPr="00E57760">
              <w:rPr>
                <w:b/>
                <w:sz w:val="24"/>
                <w:szCs w:val="24"/>
              </w:rPr>
              <w:t>Uninsured or Self-pay</w:t>
            </w:r>
            <w:r>
              <w:rPr>
                <w:b/>
                <w:sz w:val="24"/>
                <w:szCs w:val="24"/>
              </w:rPr>
              <w:t xml:space="preserve"> patient in connection with a non-emergency Visit at any location</w:t>
            </w:r>
          </w:p>
        </w:tc>
        <w:tc>
          <w:tcPr>
            <w:tcW w:w="1504" w:type="dxa"/>
          </w:tcPr>
          <w:p w:rsidR="006D308D" w:rsidRDefault="006D308D" w:rsidP="006D308D">
            <w:pPr>
              <w:rPr>
                <w:sz w:val="24"/>
                <w:szCs w:val="24"/>
                <w:u w:val="single"/>
              </w:rPr>
            </w:pPr>
          </w:p>
        </w:tc>
        <w:tc>
          <w:tcPr>
            <w:tcW w:w="1504" w:type="dxa"/>
          </w:tcPr>
          <w:p w:rsidR="006D308D" w:rsidRDefault="006D308D" w:rsidP="006D308D">
            <w:pPr>
              <w:rPr>
                <w:sz w:val="24"/>
                <w:szCs w:val="24"/>
                <w:u w:val="single"/>
              </w:rPr>
            </w:pPr>
          </w:p>
        </w:tc>
        <w:tc>
          <w:tcPr>
            <w:tcW w:w="1504" w:type="dxa"/>
          </w:tcPr>
          <w:p w:rsidR="006D308D" w:rsidRDefault="006D308D" w:rsidP="006D308D">
            <w:pPr>
              <w:rPr>
                <w:sz w:val="24"/>
                <w:szCs w:val="24"/>
                <w:u w:val="single"/>
              </w:rPr>
            </w:pPr>
          </w:p>
        </w:tc>
        <w:tc>
          <w:tcPr>
            <w:tcW w:w="1505" w:type="dxa"/>
          </w:tcPr>
          <w:p w:rsidR="006D308D" w:rsidRDefault="006D308D" w:rsidP="006D308D">
            <w:pPr>
              <w:rPr>
                <w:sz w:val="24"/>
                <w:szCs w:val="24"/>
                <w:u w:val="single"/>
              </w:rPr>
            </w:pPr>
          </w:p>
        </w:tc>
        <w:tc>
          <w:tcPr>
            <w:tcW w:w="1504" w:type="dxa"/>
          </w:tcPr>
          <w:p w:rsidR="006D308D" w:rsidRDefault="006D308D" w:rsidP="006D308D">
            <w:pPr>
              <w:rPr>
                <w:sz w:val="24"/>
                <w:szCs w:val="24"/>
                <w:u w:val="single"/>
              </w:rPr>
            </w:pPr>
          </w:p>
        </w:tc>
        <w:tc>
          <w:tcPr>
            <w:tcW w:w="1504" w:type="dxa"/>
            <w:vAlign w:val="center"/>
          </w:tcPr>
          <w:p w:rsidR="006D308D" w:rsidRPr="00845F1F" w:rsidRDefault="006D308D" w:rsidP="006D308D">
            <w:pPr>
              <w:jc w:val="center"/>
              <w:rPr>
                <w:b/>
                <w:sz w:val="24"/>
                <w:szCs w:val="24"/>
              </w:rPr>
            </w:pPr>
            <w:r w:rsidRPr="00845F1F">
              <w:rPr>
                <w:b/>
                <w:sz w:val="24"/>
                <w:szCs w:val="24"/>
              </w:rPr>
              <w:t>X</w:t>
            </w:r>
          </w:p>
        </w:tc>
        <w:tc>
          <w:tcPr>
            <w:tcW w:w="1505" w:type="dxa"/>
            <w:vAlign w:val="center"/>
          </w:tcPr>
          <w:p w:rsidR="006D308D" w:rsidRPr="00845F1F" w:rsidRDefault="006D308D" w:rsidP="006D308D">
            <w:pPr>
              <w:jc w:val="center"/>
              <w:rPr>
                <w:b/>
                <w:sz w:val="24"/>
                <w:szCs w:val="24"/>
                <w:u w:val="single"/>
              </w:rPr>
            </w:pPr>
            <w:r w:rsidRPr="00845F1F">
              <w:rPr>
                <w:b/>
                <w:sz w:val="24"/>
                <w:szCs w:val="24"/>
              </w:rPr>
              <w:t>X</w:t>
            </w:r>
          </w:p>
        </w:tc>
      </w:tr>
    </w:tbl>
    <w:p w:rsidR="00E57760" w:rsidRPr="00E57760" w:rsidRDefault="00E57760" w:rsidP="00E57760">
      <w:pPr>
        <w:rPr>
          <w:sz w:val="24"/>
          <w:szCs w:val="24"/>
          <w:u w:val="single"/>
        </w:rPr>
      </w:pPr>
      <w:bookmarkStart w:id="0" w:name="_GoBack"/>
      <w:bookmarkEnd w:id="0"/>
    </w:p>
    <w:sectPr w:rsidR="00E57760" w:rsidRPr="00E57760" w:rsidSect="008838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D1" w:rsidRDefault="004D2AD1" w:rsidP="005F0028">
      <w:pPr>
        <w:spacing w:after="0" w:line="240" w:lineRule="auto"/>
      </w:pPr>
      <w:r>
        <w:separator/>
      </w:r>
    </w:p>
  </w:endnote>
  <w:endnote w:type="continuationSeparator" w:id="0">
    <w:p w:rsidR="004D2AD1" w:rsidRDefault="004D2AD1" w:rsidP="005F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34573"/>
      <w:docPartObj>
        <w:docPartGallery w:val="Page Numbers (Bottom of Page)"/>
        <w:docPartUnique/>
      </w:docPartObj>
    </w:sdtPr>
    <w:sdtEndPr>
      <w:rPr>
        <w:noProof/>
      </w:rPr>
    </w:sdtEndPr>
    <w:sdtContent>
      <w:p w:rsidR="00E0689A" w:rsidRPr="00B72C87" w:rsidRDefault="00E0689A" w:rsidP="00E0689A">
        <w:pPr>
          <w:pStyle w:val="ListParagraph"/>
          <w:jc w:val="center"/>
          <w:rPr>
            <w:i/>
          </w:rPr>
        </w:pPr>
        <w:r w:rsidRPr="00B72C87">
          <w:rPr>
            <w:i/>
          </w:rPr>
          <w:t xml:space="preserve">This information is intended to serve as a general resource </w:t>
        </w:r>
        <w:r>
          <w:rPr>
            <w:i/>
          </w:rPr>
          <w:t>and should</w:t>
        </w:r>
        <w:r w:rsidRPr="00B72C87">
          <w:rPr>
            <w:i/>
          </w:rPr>
          <w:t xml:space="preserve"> not be construed as legal advice. Attorneys with knowledge of the surprise billing laws should be consulted regarding the application of these laws to specific situations</w:t>
        </w:r>
        <w:r>
          <w:rPr>
            <w:i/>
          </w:rPr>
          <w:t>.</w:t>
        </w:r>
      </w:p>
      <w:p w:rsidR="00D35115" w:rsidRDefault="00D35115">
        <w:pPr>
          <w:pStyle w:val="Footer"/>
          <w:jc w:val="center"/>
        </w:pPr>
      </w:p>
      <w:p w:rsidR="00E0689A" w:rsidRDefault="00E0689A">
        <w:pPr>
          <w:pStyle w:val="Footer"/>
          <w:jc w:val="center"/>
          <w:rPr>
            <w:noProof/>
          </w:rPr>
        </w:pPr>
        <w:r>
          <w:fldChar w:fldCharType="begin"/>
        </w:r>
        <w:r>
          <w:instrText xml:space="preserve"> PAGE   \* MERGEFORMAT </w:instrText>
        </w:r>
        <w:r>
          <w:fldChar w:fldCharType="separate"/>
        </w:r>
        <w:r w:rsidR="00835E01">
          <w:rPr>
            <w:noProof/>
          </w:rPr>
          <w:t>8</w:t>
        </w:r>
        <w:r>
          <w:rPr>
            <w:noProof/>
          </w:rPr>
          <w:fldChar w:fldCharType="end"/>
        </w:r>
      </w:p>
      <w:p w:rsidR="00E0689A" w:rsidRDefault="00E0689A">
        <w:pPr>
          <w:pStyle w:val="Footer"/>
          <w:jc w:val="center"/>
          <w:rPr>
            <w:noProof/>
          </w:rPr>
        </w:pPr>
      </w:p>
      <w:p w:rsidR="00E0689A" w:rsidRDefault="00835E01">
        <w:pPr>
          <w:pStyle w:val="Footer"/>
          <w:jc w:val="center"/>
        </w:pPr>
      </w:p>
    </w:sdtContent>
  </w:sdt>
  <w:p w:rsidR="005F0028" w:rsidRDefault="005F0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D1" w:rsidRDefault="004D2AD1" w:rsidP="005F0028">
      <w:pPr>
        <w:spacing w:after="0" w:line="240" w:lineRule="auto"/>
      </w:pPr>
      <w:r>
        <w:separator/>
      </w:r>
    </w:p>
  </w:footnote>
  <w:footnote w:type="continuationSeparator" w:id="0">
    <w:p w:rsidR="004D2AD1" w:rsidRDefault="004D2AD1" w:rsidP="005F0028">
      <w:pPr>
        <w:spacing w:after="0" w:line="240" w:lineRule="auto"/>
      </w:pPr>
      <w:r>
        <w:continuationSeparator/>
      </w:r>
    </w:p>
  </w:footnote>
  <w:footnote w:id="1">
    <w:p w:rsidR="00FC00AD" w:rsidRDefault="00FC00AD">
      <w:pPr>
        <w:pStyle w:val="FootnoteText"/>
      </w:pPr>
      <w:r>
        <w:rPr>
          <w:rStyle w:val="FootnoteReference"/>
        </w:rPr>
        <w:footnoteRef/>
      </w:r>
      <w:r>
        <w:t xml:space="preserve"> If scheduled less than 7 days before the date of service, the provider is obligated to verbally inform the patient not less than 2 days before the date of service and provide written notification to the patient upon arrival for the service.</w:t>
      </w:r>
    </w:p>
    <w:p w:rsidR="00835E01" w:rsidRDefault="00835E01">
      <w:pPr>
        <w:pStyle w:val="FootnoteText"/>
      </w:pPr>
      <w:r>
        <w:t>*Mass Law delayed until January 2025</w:t>
      </w:r>
    </w:p>
  </w:footnote>
  <w:footnote w:id="2">
    <w:p w:rsidR="00472366" w:rsidRPr="00472366" w:rsidRDefault="00472366" w:rsidP="00472366">
      <w:pPr>
        <w:rPr>
          <w:sz w:val="20"/>
          <w:szCs w:val="20"/>
        </w:rPr>
      </w:pPr>
      <w:r w:rsidRPr="00472366">
        <w:rPr>
          <w:rStyle w:val="FootnoteReference"/>
          <w:sz w:val="20"/>
          <w:szCs w:val="20"/>
        </w:rPr>
        <w:footnoteRef/>
      </w:r>
      <w:r w:rsidRPr="00472366">
        <w:rPr>
          <w:sz w:val="20"/>
          <w:szCs w:val="20"/>
        </w:rPr>
        <w:t xml:space="preserve"> If a service is scheduled or a request is made between 3-10 days prior to the date of service, the good faith estimate must be provided 1 business day after the date of scheduling or request. </w:t>
      </w:r>
    </w:p>
    <w:p w:rsidR="00472366" w:rsidRDefault="0047236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E4E"/>
    <w:multiLevelType w:val="hybridMultilevel"/>
    <w:tmpl w:val="945E44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3349"/>
    <w:multiLevelType w:val="hybridMultilevel"/>
    <w:tmpl w:val="4B5A28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AAE"/>
    <w:multiLevelType w:val="hybridMultilevel"/>
    <w:tmpl w:val="AEC8A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F37DF"/>
    <w:multiLevelType w:val="hybridMultilevel"/>
    <w:tmpl w:val="563CAF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C451E"/>
    <w:multiLevelType w:val="hybridMultilevel"/>
    <w:tmpl w:val="D0945106"/>
    <w:lvl w:ilvl="0" w:tplc="56CAE1F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60"/>
    <w:rsid w:val="0002687A"/>
    <w:rsid w:val="000C03AE"/>
    <w:rsid w:val="000E131E"/>
    <w:rsid w:val="00102B42"/>
    <w:rsid w:val="00113E84"/>
    <w:rsid w:val="00144E02"/>
    <w:rsid w:val="00150B0C"/>
    <w:rsid w:val="0017364D"/>
    <w:rsid w:val="00173815"/>
    <w:rsid w:val="001F0F4E"/>
    <w:rsid w:val="001F20E4"/>
    <w:rsid w:val="001F466E"/>
    <w:rsid w:val="00213552"/>
    <w:rsid w:val="00227360"/>
    <w:rsid w:val="002E3F60"/>
    <w:rsid w:val="003564DA"/>
    <w:rsid w:val="0037799D"/>
    <w:rsid w:val="003E721D"/>
    <w:rsid w:val="00417F79"/>
    <w:rsid w:val="00431ECA"/>
    <w:rsid w:val="004331A0"/>
    <w:rsid w:val="00472366"/>
    <w:rsid w:val="004C5EE2"/>
    <w:rsid w:val="004D2AD1"/>
    <w:rsid w:val="004E2605"/>
    <w:rsid w:val="004F1DE0"/>
    <w:rsid w:val="00566A72"/>
    <w:rsid w:val="00567760"/>
    <w:rsid w:val="005D752C"/>
    <w:rsid w:val="005F0028"/>
    <w:rsid w:val="006046C2"/>
    <w:rsid w:val="00622865"/>
    <w:rsid w:val="00635603"/>
    <w:rsid w:val="006B3FB4"/>
    <w:rsid w:val="006D308D"/>
    <w:rsid w:val="006E4733"/>
    <w:rsid w:val="00705705"/>
    <w:rsid w:val="007252E9"/>
    <w:rsid w:val="0077495A"/>
    <w:rsid w:val="007A448A"/>
    <w:rsid w:val="007E65D4"/>
    <w:rsid w:val="007F4837"/>
    <w:rsid w:val="00814D68"/>
    <w:rsid w:val="008301F5"/>
    <w:rsid w:val="00835E01"/>
    <w:rsid w:val="00845F1F"/>
    <w:rsid w:val="00855BF0"/>
    <w:rsid w:val="00856AE9"/>
    <w:rsid w:val="00874925"/>
    <w:rsid w:val="008762B4"/>
    <w:rsid w:val="00883898"/>
    <w:rsid w:val="008913A0"/>
    <w:rsid w:val="00896C4C"/>
    <w:rsid w:val="008B667A"/>
    <w:rsid w:val="008C08EB"/>
    <w:rsid w:val="00905CF4"/>
    <w:rsid w:val="00954DD8"/>
    <w:rsid w:val="00990811"/>
    <w:rsid w:val="0099202E"/>
    <w:rsid w:val="009A7CD4"/>
    <w:rsid w:val="009F3487"/>
    <w:rsid w:val="00A010D0"/>
    <w:rsid w:val="00A04CEB"/>
    <w:rsid w:val="00A245A9"/>
    <w:rsid w:val="00AB7A5A"/>
    <w:rsid w:val="00B138A7"/>
    <w:rsid w:val="00B27633"/>
    <w:rsid w:val="00B44F5C"/>
    <w:rsid w:val="00BD00BD"/>
    <w:rsid w:val="00BD0BDE"/>
    <w:rsid w:val="00BF5879"/>
    <w:rsid w:val="00C01534"/>
    <w:rsid w:val="00C057CC"/>
    <w:rsid w:val="00C64353"/>
    <w:rsid w:val="00C96440"/>
    <w:rsid w:val="00CB6055"/>
    <w:rsid w:val="00D35115"/>
    <w:rsid w:val="00E0689A"/>
    <w:rsid w:val="00E1205A"/>
    <w:rsid w:val="00E17B44"/>
    <w:rsid w:val="00E450F1"/>
    <w:rsid w:val="00E57760"/>
    <w:rsid w:val="00EB4FEF"/>
    <w:rsid w:val="00EB6A2A"/>
    <w:rsid w:val="00EC171A"/>
    <w:rsid w:val="00EC3AB2"/>
    <w:rsid w:val="00F02C4D"/>
    <w:rsid w:val="00F94660"/>
    <w:rsid w:val="00FB62D6"/>
    <w:rsid w:val="00FC00AD"/>
    <w:rsid w:val="00F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5B67"/>
  <w15:chartTrackingRefBased/>
  <w15:docId w15:val="{A027CB71-D5BA-44A0-8A1B-1F2D91A2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60"/>
    <w:pPr>
      <w:ind w:left="720"/>
      <w:contextualSpacing/>
    </w:pPr>
  </w:style>
  <w:style w:type="character" w:styleId="Hyperlink">
    <w:name w:val="Hyperlink"/>
    <w:basedOn w:val="DefaultParagraphFont"/>
    <w:uiPriority w:val="99"/>
    <w:unhideWhenUsed/>
    <w:rsid w:val="00E17B44"/>
    <w:rPr>
      <w:color w:val="0563C1" w:themeColor="hyperlink"/>
      <w:u w:val="single"/>
    </w:rPr>
  </w:style>
  <w:style w:type="paragraph" w:styleId="Header">
    <w:name w:val="header"/>
    <w:basedOn w:val="Normal"/>
    <w:link w:val="HeaderChar"/>
    <w:uiPriority w:val="99"/>
    <w:unhideWhenUsed/>
    <w:rsid w:val="005F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28"/>
  </w:style>
  <w:style w:type="paragraph" w:styleId="Footer">
    <w:name w:val="footer"/>
    <w:basedOn w:val="Normal"/>
    <w:link w:val="FooterChar"/>
    <w:uiPriority w:val="99"/>
    <w:unhideWhenUsed/>
    <w:rsid w:val="005F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028"/>
  </w:style>
  <w:style w:type="paragraph" w:styleId="FootnoteText">
    <w:name w:val="footnote text"/>
    <w:basedOn w:val="Normal"/>
    <w:link w:val="FootnoteTextChar"/>
    <w:uiPriority w:val="99"/>
    <w:semiHidden/>
    <w:unhideWhenUsed/>
    <w:rsid w:val="00472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2366"/>
    <w:rPr>
      <w:sz w:val="20"/>
      <w:szCs w:val="20"/>
    </w:rPr>
  </w:style>
  <w:style w:type="character" w:styleId="FootnoteReference">
    <w:name w:val="footnote reference"/>
    <w:basedOn w:val="DefaultParagraphFont"/>
    <w:uiPriority w:val="99"/>
    <w:semiHidden/>
    <w:unhideWhenUsed/>
    <w:rsid w:val="00472366"/>
    <w:rPr>
      <w:vertAlign w:val="superscript"/>
    </w:rPr>
  </w:style>
  <w:style w:type="table" w:styleId="TableGrid">
    <w:name w:val="Table Grid"/>
    <w:basedOn w:val="TableNormal"/>
    <w:uiPriority w:val="39"/>
    <w:rsid w:val="00E5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7F79"/>
    <w:rPr>
      <w:sz w:val="16"/>
      <w:szCs w:val="16"/>
    </w:rPr>
  </w:style>
  <w:style w:type="paragraph" w:styleId="CommentText">
    <w:name w:val="annotation text"/>
    <w:basedOn w:val="Normal"/>
    <w:link w:val="CommentTextChar"/>
    <w:uiPriority w:val="99"/>
    <w:semiHidden/>
    <w:unhideWhenUsed/>
    <w:rsid w:val="00417F79"/>
    <w:pPr>
      <w:spacing w:line="240" w:lineRule="auto"/>
    </w:pPr>
    <w:rPr>
      <w:sz w:val="20"/>
      <w:szCs w:val="20"/>
    </w:rPr>
  </w:style>
  <w:style w:type="character" w:customStyle="1" w:styleId="CommentTextChar">
    <w:name w:val="Comment Text Char"/>
    <w:basedOn w:val="DefaultParagraphFont"/>
    <w:link w:val="CommentText"/>
    <w:uiPriority w:val="99"/>
    <w:semiHidden/>
    <w:rsid w:val="00417F79"/>
    <w:rPr>
      <w:sz w:val="20"/>
      <w:szCs w:val="20"/>
    </w:rPr>
  </w:style>
  <w:style w:type="paragraph" w:styleId="CommentSubject">
    <w:name w:val="annotation subject"/>
    <w:basedOn w:val="CommentText"/>
    <w:next w:val="CommentText"/>
    <w:link w:val="CommentSubjectChar"/>
    <w:uiPriority w:val="99"/>
    <w:semiHidden/>
    <w:unhideWhenUsed/>
    <w:rsid w:val="00417F79"/>
    <w:rPr>
      <w:b/>
      <w:bCs/>
    </w:rPr>
  </w:style>
  <w:style w:type="character" w:customStyle="1" w:styleId="CommentSubjectChar">
    <w:name w:val="Comment Subject Char"/>
    <w:basedOn w:val="CommentTextChar"/>
    <w:link w:val="CommentSubject"/>
    <w:uiPriority w:val="99"/>
    <w:semiHidden/>
    <w:rsid w:val="00417F79"/>
    <w:rPr>
      <w:b/>
      <w:bCs/>
      <w:sz w:val="20"/>
      <w:szCs w:val="20"/>
    </w:rPr>
  </w:style>
  <w:style w:type="paragraph" w:styleId="BalloonText">
    <w:name w:val="Balloon Text"/>
    <w:basedOn w:val="Normal"/>
    <w:link w:val="BalloonTextChar"/>
    <w:uiPriority w:val="99"/>
    <w:semiHidden/>
    <w:unhideWhenUsed/>
    <w:rsid w:val="0041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ms.gov/files/document/model-disclosure-notice-patient-protections-against-surprise-billing-providers-facilities-healt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files/document/model-disclosure-notice-patient-protections-against-surprise-billing-providers-facilities-health.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nosurprises/consumers/medical-bill-disagreements-if-you-are-uninsured" TargetMode="External"/><Relationship Id="rId5" Type="http://schemas.openxmlformats.org/officeDocument/2006/relationships/webSettings" Target="webSettings.xml"/><Relationship Id="rId15" Type="http://schemas.openxmlformats.org/officeDocument/2006/relationships/hyperlink" Target="https://www.cms.gov/nosurprises/help-resolve-payment-disputes/payment-disputes-between-providers-and-health-plans" TargetMode="External"/><Relationship Id="rId10" Type="http://schemas.openxmlformats.org/officeDocument/2006/relationships/hyperlink" Target="https://www.cms.gov/files/document/good-faith-estimate-example.pdf" TargetMode="External"/><Relationship Id="rId4" Type="http://schemas.openxmlformats.org/officeDocument/2006/relationships/settings" Target="settings.xml"/><Relationship Id="rId9" Type="http://schemas.openxmlformats.org/officeDocument/2006/relationships/hyperlink" Target="https://www.apaservices.org/practice/legal/managed/good-faith-estimate-notice.pdf" TargetMode="External"/><Relationship Id="rId14" Type="http://schemas.openxmlformats.org/officeDocument/2006/relationships/hyperlink" Target="https://www.cms.gov/files/document/standard-notice-consent-forms-nonparticipating-providers-emergency-facilities-regarding-consum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1230-63F9-4CE0-B94A-F89DEFB41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Lahey Health</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Meghan M.</dc:creator>
  <cp:keywords/>
  <dc:description/>
  <cp:lastModifiedBy>Schoenthaler,Deborah  (HMFP - PLLC)</cp:lastModifiedBy>
  <cp:revision>3</cp:revision>
  <dcterms:created xsi:type="dcterms:W3CDTF">2022-07-07T14:20:00Z</dcterms:created>
  <dcterms:modified xsi:type="dcterms:W3CDTF">2022-07-18T14:34:00Z</dcterms:modified>
</cp:coreProperties>
</file>