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7B36C" w14:textId="0D7C449F" w:rsidR="00C52916" w:rsidRDefault="00C52916" w:rsidP="00F3312C">
      <w:pPr>
        <w:jc w:val="center"/>
        <w:rPr>
          <w:b/>
          <w:bCs/>
          <w:sz w:val="28"/>
          <w:szCs w:val="28"/>
        </w:rPr>
      </w:pPr>
      <w:r>
        <w:rPr>
          <w:noProof/>
        </w:rPr>
        <w:drawing>
          <wp:inline distT="0" distB="0" distL="0" distR="0" wp14:anchorId="73614CFE" wp14:editId="76D3A62E">
            <wp:extent cx="2400300" cy="488950"/>
            <wp:effectExtent l="0" t="0" r="0" b="6350"/>
            <wp:docPr id="1" name="Picture 2" descr="MHA_Horiz_Hire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HA_Horiz_Hires_RGB"/>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488950"/>
                    </a:xfrm>
                    <a:prstGeom prst="rect">
                      <a:avLst/>
                    </a:prstGeom>
                    <a:noFill/>
                    <a:ln>
                      <a:noFill/>
                    </a:ln>
                  </pic:spPr>
                </pic:pic>
              </a:graphicData>
            </a:graphic>
          </wp:inline>
        </w:drawing>
      </w:r>
    </w:p>
    <w:p w14:paraId="1FC0D9C3" w14:textId="77777777" w:rsidR="00C52916" w:rsidRDefault="00C52916" w:rsidP="00F3312C">
      <w:pPr>
        <w:jc w:val="center"/>
        <w:rPr>
          <w:b/>
          <w:bCs/>
          <w:sz w:val="28"/>
          <w:szCs w:val="28"/>
        </w:rPr>
      </w:pPr>
    </w:p>
    <w:p w14:paraId="5798FE3C" w14:textId="0DDAD8EE" w:rsidR="00F3312C" w:rsidRPr="00F3312C" w:rsidRDefault="00F3312C" w:rsidP="00F3312C">
      <w:pPr>
        <w:jc w:val="center"/>
        <w:rPr>
          <w:b/>
          <w:bCs/>
          <w:sz w:val="28"/>
          <w:szCs w:val="28"/>
        </w:rPr>
      </w:pPr>
      <w:r w:rsidRPr="00F3312C">
        <w:rPr>
          <w:b/>
          <w:bCs/>
          <w:sz w:val="28"/>
          <w:szCs w:val="28"/>
        </w:rPr>
        <w:t xml:space="preserve">Healthcare Provider Disclosure Obligations under An Act Promoting a Resilient Health Care System the Puts Patients </w:t>
      </w:r>
      <w:proofErr w:type="gramStart"/>
      <w:r w:rsidRPr="00F3312C">
        <w:rPr>
          <w:b/>
          <w:bCs/>
          <w:sz w:val="28"/>
          <w:szCs w:val="28"/>
        </w:rPr>
        <w:t>First  -</w:t>
      </w:r>
      <w:proofErr w:type="gramEnd"/>
      <w:r w:rsidRPr="00F3312C">
        <w:rPr>
          <w:b/>
          <w:bCs/>
          <w:sz w:val="28"/>
          <w:szCs w:val="28"/>
        </w:rPr>
        <w:t xml:space="preserve"> updates to  G.L. c. 111, s. 228</w:t>
      </w:r>
    </w:p>
    <w:p w14:paraId="6ECE8EED" w14:textId="77777777" w:rsidR="00F3312C" w:rsidRDefault="00F3312C" w:rsidP="00F3312C">
      <w:pPr>
        <w:rPr>
          <w:sz w:val="28"/>
          <w:szCs w:val="28"/>
        </w:rPr>
      </w:pPr>
    </w:p>
    <w:p w14:paraId="2814504E" w14:textId="77777777" w:rsidR="00C52916" w:rsidRDefault="00F3312C" w:rsidP="00C52916">
      <w:pPr>
        <w:rPr>
          <w:b/>
          <w:bCs/>
          <w:i/>
          <w:iCs/>
          <w:sz w:val="28"/>
          <w:szCs w:val="28"/>
        </w:rPr>
      </w:pPr>
      <w:r w:rsidRPr="00F3312C">
        <w:rPr>
          <w:i/>
          <w:iCs/>
          <w:sz w:val="28"/>
          <w:szCs w:val="28"/>
        </w:rPr>
        <w:t>It is important to note that the requirements do not differentiate among provider types.  What differs is who is responsible for giving the patient cost information and under what circumstances.   Participating providers have a different responsibility that non-par providers in terms of providing cost information (the former is upon request by the patient; the latter is for all patients regardless of request).  When a patient is being referred to another provider, there are also specific requirements as noted below.</w:t>
      </w:r>
      <w:r w:rsidR="00C52916">
        <w:rPr>
          <w:b/>
          <w:bCs/>
          <w:i/>
          <w:iCs/>
          <w:sz w:val="28"/>
          <w:szCs w:val="28"/>
        </w:rPr>
        <w:t xml:space="preserve"> </w:t>
      </w:r>
    </w:p>
    <w:p w14:paraId="4E1CFD53" w14:textId="46F1A345" w:rsidR="00C52916" w:rsidRPr="00C52916" w:rsidRDefault="00F3312C" w:rsidP="00C52916">
      <w:pPr>
        <w:rPr>
          <w:b/>
          <w:bCs/>
          <w:i/>
          <w:iCs/>
          <w:sz w:val="28"/>
          <w:szCs w:val="28"/>
        </w:rPr>
      </w:pPr>
      <w:r w:rsidRPr="00F3312C">
        <w:rPr>
          <w:i/>
          <w:iCs/>
          <w:sz w:val="28"/>
          <w:szCs w:val="28"/>
        </w:rPr>
        <w:t xml:space="preserve"> </w:t>
      </w:r>
      <w:r w:rsidR="00637D0B">
        <w:rPr>
          <w:b/>
          <w:bCs/>
          <w:i/>
          <w:iCs/>
          <w:sz w:val="28"/>
          <w:szCs w:val="28"/>
        </w:rPr>
        <w:t>Who does this law apply to?</w:t>
      </w:r>
    </w:p>
    <w:p w14:paraId="3A21881C" w14:textId="77777777" w:rsidR="00C52916" w:rsidRDefault="00C52916" w:rsidP="00F3312C">
      <w:pPr>
        <w:rPr>
          <w:i/>
          <w:iCs/>
          <w:sz w:val="28"/>
          <w:szCs w:val="28"/>
        </w:rPr>
      </w:pPr>
      <w:r w:rsidRPr="00C52916">
        <w:rPr>
          <w:i/>
          <w:iCs/>
          <w:sz w:val="28"/>
          <w:szCs w:val="28"/>
        </w:rPr>
        <w:t xml:space="preserve">The requirements of G.L. c. 111, s. 228 apply to health care providers as defined at G.L. c. 111, s. 1 and include doctors of medicine, osteopathy and dental science; registered nurses; social workers; doctors of chiropractic; psychologists; interns, residents, fellows or medical officers licensed per c. 112, s. 9; registered pharmacists; hospitals, clinics or nursing homes; and public hospitals.  </w:t>
      </w:r>
      <w:r>
        <w:rPr>
          <w:i/>
          <w:iCs/>
          <w:sz w:val="28"/>
          <w:szCs w:val="28"/>
        </w:rPr>
        <w:t xml:space="preserve">      </w:t>
      </w:r>
      <w:r w:rsidR="00F3312C" w:rsidRPr="00F3312C">
        <w:rPr>
          <w:i/>
          <w:iCs/>
          <w:sz w:val="28"/>
          <w:szCs w:val="28"/>
        </w:rPr>
        <w:t xml:space="preserve"> </w:t>
      </w:r>
    </w:p>
    <w:p w14:paraId="77416B7C" w14:textId="77777777" w:rsidR="003E305C" w:rsidRDefault="003E305C" w:rsidP="00F3312C">
      <w:pPr>
        <w:rPr>
          <w:b/>
          <w:bCs/>
          <w:i/>
          <w:iCs/>
          <w:sz w:val="28"/>
          <w:szCs w:val="28"/>
        </w:rPr>
      </w:pPr>
    </w:p>
    <w:p w14:paraId="6F4710AA" w14:textId="13C492D3" w:rsidR="00F3312C" w:rsidRPr="00637D0B" w:rsidRDefault="00F3312C" w:rsidP="00F3312C">
      <w:pPr>
        <w:rPr>
          <w:b/>
          <w:bCs/>
          <w:i/>
          <w:iCs/>
          <w:sz w:val="28"/>
          <w:szCs w:val="28"/>
        </w:rPr>
      </w:pPr>
      <w:r w:rsidRPr="00637D0B">
        <w:rPr>
          <w:b/>
          <w:bCs/>
          <w:i/>
          <w:iCs/>
          <w:sz w:val="28"/>
          <w:szCs w:val="28"/>
        </w:rPr>
        <w:t xml:space="preserve">The following </w:t>
      </w:r>
      <w:r w:rsidR="00C52916" w:rsidRPr="00637D0B">
        <w:rPr>
          <w:b/>
          <w:bCs/>
          <w:i/>
          <w:iCs/>
          <w:sz w:val="28"/>
          <w:szCs w:val="28"/>
        </w:rPr>
        <w:t>highlights</w:t>
      </w:r>
      <w:r w:rsidRPr="00637D0B">
        <w:rPr>
          <w:b/>
          <w:bCs/>
          <w:i/>
          <w:iCs/>
          <w:sz w:val="28"/>
          <w:szCs w:val="28"/>
        </w:rPr>
        <w:t xml:space="preserve"> provider obligations in each scenario:</w:t>
      </w:r>
    </w:p>
    <w:p w14:paraId="39913C56" w14:textId="77777777" w:rsidR="003E305C" w:rsidRDefault="003E305C" w:rsidP="00F3312C">
      <w:pPr>
        <w:rPr>
          <w:b/>
          <w:bCs/>
          <w:sz w:val="28"/>
          <w:szCs w:val="28"/>
        </w:rPr>
      </w:pPr>
    </w:p>
    <w:p w14:paraId="14574D69" w14:textId="6D56E4B7" w:rsidR="00F3312C" w:rsidRPr="00941C7B" w:rsidRDefault="00F3312C" w:rsidP="00F3312C">
      <w:pPr>
        <w:rPr>
          <w:b/>
          <w:bCs/>
          <w:sz w:val="28"/>
          <w:szCs w:val="28"/>
        </w:rPr>
      </w:pPr>
      <w:proofErr w:type="gramStart"/>
      <w:r w:rsidRPr="00941C7B">
        <w:rPr>
          <w:b/>
          <w:bCs/>
          <w:sz w:val="28"/>
          <w:szCs w:val="28"/>
        </w:rPr>
        <w:t>Here’s</w:t>
      </w:r>
      <w:proofErr w:type="gramEnd"/>
      <w:r w:rsidRPr="00941C7B">
        <w:rPr>
          <w:b/>
          <w:bCs/>
          <w:sz w:val="28"/>
          <w:szCs w:val="28"/>
        </w:rPr>
        <w:t xml:space="preserve"> what all providers have to do</w:t>
      </w:r>
      <w:r>
        <w:rPr>
          <w:b/>
          <w:bCs/>
          <w:sz w:val="28"/>
          <w:szCs w:val="28"/>
        </w:rPr>
        <w:t xml:space="preserve"> (does not matter if PCP, specialist, psychologist, LICSW):</w:t>
      </w:r>
    </w:p>
    <w:p w14:paraId="74416E29" w14:textId="11421B9A" w:rsidR="00F3312C" w:rsidRPr="00637D0B" w:rsidRDefault="00F3312C" w:rsidP="00637D0B">
      <w:pPr>
        <w:pStyle w:val="ListParagraph"/>
        <w:numPr>
          <w:ilvl w:val="0"/>
          <w:numId w:val="6"/>
        </w:numPr>
        <w:rPr>
          <w:sz w:val="28"/>
          <w:szCs w:val="28"/>
        </w:rPr>
      </w:pPr>
      <w:r w:rsidRPr="00637D0B">
        <w:rPr>
          <w:sz w:val="28"/>
          <w:szCs w:val="28"/>
        </w:rPr>
        <w:t xml:space="preserve">When scheduling a non-emergency admission, service, or procedure, </w:t>
      </w:r>
      <w:r w:rsidRPr="00637D0B">
        <w:rPr>
          <w:b/>
          <w:bCs/>
          <w:sz w:val="28"/>
          <w:szCs w:val="28"/>
        </w:rPr>
        <w:t>all providers</w:t>
      </w:r>
      <w:r w:rsidRPr="00637D0B">
        <w:rPr>
          <w:sz w:val="28"/>
          <w:szCs w:val="28"/>
        </w:rPr>
        <w:t xml:space="preserve"> must notify patients of their network status.  </w:t>
      </w:r>
      <w:bookmarkStart w:id="0" w:name="_GoBack"/>
      <w:bookmarkEnd w:id="0"/>
    </w:p>
    <w:p w14:paraId="0D2C23DE" w14:textId="4313096B" w:rsidR="00F3312C" w:rsidRPr="00637D0B" w:rsidRDefault="00F3312C" w:rsidP="00637D0B">
      <w:pPr>
        <w:pStyle w:val="ListParagraph"/>
        <w:numPr>
          <w:ilvl w:val="0"/>
          <w:numId w:val="6"/>
        </w:numPr>
        <w:rPr>
          <w:sz w:val="28"/>
          <w:szCs w:val="28"/>
        </w:rPr>
      </w:pPr>
      <w:r w:rsidRPr="00637D0B">
        <w:rPr>
          <w:sz w:val="28"/>
          <w:szCs w:val="28"/>
        </w:rPr>
        <w:t xml:space="preserve">If the patient is receiving repeated services as part of the same course of treatment, the patient can waive this requirement for subsequent </w:t>
      </w:r>
      <w:proofErr w:type="gramStart"/>
      <w:r w:rsidRPr="00637D0B">
        <w:rPr>
          <w:sz w:val="28"/>
          <w:szCs w:val="28"/>
        </w:rPr>
        <w:t>treatments</w:t>
      </w:r>
      <w:proofErr w:type="gramEnd"/>
      <w:r w:rsidRPr="00637D0B">
        <w:rPr>
          <w:sz w:val="28"/>
          <w:szCs w:val="28"/>
        </w:rPr>
        <w:t xml:space="preserve"> (</w:t>
      </w:r>
      <w:proofErr w:type="spellStart"/>
      <w:r w:rsidRPr="00637D0B">
        <w:rPr>
          <w:sz w:val="28"/>
          <w:szCs w:val="28"/>
        </w:rPr>
        <w:t>eg</w:t>
      </w:r>
      <w:proofErr w:type="spellEnd"/>
      <w:r w:rsidRPr="00637D0B">
        <w:rPr>
          <w:sz w:val="28"/>
          <w:szCs w:val="28"/>
        </w:rPr>
        <w:t>. Allergy injections, infusions, etc.)</w:t>
      </w:r>
    </w:p>
    <w:p w14:paraId="7168B09F" w14:textId="77777777" w:rsidR="00F3312C" w:rsidRDefault="00F3312C" w:rsidP="00F3312C">
      <w:pPr>
        <w:rPr>
          <w:sz w:val="28"/>
          <w:szCs w:val="28"/>
        </w:rPr>
      </w:pPr>
    </w:p>
    <w:p w14:paraId="5CD630A8" w14:textId="77777777" w:rsidR="00C52916" w:rsidRDefault="00C52916" w:rsidP="00F3312C">
      <w:pPr>
        <w:rPr>
          <w:b/>
          <w:bCs/>
          <w:sz w:val="28"/>
          <w:szCs w:val="28"/>
        </w:rPr>
      </w:pPr>
    </w:p>
    <w:p w14:paraId="584CADB6" w14:textId="0340825F" w:rsidR="00F3312C" w:rsidRPr="00D46C50" w:rsidRDefault="00F3312C" w:rsidP="00F3312C">
      <w:pPr>
        <w:rPr>
          <w:b/>
          <w:bCs/>
          <w:sz w:val="28"/>
          <w:szCs w:val="28"/>
        </w:rPr>
      </w:pPr>
      <w:r w:rsidRPr="00D46C50">
        <w:rPr>
          <w:b/>
          <w:bCs/>
          <w:sz w:val="28"/>
          <w:szCs w:val="28"/>
        </w:rPr>
        <w:t>If the provider is IN NETWORK:</w:t>
      </w:r>
    </w:p>
    <w:p w14:paraId="10B0F2F7" w14:textId="24BD67C1" w:rsidR="00F3312C" w:rsidRPr="00881782" w:rsidRDefault="00F3312C" w:rsidP="00F3312C">
      <w:pPr>
        <w:pStyle w:val="ListParagraph"/>
        <w:numPr>
          <w:ilvl w:val="0"/>
          <w:numId w:val="1"/>
        </w:numPr>
        <w:rPr>
          <w:sz w:val="28"/>
          <w:szCs w:val="28"/>
        </w:rPr>
      </w:pPr>
      <w:r w:rsidRPr="00881782">
        <w:rPr>
          <w:sz w:val="28"/>
          <w:szCs w:val="28"/>
        </w:rPr>
        <w:t>Inform the patient that they may request the allowed amount and any facility fee for the service, to be provided within two days upon patient request</w:t>
      </w:r>
      <w:r>
        <w:rPr>
          <w:sz w:val="28"/>
          <w:szCs w:val="28"/>
        </w:rPr>
        <w:t xml:space="preserve"> and that specific information about out-of-pocket costs can be obtained from their health plan.  Provider can also assist patient in using the health plan’s toll-free number or website.</w:t>
      </w:r>
    </w:p>
    <w:p w14:paraId="6F65AB05" w14:textId="77777777" w:rsidR="00F3312C" w:rsidRDefault="00F3312C" w:rsidP="00F3312C">
      <w:pPr>
        <w:pStyle w:val="ListParagraph"/>
        <w:numPr>
          <w:ilvl w:val="0"/>
          <w:numId w:val="1"/>
        </w:numPr>
        <w:rPr>
          <w:sz w:val="28"/>
          <w:szCs w:val="28"/>
        </w:rPr>
      </w:pPr>
      <w:r w:rsidRPr="00881782">
        <w:rPr>
          <w:sz w:val="28"/>
          <w:szCs w:val="28"/>
        </w:rPr>
        <w:t>If unable to quote a specific amount because precise treatment is unknown, disclose estimated maximum amount and any facility fees.</w:t>
      </w:r>
    </w:p>
    <w:p w14:paraId="6B312EAD" w14:textId="77777777" w:rsidR="00F3312C" w:rsidRDefault="00F3312C" w:rsidP="00F3312C">
      <w:pPr>
        <w:rPr>
          <w:b/>
          <w:bCs/>
          <w:sz w:val="28"/>
          <w:szCs w:val="28"/>
        </w:rPr>
      </w:pPr>
    </w:p>
    <w:p w14:paraId="2A5ECEFC" w14:textId="612F35D6" w:rsidR="00F3312C" w:rsidRPr="00864BF3" w:rsidRDefault="00F3312C" w:rsidP="00F3312C">
      <w:pPr>
        <w:rPr>
          <w:b/>
          <w:bCs/>
          <w:sz w:val="28"/>
          <w:szCs w:val="28"/>
        </w:rPr>
      </w:pPr>
      <w:r w:rsidRPr="00864BF3">
        <w:rPr>
          <w:b/>
          <w:bCs/>
          <w:sz w:val="28"/>
          <w:szCs w:val="28"/>
        </w:rPr>
        <w:t>If the provider is OUT OF NETWORK:</w:t>
      </w:r>
    </w:p>
    <w:p w14:paraId="1237703E" w14:textId="77777777" w:rsidR="00F3312C" w:rsidRPr="00864BF3" w:rsidRDefault="00F3312C" w:rsidP="00F3312C">
      <w:pPr>
        <w:pStyle w:val="ListParagraph"/>
        <w:numPr>
          <w:ilvl w:val="0"/>
          <w:numId w:val="2"/>
        </w:numPr>
        <w:rPr>
          <w:sz w:val="28"/>
          <w:szCs w:val="28"/>
        </w:rPr>
      </w:pPr>
      <w:r w:rsidRPr="00864BF3">
        <w:rPr>
          <w:sz w:val="28"/>
          <w:szCs w:val="28"/>
        </w:rPr>
        <w:t>For appointments scheduled 7+ days in advance, inform the patient verbally and in writing at the time of scheduling that provider does not participate in patient’s health plan.  For appointments scheduled less than 7 days in advance, inform the patient verbally</w:t>
      </w:r>
      <w:r>
        <w:rPr>
          <w:sz w:val="28"/>
          <w:szCs w:val="28"/>
        </w:rPr>
        <w:t xml:space="preserve"> at the time of scheduling (no less than two days or as soon as practicable before the appointment) </w:t>
      </w:r>
      <w:r w:rsidRPr="00864BF3">
        <w:rPr>
          <w:sz w:val="28"/>
          <w:szCs w:val="28"/>
        </w:rPr>
        <w:t>and provide written notice upon patient’s arrival.</w:t>
      </w:r>
    </w:p>
    <w:p w14:paraId="73D9B411" w14:textId="77777777" w:rsidR="00F3312C" w:rsidRDefault="00F3312C" w:rsidP="00F3312C">
      <w:pPr>
        <w:pStyle w:val="ListParagraph"/>
        <w:numPr>
          <w:ilvl w:val="0"/>
          <w:numId w:val="2"/>
        </w:numPr>
        <w:rPr>
          <w:sz w:val="28"/>
          <w:szCs w:val="28"/>
        </w:rPr>
      </w:pPr>
      <w:r w:rsidRPr="00864BF3">
        <w:rPr>
          <w:sz w:val="28"/>
          <w:szCs w:val="28"/>
        </w:rPr>
        <w:t>Failure to inform patient in either scenario means provider is prohibited from billing the insured beyond applicable copayment or deductible or coinsurance.</w:t>
      </w:r>
    </w:p>
    <w:p w14:paraId="01DDDD33" w14:textId="77777777" w:rsidR="00F3312C" w:rsidRPr="00C57D66" w:rsidRDefault="00F3312C" w:rsidP="00F3312C">
      <w:pPr>
        <w:pStyle w:val="ListParagraph"/>
        <w:numPr>
          <w:ilvl w:val="0"/>
          <w:numId w:val="2"/>
        </w:numPr>
        <w:rPr>
          <w:sz w:val="28"/>
          <w:szCs w:val="28"/>
        </w:rPr>
      </w:pPr>
      <w:r>
        <w:rPr>
          <w:sz w:val="28"/>
          <w:szCs w:val="28"/>
        </w:rPr>
        <w:t>Provide the charge and the amount of any facility fees and inform patient that they will be responsible for charges not covered by their health plan</w:t>
      </w:r>
    </w:p>
    <w:p w14:paraId="377BAC18" w14:textId="093923F4" w:rsidR="00F3312C" w:rsidRDefault="00F3312C" w:rsidP="00F3312C">
      <w:pPr>
        <w:pStyle w:val="ListParagraph"/>
        <w:numPr>
          <w:ilvl w:val="0"/>
          <w:numId w:val="2"/>
        </w:numPr>
        <w:rPr>
          <w:sz w:val="28"/>
          <w:szCs w:val="28"/>
        </w:rPr>
      </w:pPr>
      <w:r>
        <w:rPr>
          <w:sz w:val="28"/>
          <w:szCs w:val="28"/>
        </w:rPr>
        <w:t>Inform the patient that they may be able to obtain the services at lower cost from an in-network provider</w:t>
      </w:r>
    </w:p>
    <w:p w14:paraId="0A2088F1" w14:textId="77777777" w:rsidR="00637D0B" w:rsidRDefault="00637D0B" w:rsidP="00F3312C">
      <w:pPr>
        <w:rPr>
          <w:b/>
          <w:bCs/>
          <w:sz w:val="28"/>
          <w:szCs w:val="28"/>
        </w:rPr>
      </w:pPr>
    </w:p>
    <w:p w14:paraId="1138027C" w14:textId="2E68EB88" w:rsidR="00F3312C" w:rsidRPr="002D36F2" w:rsidRDefault="00F3312C" w:rsidP="00F3312C">
      <w:pPr>
        <w:rPr>
          <w:b/>
          <w:bCs/>
          <w:sz w:val="28"/>
          <w:szCs w:val="28"/>
        </w:rPr>
      </w:pPr>
      <w:r w:rsidRPr="002D36F2">
        <w:rPr>
          <w:b/>
          <w:bCs/>
          <w:sz w:val="28"/>
          <w:szCs w:val="28"/>
        </w:rPr>
        <w:t>If the provider is referring the patient to another provider:</w:t>
      </w:r>
    </w:p>
    <w:p w14:paraId="2CC3FEED" w14:textId="35230A4E" w:rsidR="00F3312C" w:rsidRPr="007F5749" w:rsidRDefault="00F3312C" w:rsidP="007F5749">
      <w:pPr>
        <w:pStyle w:val="ListParagraph"/>
        <w:numPr>
          <w:ilvl w:val="0"/>
          <w:numId w:val="3"/>
        </w:numPr>
        <w:rPr>
          <w:sz w:val="28"/>
          <w:szCs w:val="28"/>
        </w:rPr>
      </w:pPr>
      <w:r w:rsidRPr="002D36F2">
        <w:rPr>
          <w:sz w:val="28"/>
          <w:szCs w:val="28"/>
        </w:rPr>
        <w:t xml:space="preserve">Inform the patient if the </w:t>
      </w:r>
      <w:proofErr w:type="spellStart"/>
      <w:r w:rsidRPr="002D36F2">
        <w:rPr>
          <w:sz w:val="28"/>
          <w:szCs w:val="28"/>
        </w:rPr>
        <w:t>referred</w:t>
      </w:r>
      <w:proofErr w:type="spellEnd"/>
      <w:r w:rsidRPr="002D36F2">
        <w:rPr>
          <w:sz w:val="28"/>
          <w:szCs w:val="28"/>
        </w:rPr>
        <w:t xml:space="preserve"> provider is part of or represented by the same provider organization</w:t>
      </w:r>
      <w:r w:rsidR="007F5749">
        <w:rPr>
          <w:sz w:val="28"/>
          <w:szCs w:val="28"/>
        </w:rPr>
        <w:t xml:space="preserve"> </w:t>
      </w:r>
    </w:p>
    <w:p w14:paraId="7617A68E" w14:textId="1C4F2EA6" w:rsidR="00F3312C" w:rsidRDefault="00F3312C" w:rsidP="00F3312C">
      <w:pPr>
        <w:pStyle w:val="ListParagraph"/>
        <w:numPr>
          <w:ilvl w:val="0"/>
          <w:numId w:val="3"/>
        </w:numPr>
        <w:rPr>
          <w:sz w:val="28"/>
          <w:szCs w:val="28"/>
        </w:rPr>
      </w:pPr>
      <w:r w:rsidRPr="002D36F2">
        <w:rPr>
          <w:sz w:val="28"/>
          <w:szCs w:val="28"/>
        </w:rPr>
        <w:lastRenderedPageBreak/>
        <w:t xml:space="preserve">Inform the patient that the </w:t>
      </w:r>
      <w:proofErr w:type="spellStart"/>
      <w:r w:rsidRPr="002D36F2">
        <w:rPr>
          <w:sz w:val="28"/>
          <w:szCs w:val="28"/>
        </w:rPr>
        <w:t>referred</w:t>
      </w:r>
      <w:proofErr w:type="spellEnd"/>
      <w:r w:rsidRPr="002D36F2">
        <w:rPr>
          <w:sz w:val="28"/>
          <w:szCs w:val="28"/>
        </w:rPr>
        <w:t xml:space="preserve"> provider may not participate with the patient’s health plan and  provider the patient with sufficient information about the </w:t>
      </w:r>
      <w:proofErr w:type="spellStart"/>
      <w:r w:rsidRPr="002D36F2">
        <w:rPr>
          <w:sz w:val="28"/>
          <w:szCs w:val="28"/>
        </w:rPr>
        <w:t>referred</w:t>
      </w:r>
      <w:proofErr w:type="spellEnd"/>
      <w:r w:rsidRPr="002D36F2">
        <w:rPr>
          <w:sz w:val="28"/>
          <w:szCs w:val="28"/>
        </w:rPr>
        <w:t xml:space="preserve"> provider so that the patient may verify participation status and any applicable out of pocket costs prior to making an appointment</w:t>
      </w:r>
      <w:r w:rsidR="007F5749">
        <w:rPr>
          <w:color w:val="FF0000"/>
          <w:sz w:val="28"/>
          <w:szCs w:val="28"/>
        </w:rPr>
        <w:t xml:space="preserve"> </w:t>
      </w:r>
    </w:p>
    <w:p w14:paraId="161CEE90" w14:textId="20157514" w:rsidR="00F3312C" w:rsidRPr="00FF551E" w:rsidRDefault="00F3312C" w:rsidP="00F3312C">
      <w:pPr>
        <w:rPr>
          <w:b/>
          <w:bCs/>
          <w:sz w:val="28"/>
          <w:szCs w:val="28"/>
        </w:rPr>
      </w:pPr>
      <w:r w:rsidRPr="00FF551E">
        <w:rPr>
          <w:b/>
          <w:bCs/>
          <w:sz w:val="28"/>
          <w:szCs w:val="28"/>
        </w:rPr>
        <w:t>If the provider is directly scheduling or arranging services for a patient:</w:t>
      </w:r>
    </w:p>
    <w:p w14:paraId="6EF8C641" w14:textId="77777777" w:rsidR="00F3312C" w:rsidRPr="00FF551E" w:rsidRDefault="00F3312C" w:rsidP="00F3312C">
      <w:pPr>
        <w:pStyle w:val="ListParagraph"/>
        <w:numPr>
          <w:ilvl w:val="0"/>
          <w:numId w:val="4"/>
        </w:numPr>
        <w:rPr>
          <w:sz w:val="28"/>
          <w:szCs w:val="28"/>
        </w:rPr>
      </w:pPr>
      <w:r w:rsidRPr="00FF551E">
        <w:rPr>
          <w:sz w:val="28"/>
          <w:szCs w:val="28"/>
        </w:rPr>
        <w:t xml:space="preserve">Verify whether the </w:t>
      </w:r>
      <w:proofErr w:type="spellStart"/>
      <w:r w:rsidRPr="00FF551E">
        <w:rPr>
          <w:sz w:val="28"/>
          <w:szCs w:val="28"/>
        </w:rPr>
        <w:t>referred</w:t>
      </w:r>
      <w:proofErr w:type="spellEnd"/>
      <w:r w:rsidRPr="00FF551E">
        <w:rPr>
          <w:sz w:val="28"/>
          <w:szCs w:val="28"/>
        </w:rPr>
        <w:t xml:space="preserve"> provider participates in the patient’s health plan</w:t>
      </w:r>
    </w:p>
    <w:p w14:paraId="58DA9171" w14:textId="524ED7D5" w:rsidR="00F3312C" w:rsidRDefault="00F3312C" w:rsidP="00F3312C">
      <w:pPr>
        <w:pStyle w:val="ListParagraph"/>
        <w:numPr>
          <w:ilvl w:val="0"/>
          <w:numId w:val="4"/>
        </w:numPr>
        <w:rPr>
          <w:sz w:val="28"/>
          <w:szCs w:val="28"/>
        </w:rPr>
      </w:pPr>
      <w:r w:rsidRPr="00FF551E">
        <w:rPr>
          <w:sz w:val="28"/>
          <w:szCs w:val="28"/>
        </w:rPr>
        <w:t xml:space="preserve">Notify the patient if the </w:t>
      </w:r>
      <w:proofErr w:type="spellStart"/>
      <w:r w:rsidRPr="00FF551E">
        <w:rPr>
          <w:sz w:val="28"/>
          <w:szCs w:val="28"/>
        </w:rPr>
        <w:t>referred</w:t>
      </w:r>
      <w:proofErr w:type="spellEnd"/>
      <w:r w:rsidRPr="00FF551E">
        <w:rPr>
          <w:sz w:val="28"/>
          <w:szCs w:val="28"/>
        </w:rPr>
        <w:t xml:space="preserve"> provider does not participate in the patient’s health plan or if status could not be verified</w:t>
      </w:r>
    </w:p>
    <w:p w14:paraId="35BAECCF" w14:textId="37298776" w:rsidR="00637D0B" w:rsidRPr="00637D0B" w:rsidRDefault="00637D0B" w:rsidP="00637D0B">
      <w:pPr>
        <w:rPr>
          <w:b/>
          <w:bCs/>
          <w:sz w:val="28"/>
          <w:szCs w:val="28"/>
        </w:rPr>
      </w:pPr>
      <w:r w:rsidRPr="00637D0B">
        <w:rPr>
          <w:b/>
          <w:bCs/>
          <w:sz w:val="28"/>
          <w:szCs w:val="28"/>
        </w:rPr>
        <w:t>Link to DPH Notice</w:t>
      </w:r>
    </w:p>
    <w:p w14:paraId="1DE81B81" w14:textId="5014E3BA" w:rsidR="00637D0B" w:rsidRPr="00637D0B" w:rsidRDefault="00024DED" w:rsidP="00637D0B">
      <w:pPr>
        <w:rPr>
          <w:sz w:val="28"/>
          <w:szCs w:val="28"/>
        </w:rPr>
      </w:pPr>
      <w:hyperlink r:id="rId8" w:history="1">
        <w:r w:rsidR="00637D0B" w:rsidRPr="00B80731">
          <w:rPr>
            <w:rStyle w:val="Hyperlink"/>
            <w:sz w:val="28"/>
            <w:szCs w:val="28"/>
          </w:rPr>
          <w:t>https://www.mass.gov/news/pricing-transparency-provisions-of-an-act-promoting-a-resilient-health-care-system</w:t>
        </w:r>
        <w:r w:rsidR="00637D0B" w:rsidRPr="00B80731">
          <w:rPr>
            <w:rStyle w:val="Hyperlink"/>
            <w:sz w:val="28"/>
            <w:szCs w:val="28"/>
          </w:rPr>
          <w:t>-</w:t>
        </w:r>
        <w:r w:rsidR="00637D0B" w:rsidRPr="00B80731">
          <w:rPr>
            <w:rStyle w:val="Hyperlink"/>
            <w:sz w:val="28"/>
            <w:szCs w:val="28"/>
          </w:rPr>
          <w:t>that-puts-patients-first-patients-first</w:t>
        </w:r>
      </w:hyperlink>
      <w:r w:rsidR="00637D0B">
        <w:rPr>
          <w:sz w:val="28"/>
          <w:szCs w:val="28"/>
        </w:rPr>
        <w:t xml:space="preserve"> </w:t>
      </w:r>
    </w:p>
    <w:p w14:paraId="540A7032" w14:textId="77777777" w:rsidR="00F3312C" w:rsidRPr="00881782" w:rsidRDefault="00F3312C" w:rsidP="00F3312C">
      <w:pPr>
        <w:rPr>
          <w:sz w:val="28"/>
          <w:szCs w:val="28"/>
        </w:rPr>
      </w:pPr>
    </w:p>
    <w:p w14:paraId="7E474FCF" w14:textId="77777777" w:rsidR="0022279D" w:rsidRPr="0022279D" w:rsidRDefault="0022279D" w:rsidP="0022279D"/>
    <w:sectPr w:rsidR="0022279D" w:rsidRPr="0022279D" w:rsidSect="00C5291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4A09B" w14:textId="77777777" w:rsidR="00000000" w:rsidRDefault="00024DED">
      <w:pPr>
        <w:spacing w:after="0" w:line="240" w:lineRule="auto"/>
      </w:pPr>
      <w:r>
        <w:separator/>
      </w:r>
    </w:p>
  </w:endnote>
  <w:endnote w:type="continuationSeparator" w:id="0">
    <w:p w14:paraId="63DA974F" w14:textId="77777777" w:rsidR="00000000" w:rsidRDefault="00024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4AFE7" w14:textId="77777777" w:rsidR="00000000" w:rsidRDefault="00024DED">
      <w:pPr>
        <w:spacing w:after="0" w:line="240" w:lineRule="auto"/>
      </w:pPr>
      <w:r>
        <w:separator/>
      </w:r>
    </w:p>
  </w:footnote>
  <w:footnote w:type="continuationSeparator" w:id="0">
    <w:p w14:paraId="48F100A2" w14:textId="77777777" w:rsidR="00000000" w:rsidRDefault="00024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90133" w14:textId="583660FF" w:rsidR="00042F83" w:rsidRDefault="00024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428"/>
    <w:multiLevelType w:val="hybridMultilevel"/>
    <w:tmpl w:val="DA6E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85A58"/>
    <w:multiLevelType w:val="hybridMultilevel"/>
    <w:tmpl w:val="4DFE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0655F"/>
    <w:multiLevelType w:val="hybridMultilevel"/>
    <w:tmpl w:val="8CA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DA3970"/>
    <w:multiLevelType w:val="hybridMultilevel"/>
    <w:tmpl w:val="6DFCCF9C"/>
    <w:lvl w:ilvl="0" w:tplc="0908F100">
      <w:start w:val="1"/>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515B22"/>
    <w:multiLevelType w:val="hybridMultilevel"/>
    <w:tmpl w:val="DD3E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2E1BC6"/>
    <w:multiLevelType w:val="hybridMultilevel"/>
    <w:tmpl w:val="7CD8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2C"/>
    <w:rsid w:val="00024DED"/>
    <w:rsid w:val="000251D4"/>
    <w:rsid w:val="000D2780"/>
    <w:rsid w:val="0015261B"/>
    <w:rsid w:val="0022279D"/>
    <w:rsid w:val="002750EB"/>
    <w:rsid w:val="002F3C41"/>
    <w:rsid w:val="0037658B"/>
    <w:rsid w:val="00394E2B"/>
    <w:rsid w:val="003B48F6"/>
    <w:rsid w:val="003E305C"/>
    <w:rsid w:val="003F1F7E"/>
    <w:rsid w:val="0045307F"/>
    <w:rsid w:val="00476269"/>
    <w:rsid w:val="005447AA"/>
    <w:rsid w:val="00637D0B"/>
    <w:rsid w:val="00684831"/>
    <w:rsid w:val="006F481A"/>
    <w:rsid w:val="0071511B"/>
    <w:rsid w:val="007A0ED1"/>
    <w:rsid w:val="007B7436"/>
    <w:rsid w:val="007F5749"/>
    <w:rsid w:val="00871946"/>
    <w:rsid w:val="00902A68"/>
    <w:rsid w:val="009100F4"/>
    <w:rsid w:val="00970536"/>
    <w:rsid w:val="00A02509"/>
    <w:rsid w:val="00A36C87"/>
    <w:rsid w:val="00AF7391"/>
    <w:rsid w:val="00BD3056"/>
    <w:rsid w:val="00C52916"/>
    <w:rsid w:val="00C85815"/>
    <w:rsid w:val="00DA0838"/>
    <w:rsid w:val="00E915A5"/>
    <w:rsid w:val="00F33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248DF"/>
  <w15:chartTrackingRefBased/>
  <w15:docId w15:val="{D4D2ABE2-33CA-479B-884E-79856AEF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12C"/>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12C"/>
    <w:rPr>
      <w:rFonts w:asciiTheme="minorHAnsi" w:eastAsiaTheme="minorHAnsi" w:hAnsiTheme="minorHAnsi" w:cstheme="minorBidi"/>
      <w:sz w:val="22"/>
      <w:szCs w:val="22"/>
    </w:rPr>
  </w:style>
  <w:style w:type="paragraph" w:styleId="ListParagraph">
    <w:name w:val="List Paragraph"/>
    <w:basedOn w:val="Normal"/>
    <w:uiPriority w:val="34"/>
    <w:qFormat/>
    <w:rsid w:val="00F3312C"/>
    <w:pPr>
      <w:ind w:left="720"/>
      <w:contextualSpacing/>
    </w:pPr>
  </w:style>
  <w:style w:type="character" w:styleId="CommentReference">
    <w:name w:val="annotation reference"/>
    <w:basedOn w:val="DefaultParagraphFont"/>
    <w:uiPriority w:val="99"/>
    <w:semiHidden/>
    <w:unhideWhenUsed/>
    <w:rsid w:val="00F3312C"/>
    <w:rPr>
      <w:sz w:val="16"/>
      <w:szCs w:val="16"/>
    </w:rPr>
  </w:style>
  <w:style w:type="paragraph" w:styleId="CommentText">
    <w:name w:val="annotation text"/>
    <w:basedOn w:val="Normal"/>
    <w:link w:val="CommentTextChar"/>
    <w:uiPriority w:val="99"/>
    <w:unhideWhenUsed/>
    <w:rsid w:val="00F3312C"/>
    <w:pPr>
      <w:spacing w:line="240" w:lineRule="auto"/>
    </w:pPr>
    <w:rPr>
      <w:sz w:val="20"/>
      <w:szCs w:val="20"/>
    </w:rPr>
  </w:style>
  <w:style w:type="character" w:customStyle="1" w:styleId="CommentTextChar">
    <w:name w:val="Comment Text Char"/>
    <w:basedOn w:val="DefaultParagraphFont"/>
    <w:link w:val="CommentText"/>
    <w:uiPriority w:val="99"/>
    <w:rsid w:val="00F3312C"/>
    <w:rPr>
      <w:rFonts w:asciiTheme="minorHAnsi" w:eastAsiaTheme="minorHAnsi" w:hAnsiTheme="minorHAnsi" w:cstheme="minorBidi"/>
    </w:rPr>
  </w:style>
  <w:style w:type="character" w:styleId="Hyperlink">
    <w:name w:val="Hyperlink"/>
    <w:basedOn w:val="DefaultParagraphFont"/>
    <w:uiPriority w:val="99"/>
    <w:unhideWhenUsed/>
    <w:rsid w:val="00637D0B"/>
    <w:rPr>
      <w:color w:val="0563C1" w:themeColor="hyperlink"/>
      <w:u w:val="single"/>
    </w:rPr>
  </w:style>
  <w:style w:type="character" w:customStyle="1" w:styleId="UnresolvedMention">
    <w:name w:val="Unresolved Mention"/>
    <w:basedOn w:val="DefaultParagraphFont"/>
    <w:uiPriority w:val="99"/>
    <w:semiHidden/>
    <w:unhideWhenUsed/>
    <w:rsid w:val="00637D0B"/>
    <w:rPr>
      <w:color w:val="605E5C"/>
      <w:shd w:val="clear" w:color="auto" w:fill="E1DFDD"/>
    </w:rPr>
  </w:style>
  <w:style w:type="character" w:styleId="FollowedHyperlink">
    <w:name w:val="FollowedHyperlink"/>
    <w:basedOn w:val="DefaultParagraphFont"/>
    <w:uiPriority w:val="99"/>
    <w:semiHidden/>
    <w:unhideWhenUsed/>
    <w:rsid w:val="007F57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news/pricing-transparency-provisions-of-an-act-promoting-a-resilient-health-care-system-that-puts-patients-first-patients-first"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582</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Granoff</dc:creator>
  <cp:keywords/>
  <dc:description/>
  <cp:lastModifiedBy>Schoenthaler,Deborah  (HMFP - PLLC)</cp:lastModifiedBy>
  <cp:revision>3</cp:revision>
  <dcterms:created xsi:type="dcterms:W3CDTF">2022-01-11T16:45:00Z</dcterms:created>
  <dcterms:modified xsi:type="dcterms:W3CDTF">2022-01-11T16:49:00Z</dcterms:modified>
</cp:coreProperties>
</file>