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2B4A" w:val="clear"/>
            <w:tcMar>
              <w:top w:type="dxa" w:w="480"/>
              <w:left w:type="dxa" w:w="480"/>
              <w:bottom w:type="dxa" w:w="480"/>
              <w:right w:type="dxa" w:w="480"/>
            </w:tcMar>
          </w:tcPr>
          <w:p>
            <w:pPr>
              <w:spacing w:before="0" w:after="120"/>
              <w:jc w:val="center"/>
            </w:pPr>
            <w:r>
              <w:rPr>
                <w:rFonts w:ascii="Arial" w:cs="Arial" w:eastAsia="Arial" w:hAnsi="Arial"/>
                <w:b/>
                <w:bCs/>
                <w:color w:val="FFFFFF"/>
                <w:sz w:val="72"/>
                <w:szCs w:val="72"/>
              </w:rPr>
              <w:t xml:space="preserve">GPS2Quantum</w:t>
            </w:r>
            <w:r>
              <w:rPr>
                <w:rFonts w:ascii="Arial" w:cs="Arial" w:eastAsia="Arial" w:hAnsi="Arial"/>
                <w:b w:val="false"/>
                <w:bCs w:val="false"/>
                <w:color w:val="C0392B"/>
                <w:sz w:val="48"/>
                <w:szCs w:val="48"/>
              </w:rPr>
              <w:t xml:space="preserve">™</w:t>
            </w:r>
          </w:p>
          <w:p>
            <w:pPr>
              <w:spacing w:before="0" w:after="240"/>
              <w:jc w:val="center"/>
            </w:pPr>
            <w:r>
              <w:rPr>
                <w:rFonts w:ascii="Arial" w:cs="Arial" w:eastAsia="Arial" w:hAnsi="Arial"/>
                <w:i/>
                <w:iCs/>
                <w:color w:val="A8C4E0"/>
                <w:sz w:val="28"/>
                <w:szCs w:val="28"/>
              </w:rPr>
              <w:t xml:space="preserve">Bridging Classical GPS and the Quantum Navigation Era</w:t>
            </w:r>
          </w:p>
          <w:p>
            <w:pPr>
              <w:spacing w:before="240" w:after="0"/>
              <w:jc w:val="center"/>
            </w:pPr>
            <w:r>
              <w:rPr>
                <w:rFonts w:ascii="Arial" w:cs="Arial" w:eastAsia="Arial" w:hAnsi="Arial"/>
                <w:color w:val="7AABCC"/>
                <w:sz w:val="20"/>
                <w:szCs w:val="20"/>
              </w:rPr>
              <w:t xml:space="preserve">Technical Whitepaper  ·  February 2026  ·  gps2quantum.com</w:t>
            </w:r>
          </w:p>
        </w:tc>
      </w:tr>
    </w:tbl>
    <w:p>
      <w:pPr>
        <w:spacing w:before="4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Abstract</w:t>
      </w:r>
    </w:p>
    <w:p>
      <w:pPr>
        <w:spacing w:before="80" w:after="120"/>
      </w:pPr>
      <w:r>
        <w:rPr>
          <w:rFonts w:ascii="Arial" w:cs="Arial" w:eastAsia="Arial" w:hAnsi="Arial"/>
          <w:color w:val="4A4A5A"/>
          <w:sz w:val="22"/>
          <w:szCs w:val="22"/>
        </w:rPr>
        <w:t xml:space="preserve">GPS2Quantum is an iOS application that performs a real-time coordinate transformation from classical GPS/WGS84 geodetic coordinates into spherical quantum-frame state representations — the format in which next-generation quantum inertial navigation hardware will natively express position. The app operates as a simulation layer, using existing GPS infrastructure to generate structured quantum state output (radius r, polar angle θ, azimuthal angle φ) annotated with sensor-class-specific uncertainty parameters modeled on cold-atom interferometry physics.</w:t>
      </w:r>
    </w:p>
    <w:p>
      <w:pPr>
        <w:spacing w:before="80" w:after="120"/>
      </w:pPr>
      <w:r>
        <w:rPr>
          <w:rFonts w:ascii="Arial" w:cs="Arial" w:eastAsia="Arial" w:hAnsi="Arial"/>
          <w:color w:val="4A4A5A"/>
          <w:sz w:val="22"/>
          <w:szCs w:val="22"/>
        </w:rPr>
        <w:t xml:space="preserve">This whitepaper situates GPS2Quantum within the rapidly advancing field of quantum navigation, analyzes the hardware roadmap required for native quantum positioning, benchmarks the app against the current state-of-the-art in deployed quantum navigation systems (specifically Q-CTRL’s Ironstone Opal), and articulates the app’s unique role as a conceptual bridge, simulation testbed, AI context tool, and data-format pioneer for the quantum navigation era.</w:t>
      </w:r>
    </w:p>
    <w:p>
      <w:pPr>
        <w:spacing w:before="2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1.  The Quantum Navigation Landscape</w:t>
      </w:r>
    </w:p>
    <w:p>
      <w:pPr>
        <w:pStyle w:val="Heading2"/>
        <w:spacing w:before="280" w:after="120"/>
      </w:pPr>
      <w:r>
        <w:rPr>
          <w:rFonts w:ascii="Arial" w:cs="Arial" w:eastAsia="Arial" w:hAnsi="Arial"/>
          <w:b/>
          <w:bCs/>
          <w:color w:val="2E5B8A"/>
          <w:sz w:val="28"/>
          <w:szCs w:val="28"/>
        </w:rPr>
        <w:t xml:space="preserve">1.1  Why GPS Has a Successor Problem</w:t>
      </w:r>
    </w:p>
    <w:p>
      <w:pPr>
        <w:spacing w:before="80" w:after="120"/>
      </w:pPr>
      <w:r>
        <w:rPr>
          <w:rFonts w:ascii="Arial" w:cs="Arial" w:eastAsia="Arial" w:hAnsi="Arial"/>
          <w:color w:val="4A4A5A"/>
          <w:sz w:val="22"/>
          <w:szCs w:val="22"/>
        </w:rPr>
        <w:t xml:space="preserve">The Global Positioning System underpins virtually every navigation system in commercial aviation, maritime shipping, autonomous vehicles, precision agriculture, and defense operations. Yet GPS is increasingly vulnerable. More than 1,000 commercial flights per day are disrupted by jamming or spoofing incidents. In conflict zones, GPS denial has become a standard tool of warfare. The economic cost of a single major GPS outage is estimated at over $1 billion per day.</w:t>
      </w:r>
    </w:p>
    <w:p>
      <w:pPr>
        <w:spacing w:before="80" w:after="120"/>
      </w:pPr>
      <w:r>
        <w:rPr>
          <w:rFonts w:ascii="Arial" w:cs="Arial" w:eastAsia="Arial" w:hAnsi="Arial"/>
          <w:color w:val="4A4A5A"/>
          <w:sz w:val="22"/>
          <w:szCs w:val="22"/>
        </w:rPr>
        <w:t xml:space="preserve">The solution that has emerged from decades of physics research is quantum navigation: positioning systems that derive location from the fundamental laws of quantum mechanics rather than from satellite signals. Because quantum sensors measure inertial forces and geophysical field variations directly — not radio signals — they cannot be jammed, spoofed, or denied.</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90C4" w:sz="12"/>
              <w:left w:val="single" w:color="4A90C4" w:sz="24"/>
              <w:bottom w:val="none" w:color="FFFFFF" w:sz="0"/>
              <w:right w:val="none" w:color="FFFFFF" w:sz="0"/>
            </w:tcBorders>
            <w:shd w:fill="F2F4F7" w:val="clear"/>
            <w:tcMar>
              <w:top w:type="dxa" w:w="160"/>
              <w:left w:type="dxa" w:w="240"/>
              <w:bottom w:type="dxa" w:w="160"/>
              <w:right w:type="dxa" w:w="240"/>
            </w:tcMar>
          </w:tcPr>
          <w:p>
            <w:r>
              <w:rPr>
                <w:rFonts w:ascii="Arial" w:cs="Arial" w:eastAsia="Arial" w:hAnsi="Arial"/>
                <w:i/>
                <w:iCs/>
                <w:color w:val="1A2B4A"/>
                <w:sz w:val="22"/>
                <w:szCs w:val="22"/>
              </w:rPr>
              <w:t xml:space="preserve">Quantum navigation is not a incremental improvement to GPS. It is an architectural replacement built on entirely different physics — one that happens to produce outputs in formats classical GPS users have never encountered.</w:t>
            </w:r>
          </w:p>
        </w:tc>
      </w:tr>
    </w:tbl>
    <w:p>
      <w:pPr>
        <w:spacing w:before="120" w:after="0"/>
      </w:pPr>
      <w:r>
        <w:t xml:space="preserve"/>
      </w:r>
    </w:p>
    <w:p>
      <w:pPr>
        <w:pStyle w:val="Heading2"/>
        <w:spacing w:before="280" w:after="120"/>
      </w:pPr>
      <w:r>
        <w:rPr>
          <w:rFonts w:ascii="Arial" w:cs="Arial" w:eastAsia="Arial" w:hAnsi="Arial"/>
          <w:b/>
          <w:bCs/>
          <w:color w:val="2E5B8A"/>
          <w:sz w:val="28"/>
          <w:szCs w:val="28"/>
        </w:rPr>
        <w:t xml:space="preserve">1.2  Two Branches of Quantum Navigation</w:t>
      </w:r>
    </w:p>
    <w:p>
      <w:pPr>
        <w:spacing w:before="80" w:after="120"/>
      </w:pPr>
      <w:r>
        <w:rPr>
          <w:rFonts w:ascii="Arial" w:cs="Arial" w:eastAsia="Arial" w:hAnsi="Arial"/>
          <w:color w:val="4A4A5A"/>
          <w:sz w:val="22"/>
          <w:szCs w:val="22"/>
        </w:rPr>
        <w:t xml:space="preserve">Two distinct technology branches are converging toward GPS-independent positioning:</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rPr>
          <w:tblHeader/>
        </w:trPr>
        <w:tc>
          <w:tcPr>
            <w:tcW w:type="dxa" w:w="46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Cold-Atom Inertial Navigation</w:t>
            </w:r>
          </w:p>
        </w:tc>
        <w:tc>
          <w:tcPr>
            <w:tcW w:type="dxa" w:w="476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Quantum-Assured Map Matching</w:t>
            </w:r>
          </w:p>
        </w:tc>
      </w:tr>
      <w:tr>
        <w:tc>
          <w:tcPr>
            <w:tcW w:type="dxa" w:w="46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Measures inertial forces (acceleration, rotation) using laser-cooled atoms near absolute zero</w:t>
            </w:r>
          </w:p>
        </w:tc>
        <w:tc>
          <w:tcPr>
            <w:tcW w:type="dxa" w:w="47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Reads Earth’s magnetic/gravitational field variations and matches against geophysical maps</w:t>
            </w:r>
          </w:p>
        </w:tc>
      </w:tr>
      <w:tr>
        <w:tc>
          <w:tcPr>
            <w:tcW w:type="dxa" w:w="46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Outputs position as spherical quantum state (r, θ, φ) via dead reckoning</w:t>
            </w:r>
          </w:p>
        </w:tc>
        <w:tc>
          <w:tcPr>
            <w:tcW w:type="dxa" w:w="47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Outputs GPS-equivalent X/Y coordinates; altitude from classical baro input</w:t>
            </w:r>
          </w:p>
        </w:tc>
      </w:tr>
      <w:tr>
        <w:tc>
          <w:tcPr>
            <w:tcW w:type="dxa" w:w="46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GPS-independent from first principles; no external reference required</w:t>
            </w:r>
          </w:p>
        </w:tc>
        <w:tc>
          <w:tcPr>
            <w:tcW w:type="dxa" w:w="47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Requires pre-existing geophysical maps; passive, unjammable</w:t>
            </w:r>
          </w:p>
        </w:tc>
      </w:tr>
      <w:tr>
        <w:tc>
          <w:tcPr>
            <w:tcW w:type="dxa" w:w="46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Current form factor: laboratory scale (0.5–1 m³); miniaturization roadmap to ~2035–2045</w:t>
            </w:r>
          </w:p>
        </w:tc>
        <w:tc>
          <w:tcPr>
            <w:tcW w:type="dxa" w:w="47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Current form factor: 12U rack, &lt;100W; Q-CTRL Ironstone Opal deployed in 2025</w:t>
            </w:r>
          </w:p>
        </w:tc>
      </w:tr>
    </w:tbl>
    <w:p>
      <w:pPr>
        <w:spacing w:before="160" w:after="0"/>
      </w:pPr>
      <w:r>
        <w:t xml:space="preserve"/>
      </w:r>
    </w:p>
    <w:p>
      <w:pPr>
        <w:spacing w:before="80" w:after="120"/>
      </w:pPr>
      <w:r>
        <w:rPr>
          <w:rFonts w:ascii="Arial" w:cs="Arial" w:eastAsia="Arial" w:hAnsi="Arial"/>
          <w:color w:val="4A4A5A"/>
          <w:sz w:val="22"/>
          <w:szCs w:val="22"/>
        </w:rPr>
        <w:t xml:space="preserve">GPS2Quantum’s simulation frame — cold_atom_simulated — models the output of the first branch. Its coordinate schema (r, θ, φ) is the native language of cold-atom inertial sensors, not yet available in hardware small enough to fit in a consumer device, but well-defined and increasingly standardized in the research literature.</w:t>
      </w:r>
    </w:p>
    <w:p>
      <w:pPr>
        <w:spacing w:before="2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2.  The GPS2Quantum™ Coordinate Transform</w:t>
      </w:r>
    </w:p>
    <w:p>
      <w:pPr>
        <w:pStyle w:val="Heading2"/>
        <w:spacing w:before="280" w:after="120"/>
      </w:pPr>
      <w:r>
        <w:rPr>
          <w:rFonts w:ascii="Arial" w:cs="Arial" w:eastAsia="Arial" w:hAnsi="Arial"/>
          <w:b/>
          <w:bCs/>
          <w:color w:val="2E5B8A"/>
          <w:sz w:val="28"/>
          <w:szCs w:val="28"/>
        </w:rPr>
        <w:t xml:space="preserve">2.1  Three-Step Transformation Pipeline</w:t>
      </w:r>
    </w:p>
    <w:p>
      <w:pPr>
        <w:spacing w:before="80" w:after="120"/>
      </w:pPr>
      <w:r>
        <w:rPr>
          <w:rFonts w:ascii="Arial" w:cs="Arial" w:eastAsia="Arial" w:hAnsi="Arial"/>
          <w:color w:val="4A4A5A"/>
          <w:sz w:val="22"/>
          <w:szCs w:val="22"/>
        </w:rPr>
        <w:t xml:space="preserve">The app performs a mathematically rigorous three-stage transformation on every GPS fix it receives:</w:t>
      </w:r>
    </w:p>
    <w:p>
      <w:pPr>
        <w:spacing w:before="80" w:after="0"/>
      </w:pPr>
      <w:r>
        <w:t xml:space="preserve"/>
      </w:r>
    </w:p>
    <w:p>
      <w:pPr>
        <w:pStyle w:val="ListParagraph"/>
        <w:numPr>
          <w:ilvl w:val="0"/>
          <w:numId w:val="2"/>
        </w:numPr>
        <w:spacing w:before="60" w:after="60"/>
      </w:pPr>
      <w:r>
        <w:rPr>
          <w:rFonts w:ascii="Arial" w:cs="Arial" w:eastAsia="Arial" w:hAnsi="Arial"/>
          <w:color w:val="4A4A5A"/>
          <w:sz w:val="22"/>
          <w:szCs w:val="22"/>
        </w:rPr>
        <w:t xml:space="preserve">Stage 1 — WGS84 Geodetic to ECEF Cartesian: Latitude, longitude, and altitude from the GPS receiver are converted to Earth-Centered, Earth-Fixed (ECEF) Cartesian coordinates (X, Y, Z), placing the position in a 3D coordinate system anchored at Earth’s center of mass.</w:t>
      </w:r>
    </w:p>
    <w:p>
      <w:pPr>
        <w:pStyle w:val="ListParagraph"/>
        <w:numPr>
          <w:ilvl w:val="0"/>
          <w:numId w:val="2"/>
        </w:numPr>
        <w:spacing w:before="60" w:after="60"/>
      </w:pPr>
      <w:r>
        <w:rPr>
          <w:rFonts w:ascii="Arial" w:cs="Arial" w:eastAsia="Arial" w:hAnsi="Arial"/>
          <w:color w:val="4A4A5A"/>
          <w:sz w:val="22"/>
          <w:szCs w:val="22"/>
        </w:rPr>
        <w:t xml:space="preserve">Stage 2 — ECEF to Spherical Quantum State: The ECEF coordinates are transformed into spherical coordinates — radius r (distance from Earth’s center), polar angle θ (colatitude from the North Pole in radians), and azimuthal angle φ (longitude in radians). This is the natural output format of cold-atom interferometers operating in free-fall gravity measurement mode.</w:t>
      </w:r>
    </w:p>
    <w:p>
      <w:pPr>
        <w:pStyle w:val="ListParagraph"/>
        <w:numPr>
          <w:ilvl w:val="0"/>
          <w:numId w:val="2"/>
        </w:numPr>
        <w:spacing w:before="60" w:after="60"/>
      </w:pPr>
      <w:r>
        <w:rPr>
          <w:rFonts w:ascii="Arial" w:cs="Arial" w:eastAsia="Arial" w:hAnsi="Arial"/>
          <w:color w:val="4A4A5A"/>
          <w:sz w:val="22"/>
          <w:szCs w:val="22"/>
        </w:rPr>
        <w:t xml:space="preserve">Stage 3 — Sensor Simulation Layer: The spherical state is annotated with sensor-class-specific parameters: drift rate, operational condition, and elapsed drift time δt. This models the accumulated positional uncertainty a real quantum sensor of the selected class would exhibit at that location after operating for the specified duration.</w:t>
      </w:r>
    </w:p>
    <w:p>
      <w:pPr>
        <w:spacing w:before="120" w:after="0"/>
      </w:pPr>
      <w:r>
        <w:t xml:space="preserve"/>
      </w:r>
    </w:p>
    <w:p>
      <w:pPr>
        <w:pStyle w:val="Heading2"/>
        <w:spacing w:before="280" w:after="120"/>
      </w:pPr>
      <w:r>
        <w:rPr>
          <w:rFonts w:ascii="Arial" w:cs="Arial" w:eastAsia="Arial" w:hAnsi="Arial"/>
          <w:b/>
          <w:bCs/>
          <w:color w:val="2E5B8A"/>
          <w:sz w:val="28"/>
          <w:szCs w:val="28"/>
        </w:rPr>
        <w:t xml:space="preserve">2.2  Sensor Classes and Physical Grounding</w:t>
      </w:r>
    </w:p>
    <w:p>
      <w:pPr>
        <w:spacing w:before="80" w:after="120"/>
      </w:pPr>
      <w:r>
        <w:rPr>
          <w:rFonts w:ascii="Arial" w:cs="Arial" w:eastAsia="Arial" w:hAnsi="Arial"/>
          <w:color w:val="4A4A5A"/>
          <w:sz w:val="22"/>
          <w:szCs w:val="22"/>
        </w:rPr>
        <w:t xml:space="preserve">GPS2Quantum supports multiple sensor classes that correspond to real-world quantum sensor performance tiers: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Consumer Grade (MEMS)</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Drift rate: ~0.1 m/s. Analogous to MEMS IMUs found in smartphones today. Used as the baseline for comparison.</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Navigation Grade</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Drift rate: ~0.01 m/s. Corresponds to ring-laser gyroscopes and high-end classical IMUs used in aviation.</w:t>
            </w:r>
          </w:p>
        </w:tc>
      </w:tr>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Strategic Grade (Quantum)</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Drift rate: ~0.005 m/s. Models cold-atom interferometer performance targets for submarine and strategic navigation.</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Cold Atom Simulated</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The primary frame. Represents idealized quantum inertial sensor output in the cold_atom_simulated coordinate frame.</w:t>
            </w:r>
          </w:p>
        </w:tc>
      </w:tr>
    </w:tbl>
    <w:p>
      <w:pPr>
        <w:spacing w:before="160" w:after="0"/>
      </w:pPr>
      <w:r>
        <w:t xml:space="preserve"/>
      </w:r>
    </w:p>
    <w:p>
      <w:pPr>
        <w:pStyle w:val="Heading2"/>
        <w:spacing w:before="280" w:after="120"/>
      </w:pPr>
      <w:r>
        <w:rPr>
          <w:rFonts w:ascii="Arial" w:cs="Arial" w:eastAsia="Arial" w:hAnsi="Arial"/>
          <w:b/>
          <w:bCs/>
          <w:color w:val="2E5B8A"/>
          <w:sz w:val="28"/>
          <w:szCs w:val="28"/>
        </w:rPr>
        <w:t xml:space="preserve">2.3  Sample Output: Apple Park, Cupertino</w:t>
      </w:r>
    </w:p>
    <w:p>
      <w:pPr>
        <w:spacing w:before="80" w:after="120"/>
      </w:pPr>
      <w:r>
        <w:rPr>
          <w:rFonts w:ascii="Arial" w:cs="Arial" w:eastAsia="Arial" w:hAnsi="Arial"/>
          <w:color w:val="4A4A5A"/>
          <w:sz w:val="22"/>
          <w:szCs w:val="22"/>
        </w:rPr>
        <w:t xml:space="preserve">The following output was generated by GPS2Quantum at Apple Park (One Infinite Loop campus area), demonstrating the transformation for a real-world landmark location:</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Reference ECEF</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X: −2,691,389.84 m  |  Y: −4,305,623.67 m  |  Z: 3,847,018.43 m</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Sensor Class</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Navigation Grade</w:t>
            </w:r>
          </w:p>
        </w:tc>
      </w:tr>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Operational Condition</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Static/Lab</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Drift Rate</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0.01 m/s</w:t>
            </w:r>
          </w:p>
        </w:tc>
      </w:tr>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Radius (r)</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6,370,363.04 m</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Polar Angle (θ)</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0.9224 rad</w:t>
            </w:r>
          </w:p>
        </w:tc>
      </w:tr>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Azimuthal Angle (φ)</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−2.1295 rad</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Positional Drift (1D)</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0.000 m (at δt = 0)</w:t>
            </w:r>
          </w:p>
        </w:tc>
      </w:tr>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Frame</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cold_atom_simulated</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Method</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GPS2Quantum™ Transform</w:t>
            </w:r>
          </w:p>
        </w:tc>
      </w:tr>
    </w:tbl>
    <w:p>
      <w:pPr>
        <w:spacing w:before="2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3.  Hardware Roadmap: From Lab to iPhone</w:t>
      </w:r>
    </w:p>
    <w:p>
      <w:pPr>
        <w:pStyle w:val="Heading2"/>
        <w:spacing w:before="280" w:after="120"/>
      </w:pPr>
      <w:r>
        <w:rPr>
          <w:rFonts w:ascii="Arial" w:cs="Arial" w:eastAsia="Arial" w:hAnsi="Arial"/>
          <w:b/>
          <w:bCs/>
          <w:color w:val="2E5B8A"/>
          <w:sz w:val="28"/>
          <w:szCs w:val="28"/>
        </w:rPr>
        <w:t xml:space="preserve">3.1  What Hardware Each Attribute Requires</w:t>
      </w:r>
    </w:p>
    <w:p>
      <w:pPr>
        <w:spacing w:before="80" w:after="120"/>
      </w:pPr>
      <w:r>
        <w:rPr>
          <w:rFonts w:ascii="Arial" w:cs="Arial" w:eastAsia="Arial" w:hAnsi="Arial"/>
          <w:color w:val="4A4A5A"/>
          <w:sz w:val="22"/>
          <w:szCs w:val="22"/>
        </w:rPr>
        <w:t xml:space="preserve">To natively measure the three quantum state attributes without GPS — i.e., from first-principles quantum sensing — each requires distinct hardware that does not yet exist at mobile scale:</w:t>
      </w:r>
    </w:p>
    <w:p>
      <w:pPr>
        <w:spacing w:before="80" w:after="0"/>
      </w:pPr>
      <w:r>
        <w:t xml:space="preserve"/>
      </w:r>
    </w:p>
    <w:p>
      <w:pPr>
        <w:pStyle w:val="Heading3"/>
        <w:spacing w:before="200" w:after="80"/>
      </w:pPr>
      <w:r>
        <w:rPr>
          <w:rFonts w:ascii="Arial" w:cs="Arial" w:eastAsia="Arial" w:hAnsi="Arial"/>
          <w:b/>
          <w:bCs/>
          <w:color w:val="4A90C4"/>
          <w:sz w:val="24"/>
          <w:szCs w:val="24"/>
        </w:rPr>
        <w:t xml:space="preserve">Radius (r) — Quantum Gravimeter</w:t>
      </w:r>
    </w:p>
    <w:p>
      <w:pPr>
        <w:spacing w:before="80" w:after="120"/>
      </w:pPr>
      <w:r>
        <w:rPr>
          <w:rFonts w:ascii="Arial" w:cs="Arial" w:eastAsia="Arial" w:hAnsi="Arial"/>
          <w:color w:val="4A4A5A"/>
          <w:sz w:val="22"/>
          <w:szCs w:val="22"/>
        </w:rPr>
        <w:t xml:space="preserve">Measures gravitational acceleration to ppb precision via cold-atom free-fall interferometry, from which absolute distance from Earth’s center can be derived. Current laboratory gravimeters (e.g., Muquans AQG, iXblue) occupy 0.5–1 m³ and consume 20–50W for laser cooling alone. The most compact fieldable sensor heads are approximately shoebox-sized but require external laser and electronics racks. Gravity measurement is the most mature cold-atom application and the most likely to miniaturize first.</w:t>
      </w:r>
    </w:p>
    <w:p>
      <w:pPr>
        <w:spacing w:before="80" w:after="0"/>
      </w:pPr>
      <w:r>
        <w:t xml:space="preserve"/>
      </w:r>
    </w:p>
    <w:p>
      <w:pPr>
        <w:pStyle w:val="Heading3"/>
        <w:spacing w:before="200" w:after="80"/>
      </w:pPr>
      <w:r>
        <w:rPr>
          <w:rFonts w:ascii="Arial" w:cs="Arial" w:eastAsia="Arial" w:hAnsi="Arial"/>
          <w:b/>
          <w:bCs/>
          <w:color w:val="4A90C4"/>
          <w:sz w:val="24"/>
          <w:szCs w:val="24"/>
        </w:rPr>
        <w:t xml:space="preserve">Polar Angle (θ) — Multi-Axis Quantum Accelerometer</w:t>
      </w:r>
    </w:p>
    <w:p>
      <w:pPr>
        <w:spacing w:before="80" w:after="120"/>
      </w:pPr>
      <w:r>
        <w:rPr>
          <w:rFonts w:ascii="Arial" w:cs="Arial" w:eastAsia="Arial" w:hAnsi="Arial"/>
          <w:color w:val="4A4A5A"/>
          <w:sz w:val="22"/>
          <w:szCs w:val="22"/>
        </w:rPr>
        <w:t xml:space="preserve">Measures the gravity vector’s elevation component — effectively the latitude proxy — using a 3-axis cold-atom accelerometer with a grating magneto-optical trap (GMOT). A single diffraction grating chip generates all cooling beams from one incident laser. Current prototype sensor heads are approximately coffee-mug sized (~500 cm³), but this excludes the laser system, vacuum chamber, and electronics. Sandia National Laboratories has demonstrated silicon photonic microchip components performing atom interferometry, collapsing the laser system to chip scale.</w:t>
      </w:r>
    </w:p>
    <w:p>
      <w:pPr>
        <w:spacing w:before="80" w:after="0"/>
      </w:pPr>
      <w:r>
        <w:t xml:space="preserve"/>
      </w:r>
    </w:p>
    <w:p>
      <w:pPr>
        <w:pStyle w:val="Heading3"/>
        <w:spacing w:before="200" w:after="80"/>
      </w:pPr>
      <w:r>
        <w:rPr>
          <w:rFonts w:ascii="Arial" w:cs="Arial" w:eastAsia="Arial" w:hAnsi="Arial"/>
          <w:b/>
          <w:bCs/>
          <w:color w:val="4A90C4"/>
          <w:sz w:val="24"/>
          <w:szCs w:val="24"/>
        </w:rPr>
        <w:t xml:space="preserve">Azimuthal Angle (φ) — Quantum Sagnac Gyroscope</w:t>
      </w:r>
    </w:p>
    <w:p>
      <w:pPr>
        <w:spacing w:before="80" w:after="120"/>
      </w:pPr>
      <w:r>
        <w:rPr>
          <w:rFonts w:ascii="Arial" w:cs="Arial" w:eastAsia="Arial" w:hAnsi="Arial"/>
          <w:color w:val="4A4A5A"/>
          <w:sz w:val="22"/>
          <w:szCs w:val="22"/>
        </w:rPr>
        <w:t xml:space="preserve">The most challenging attribute. Measures Earth’s rotation rate via the quantum Sagnac effect — the phase shift between counter-propagating atom matter waves. Sensitivity scales with the enclosed area of the atom loop, creating a hard physics tension: miniaturization directly degrades performance. State-of-the-art atom gyroscopes require table-scale setups (1–2 m baseline). NV-center or nuclear spin gyroscopes may offer an alternative miniaturization path. This attribute defines the long end of the iPhone integration timeline.</w:t>
      </w:r>
    </w:p>
    <w:p>
      <w:pPr>
        <w:spacing w:before="120" w:after="0"/>
      </w:pPr>
      <w:r>
        <w:t xml:space="preserve"/>
      </w:r>
    </w:p>
    <w:p>
      <w:pPr>
        <w:pStyle w:val="Heading2"/>
        <w:spacing w:before="280" w:after="120"/>
      </w:pPr>
      <w:r>
        <w:rPr>
          <w:rFonts w:ascii="Arial" w:cs="Arial" w:eastAsia="Arial" w:hAnsi="Arial"/>
          <w:b/>
          <w:bCs/>
          <w:color w:val="2E5B8A"/>
          <w:sz w:val="28"/>
          <w:szCs w:val="28"/>
        </w:rPr>
        <w:t xml:space="preserve">3.2  The Shared Infrastructure Challenge</w:t>
      </w:r>
    </w:p>
    <w:p>
      <w:pPr>
        <w:spacing w:before="80" w:after="120"/>
      </w:pPr>
      <w:r>
        <w:rPr>
          <w:rFonts w:ascii="Arial" w:cs="Arial" w:eastAsia="Arial" w:hAnsi="Arial"/>
          <w:color w:val="4A4A5A"/>
          <w:sz w:val="22"/>
          <w:szCs w:val="22"/>
        </w:rPr>
        <w:t xml:space="preserve">All three attributes share a common hardware stack whose miniaturization is the primary bottleneck:</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2400"/>
        <w:gridCol w:w="1760"/>
      </w:tblGrid>
      <w:tr>
        <w:trPr>
          <w:tblHeader/>
        </w:trPr>
        <w:tc>
          <w:tcPr>
            <w:tcW w:type="dxa" w:w="28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Component</w:t>
            </w:r>
          </w:p>
        </w:tc>
        <w:tc>
          <w:tcPr>
            <w:tcW w:type="dxa" w:w="24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Current Size</w:t>
            </w:r>
          </w:p>
        </w:tc>
        <w:tc>
          <w:tcPr>
            <w:tcW w:type="dxa" w:w="24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Target Size</w:t>
            </w:r>
          </w:p>
        </w:tc>
        <w:tc>
          <w:tcPr>
            <w:tcW w:type="dxa" w:w="176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Est. Timeline</w:t>
            </w:r>
          </w:p>
        </w:tc>
      </w:tr>
      <w:tr>
        <w:tc>
          <w:tcPr>
            <w:tcW w:type="dxa" w:w="28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Atom chip (BEC/cold atom source)</w:t>
            </w:r>
          </w:p>
        </w:tc>
        <w:tc>
          <w:tcPr>
            <w:tcW w:type="dxa" w:w="2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~10 cm²</w:t>
            </w:r>
          </w:p>
        </w:tc>
        <w:tc>
          <w:tcPr>
            <w:tcW w:type="dxa" w:w="2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~1 cm² chip-scale</w:t>
            </w:r>
          </w:p>
        </w:tc>
        <w:tc>
          <w:tcPr>
            <w:tcW w:type="dxa" w:w="17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2027–2029</w:t>
            </w:r>
          </w:p>
        </w:tc>
      </w:tr>
      <w:tr>
        <w:tc>
          <w:tcPr>
            <w:tcW w:type="dxa" w:w="28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UHV micro-vacuum chamber</w:t>
            </w:r>
          </w:p>
        </w:tc>
        <w:tc>
          <w:tcPr>
            <w:tcW w:type="dxa" w:w="2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~500 cm³</w:t>
            </w:r>
          </w:p>
        </w:tc>
        <w:tc>
          <w:tcPr>
            <w:tcW w:type="dxa" w:w="2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MEMS-scale, ~1 cm³</w:t>
            </w:r>
          </w:p>
        </w:tc>
        <w:tc>
          <w:tcPr>
            <w:tcW w:type="dxa" w:w="17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2028–2032</w:t>
            </w:r>
          </w:p>
        </w:tc>
      </w:tr>
      <w:tr>
        <w:tc>
          <w:tcPr>
            <w:tcW w:type="dxa" w:w="28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PIC laser system (Raman + cooling)</w:t>
            </w:r>
          </w:p>
        </w:tc>
        <w:tc>
          <w:tcPr>
            <w:tcW w:type="dxa" w:w="2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Discrete fiber bench</w:t>
            </w:r>
          </w:p>
        </w:tc>
        <w:tc>
          <w:tcPr>
            <w:tcW w:type="dxa" w:w="2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Single PIC die, ~1 cm²</w:t>
            </w:r>
          </w:p>
        </w:tc>
        <w:tc>
          <w:tcPr>
            <w:tcW w:type="dxa" w:w="17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Demonstrated 2024 (Sandia)</w:t>
            </w:r>
          </w:p>
        </w:tc>
      </w:tr>
      <w:tr>
        <w:tc>
          <w:tcPr>
            <w:tcW w:type="dxa" w:w="28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Magnetic trap / field coils</w:t>
            </w:r>
          </w:p>
        </w:tc>
        <w:tc>
          <w:tcPr>
            <w:tcW w:type="dxa" w:w="2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Discrete wound coils</w:t>
            </w:r>
          </w:p>
        </w:tc>
        <w:tc>
          <w:tcPr>
            <w:tcW w:type="dxa" w:w="2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Microfabricated thin-film</w:t>
            </w:r>
          </w:p>
        </w:tc>
        <w:tc>
          <w:tcPr>
            <w:tcW w:type="dxa" w:w="17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2026–2028</w:t>
            </w:r>
          </w:p>
        </w:tc>
      </w:tr>
      <w:tr>
        <w:tc>
          <w:tcPr>
            <w:tcW w:type="dxa" w:w="28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Detection / readout ASIC</w:t>
            </w:r>
          </w:p>
        </w:tc>
        <w:tc>
          <w:tcPr>
            <w:tcW w:type="dxa" w:w="2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FPGA board</w:t>
            </w:r>
          </w:p>
        </w:tc>
        <w:tc>
          <w:tcPr>
            <w:tcW w:type="dxa" w:w="2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Integrated ASIC</w:t>
            </w:r>
          </w:p>
        </w:tc>
        <w:tc>
          <w:tcPr>
            <w:tcW w:type="dxa" w:w="17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2027–2030</w:t>
            </w:r>
          </w:p>
        </w:tc>
      </w:tr>
      <w:tr>
        <w:tc>
          <w:tcPr>
            <w:tcW w:type="dxa" w:w="28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Power (laser cooling)</w:t>
            </w:r>
          </w:p>
        </w:tc>
        <w:tc>
          <w:tcPr>
            <w:tcW w:type="dxa" w:w="2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20–50 W</w:t>
            </w:r>
          </w:p>
        </w:tc>
        <w:tc>
          <w:tcPr>
            <w:tcW w:type="dxa" w:w="2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&lt;1 W target</w:t>
            </w:r>
          </w:p>
        </w:tc>
        <w:tc>
          <w:tcPr>
            <w:tcW w:type="dxa" w:w="17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2030–2035+</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90C4" w:sz="12"/>
              <w:left w:val="single" w:color="4A90C4" w:sz="24"/>
              <w:bottom w:val="none" w:color="FFFFFF" w:sz="0"/>
              <w:right w:val="none" w:color="FFFFFF" w:sz="0"/>
            </w:tcBorders>
            <w:shd w:fill="F2F4F7" w:val="clear"/>
            <w:tcMar>
              <w:top w:type="dxa" w:w="160"/>
              <w:left w:type="dxa" w:w="240"/>
              <w:bottom w:type="dxa" w:w="160"/>
              <w:right w:type="dxa" w:w="240"/>
            </w:tcMar>
          </w:tcPr>
          <w:p>
            <w:r>
              <w:rPr>
                <w:rFonts w:ascii="Arial" w:cs="Arial" w:eastAsia="Arial" w:hAnsi="Arial"/>
                <w:i/>
                <w:iCs/>
                <w:color w:val="1A2B4A"/>
                <w:sz w:val="22"/>
                <w:szCs w:val="22"/>
              </w:rPr>
              <w:t xml:space="preserve">The single largest unsolved obstacle is power. Laser cooling atoms to microkelvin temperatures currently demands 20–50W of precisely stabilized laser power. Until integrated photonics and MEMS vacuum technology drive this below ~0.5W, no quantum inertial sensor will fit in a mobile phone regardless of physical sensor size.</w:t>
            </w:r>
          </w:p>
        </w:tc>
      </w:tr>
    </w:tbl>
    <w:p>
      <w:pPr>
        <w:spacing w:before="120" w:after="0"/>
      </w:pPr>
      <w:r>
        <w:t xml:space="preserve"/>
      </w:r>
    </w:p>
    <w:p>
      <w:pPr>
        <w:pStyle w:val="Heading2"/>
        <w:spacing w:before="280" w:after="120"/>
      </w:pPr>
      <w:r>
        <w:rPr>
          <w:rFonts w:ascii="Arial" w:cs="Arial" w:eastAsia="Arial" w:hAnsi="Arial"/>
          <w:b/>
          <w:bCs/>
          <w:color w:val="2E5B8A"/>
          <w:sz w:val="28"/>
          <w:szCs w:val="28"/>
        </w:rPr>
        <w:t xml:space="preserve">3.3  Projected Timeline to iPhone-Scale Integration</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rPr>
          <w:tblHeader/>
        </w:trPr>
        <w:tc>
          <w:tcPr>
            <w:tcW w:type="dxa" w:w="22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Attribute</w:t>
            </w:r>
          </w:p>
        </w:tc>
        <w:tc>
          <w:tcPr>
            <w:tcW w:type="dxa" w:w="32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Governing Physics</w:t>
            </w:r>
          </w:p>
        </w:tc>
        <w:tc>
          <w:tcPr>
            <w:tcW w:type="dxa" w:w="396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Estimated iPhone-Scale Integration</w:t>
            </w:r>
          </w:p>
        </w:tc>
      </w:tr>
      <w:tr>
        <w:tc>
          <w:tcPr>
            <w:tcW w:type="dxa" w:w="2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Radius (r)</w:t>
            </w:r>
          </w:p>
        </w:tc>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Quantum gravimetry (scalar, most mature axis)</w:t>
            </w:r>
          </w:p>
        </w:tc>
        <w:tc>
          <w:tcPr>
            <w:tcW w:type="dxa" w:w="39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~2032–2035: gravimeter chips closest to fieldable; gravity is the most advanced cold-atom application</w:t>
            </w:r>
          </w:p>
        </w:tc>
      </w:tr>
      <w:tr>
        <w:tc>
          <w:tcPr>
            <w:tcW w:type="dxa" w:w="2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Polar Angle (θ)</w:t>
            </w:r>
          </w:p>
        </w:tc>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Multi-axis quantum accelerometry</w:t>
            </w:r>
          </w:p>
        </w:tc>
        <w:tc>
          <w:tcPr>
            <w:tcW w:type="dxa" w:w="39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~2033–2037: requires 3D GMOT chip; MiniXQuanta-type programs targeting this within the decade</w:t>
            </w:r>
          </w:p>
        </w:tc>
      </w:tr>
      <w:tr>
        <w:tc>
          <w:tcPr>
            <w:tcW w:type="dxa" w:w="2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Azimuthal Angle (φ)</w:t>
            </w:r>
          </w:p>
        </w:tc>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Quantum Sagnac gyroscope</w:t>
            </w:r>
          </w:p>
        </w:tc>
        <w:tc>
          <w:tcPr>
            <w:tcW w:type="dxa" w:w="39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~2038–2045: area-sensitivity scaling is a hard physics barrier; NV-center gyroscopes may offer alternative path</w:t>
            </w:r>
          </w:p>
        </w:tc>
      </w:tr>
    </w:tbl>
    <w:p>
      <w:pPr>
        <w:spacing w:before="2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4.  Current State of the Art: Q-CTRL Ironstone Opal</w:t>
      </w:r>
    </w:p>
    <w:p>
      <w:pPr>
        <w:pStyle w:val="Heading2"/>
        <w:spacing w:before="280" w:after="120"/>
      </w:pPr>
      <w:r>
        <w:rPr>
          <w:rFonts w:ascii="Arial" w:cs="Arial" w:eastAsia="Arial" w:hAnsi="Arial"/>
          <w:b/>
          <w:bCs/>
          <w:color w:val="2E5B8A"/>
          <w:sz w:val="28"/>
          <w:szCs w:val="28"/>
        </w:rPr>
        <w:t xml:space="preserve">4.1  A Different Quantum Navigation Architecture</w:t>
      </w:r>
    </w:p>
    <w:p>
      <w:pPr>
        <w:spacing w:before="80" w:after="120"/>
      </w:pPr>
      <w:r>
        <w:rPr>
          <w:rFonts w:ascii="Arial" w:cs="Arial" w:eastAsia="Arial" w:hAnsi="Arial"/>
          <w:color w:val="4A4A5A"/>
          <w:sz w:val="22"/>
          <w:szCs w:val="22"/>
        </w:rPr>
        <w:t xml:space="preserve">Q-CTRL’s Ironstone Opal, named TIME Best Inventions of 2025 and field-validated in air, land, and maritime trials through 2025, represents the first commercially deployed quantum navigation system achieving true quantum advantage. It is critically important, however, to understand that Ironstone Opal operates on an entirely different architectural principle than cold-atom inertial navigation — one that sidesteps almost every hard physics problem in the roadmap above.</w:t>
      </w:r>
    </w:p>
    <w:p>
      <w:pPr>
        <w:spacing w:before="80" w:after="120"/>
      </w:pPr>
      <w:r>
        <w:rPr>
          <w:rFonts w:ascii="Arial" w:cs="Arial" w:eastAsia="Arial" w:hAnsi="Arial"/>
          <w:color w:val="4A4A5A"/>
          <w:sz w:val="22"/>
          <w:szCs w:val="22"/>
        </w:rPr>
        <w:t xml:space="preserve">Rather than measuring inertial forces to compute position by dead reckoning, Ironstone Opal uses quantum magnetometers to read Earth’s magnetic field with extreme sensitivity, then uses AI-driven software to match those readings against pre-existing geophysical maps — determining position the way a hiker navigates by matching landmarks to a topographic map.</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90C4" w:sz="12"/>
              <w:left w:val="single" w:color="4A90C4" w:sz="24"/>
              <w:bottom w:val="none" w:color="FFFFFF" w:sz="0"/>
              <w:right w:val="none" w:color="FFFFFF" w:sz="0"/>
            </w:tcBorders>
            <w:shd w:fill="F2F4F7" w:val="clear"/>
            <w:tcMar>
              <w:top w:type="dxa" w:w="160"/>
              <w:left w:type="dxa" w:w="240"/>
              <w:bottom w:type="dxa" w:w="160"/>
              <w:right w:type="dxa" w:w="240"/>
            </w:tcMar>
          </w:tcPr>
          <w:p>
            <w:r>
              <w:rPr>
                <w:rFonts w:ascii="Arial" w:cs="Arial" w:eastAsia="Arial" w:hAnsi="Arial"/>
                <w:i/>
                <w:iCs/>
                <w:color w:val="1A2B4A"/>
                <w:sz w:val="22"/>
                <w:szCs w:val="22"/>
              </w:rPr>
              <w:t xml:space="preserve">Ironstone Opal has achieved up to 111x greater positioning accuracy than conventional GPS backup systems in airborne field trials, with positioning accuracy down to 4 meters. A minimal hardware configuration has a total volume of 4.2 liters — today.</w:t>
            </w:r>
          </w:p>
        </w:tc>
      </w:tr>
    </w:tbl>
    <w:p>
      <w:pPr>
        <w:spacing w:before="120" w:after="0"/>
      </w:pPr>
      <w:r>
        <w:t xml:space="preserve"/>
      </w:r>
    </w:p>
    <w:p>
      <w:pPr>
        <w:pStyle w:val="Heading2"/>
        <w:spacing w:before="280" w:after="120"/>
      </w:pPr>
      <w:r>
        <w:rPr>
          <w:rFonts w:ascii="Arial" w:cs="Arial" w:eastAsia="Arial" w:hAnsi="Arial"/>
          <w:b/>
          <w:bCs/>
          <w:color w:val="2E5B8A"/>
          <w:sz w:val="28"/>
          <w:szCs w:val="28"/>
        </w:rPr>
        <w:t xml:space="preserve">4.2  Current Deployment Specifications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Form Factor</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Single 12U rack (field configuration); minimal sensor package: 4.2 liters</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Power Consumption</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&lt;100W total system</w:t>
            </w:r>
          </w:p>
        </w:tc>
      </w:tr>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Navigation Accuracy</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Up to 111x better than high-end INS in airborne trials; 4m positioning accuracy</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Operational Duration</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Validated continuously for 144+ hours on Royal Australian Navy vessel MV Sycamore</w:t>
            </w:r>
          </w:p>
        </w:tc>
      </w:tr>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Platforms Validated</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Fixed-wing aircraft (Cessna 208B), ground vehicles, UAVs, maritime vessel</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Key Attribute</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Unjammable, unspoofable, passive (emits no detectable signals)</w:t>
            </w:r>
          </w:p>
        </w:tc>
      </w:tr>
      <w:tr>
        <w:tc>
          <w:tcPr>
            <w:tcW w:type="dxa" w:w="32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b/>
                <w:bCs/>
                <w:color w:val="1A2B4A"/>
                <w:sz w:val="20"/>
                <w:szCs w:val="20"/>
              </w:rPr>
              <w:t xml:space="preserve">Partners</w:t>
            </w:r>
          </w:p>
        </w:tc>
        <w:tc>
          <w:tcPr>
            <w:tcW w:type="dxa" w:w="61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Lockheed Martin (DOD/DIU contract), Northrop Grumman, Airbus; DARPA RoQS program (A$38M)</w:t>
            </w:r>
          </w:p>
        </w:tc>
      </w:tr>
      <w:tr>
        <w:tc>
          <w:tcPr>
            <w:tcW w:type="dxa" w:w="32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b/>
                <w:bCs/>
                <w:color w:val="1A2B4A"/>
                <w:sz w:val="20"/>
                <w:szCs w:val="20"/>
              </w:rPr>
              <w:t xml:space="preserve">Commercial Status</w:t>
            </w:r>
          </w:p>
        </w:tc>
        <w:tc>
          <w:tcPr>
            <w:tcW w:type="dxa" w:w="61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Available for presale; evaluation kit previewed at Singapore Airshow, February 2026</w:t>
            </w:r>
          </w:p>
        </w:tc>
      </w:tr>
    </w:tbl>
    <w:p>
      <w:pPr>
        <w:spacing w:before="120" w:after="0"/>
      </w:pPr>
      <w:r>
        <w:t xml:space="preserve"/>
      </w:r>
    </w:p>
    <w:p>
      <w:pPr>
        <w:pStyle w:val="Heading2"/>
        <w:spacing w:before="280" w:after="120"/>
      </w:pPr>
      <w:r>
        <w:rPr>
          <w:rFonts w:ascii="Arial" w:cs="Arial" w:eastAsia="Arial" w:hAnsi="Arial"/>
          <w:b/>
          <w:bCs/>
          <w:color w:val="2E5B8A"/>
          <w:sz w:val="28"/>
          <w:szCs w:val="28"/>
        </w:rPr>
        <w:t xml:space="preserve">4.3  How Ironstone Opal Maps to GPS2Quantum’s Quantum State</w:t>
      </w:r>
    </w:p>
    <w:p>
      <w:pPr>
        <w:spacing w:before="80" w:after="120"/>
      </w:pPr>
      <w:r>
        <w:rPr>
          <w:rFonts w:ascii="Arial" w:cs="Arial" w:eastAsia="Arial" w:hAnsi="Arial"/>
          <w:color w:val="4A4A5A"/>
          <w:sz w:val="22"/>
          <w:szCs w:val="22"/>
        </w:rPr>
        <w:t xml:space="preserve">Ironstone Opal directly and immediately solves two of the three GPS2Quantum quantum state attributes: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960"/>
        <w:gridCol w:w="3400"/>
      </w:tblGrid>
      <w:tr>
        <w:trPr>
          <w:tblHeader/>
        </w:trPr>
        <w:tc>
          <w:tcPr>
            <w:tcW w:type="dxa" w:w="20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Attribute</w:t>
            </w:r>
          </w:p>
        </w:tc>
        <w:tc>
          <w:tcPr>
            <w:tcW w:type="dxa" w:w="396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Ironstone Opal Status</w:t>
            </w:r>
          </w:p>
        </w:tc>
        <w:tc>
          <w:tcPr>
            <w:tcW w:type="dxa" w:w="34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Notes</w:t>
            </w:r>
          </w:p>
        </w:tc>
      </w:tr>
      <w:tr>
        <w:tc>
          <w:tcPr>
            <w:tcW w:type="dxa" w:w="20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Radius (r)</w:t>
            </w:r>
          </w:p>
        </w:tc>
        <w:tc>
          <w:tcPr>
            <w:tcW w:type="dxa" w:w="39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Not natively provided by MagNav</w:t>
            </w:r>
          </w:p>
        </w:tc>
        <w:tc>
          <w:tcPr>
            <w:tcW w:type="dxa" w:w="3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Supplied by classical barometric altimeter or INS; gravimetric nav work in earlier development stage</w:t>
            </w:r>
          </w:p>
        </w:tc>
      </w:tr>
      <w:tr>
        <w:tc>
          <w:tcPr>
            <w:tcW w:type="dxa" w:w="20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Polar Angle (θ)</w:t>
            </w:r>
          </w:p>
        </w:tc>
        <w:tc>
          <w:tcPr>
            <w:tcW w:type="dxa" w:w="39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Solved — field-validated</w:t>
            </w:r>
          </w:p>
        </w:tc>
        <w:tc>
          <w:tcPr>
            <w:tcW w:type="dxa" w:w="3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Magnetic map matching delivers latitude to 4m accuracy today</w:t>
            </w:r>
          </w:p>
        </w:tc>
      </w:tr>
      <w:tr>
        <w:tc>
          <w:tcPr>
            <w:tcW w:type="dxa" w:w="20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Azimuthal Angle (φ)</w:t>
            </w:r>
          </w:p>
        </w:tc>
        <w:tc>
          <w:tcPr>
            <w:tcW w:type="dxa" w:w="39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Solved — field-validated</w:t>
            </w:r>
          </w:p>
        </w:tc>
        <w:tc>
          <w:tcPr>
            <w:tcW w:type="dxa" w:w="3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Magnetic map matching delivers longitude to 4m accuracy today</w:t>
            </w:r>
          </w:p>
        </w:tc>
      </w:tr>
    </w:tbl>
    <w:p>
      <w:pPr>
        <w:spacing w:before="120" w:after="0"/>
      </w:pPr>
      <w:r>
        <w:t xml:space="preserve"/>
      </w:r>
    </w:p>
    <w:p>
      <w:pPr>
        <w:spacing w:before="80" w:after="120"/>
      </w:pPr>
      <w:r>
        <w:rPr>
          <w:rFonts w:ascii="Arial" w:cs="Arial" w:eastAsia="Arial" w:hAnsi="Arial"/>
          <w:color w:val="4A4A5A"/>
          <w:sz w:val="22"/>
          <w:szCs w:val="22"/>
        </w:rPr>
        <w:t xml:space="preserve">Ironstone Opal has effectively collapsed the 2033–2037 cold-atom inertial timeline for θ and φ to right now — but via map matching rather than inertial sensing, at rack scale and 100W rather than chip scale and 0.5W. The miniaturization path for MagNav to smartphone scale is meaningfully shorter than for cold-atom IMUs, as quantum magnetometers do not require UHV vacuum chambers or laser cooling to microkelvin temperatures. Chip-scale atomic magnetometers (CSAMs) already exist at centimeter scale. A plausible trajectory puts MagNav-based θ/φ positioning in a smartphone-scale device by 2028–2030.</w:t>
      </w:r>
    </w:p>
    <w:p>
      <w:pPr>
        <w:spacing w:before="2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5.  GPS2Quantum’s Role in the Quantum Navigation Ecosystem</w:t>
      </w:r>
    </w:p>
    <w:p>
      <w:pPr>
        <w:pStyle w:val="Heading2"/>
        <w:spacing w:before="280" w:after="120"/>
      </w:pPr>
      <w:r>
        <w:rPr>
          <w:rFonts w:ascii="Arial" w:cs="Arial" w:eastAsia="Arial" w:hAnsi="Arial"/>
          <w:b/>
          <w:bCs/>
          <w:color w:val="2E5B8A"/>
          <w:sz w:val="28"/>
          <w:szCs w:val="28"/>
        </w:rPr>
        <w:t xml:space="preserve">5.1  Four Distinct Functions</w:t>
      </w:r>
    </w:p>
    <w:p>
      <w:pPr>
        <w:spacing w:before="80" w:after="120"/>
      </w:pPr>
      <w:r>
        <w:rPr>
          <w:rFonts w:ascii="Arial" w:cs="Arial" w:eastAsia="Arial" w:hAnsi="Arial"/>
          <w:color w:val="4A4A5A"/>
          <w:sz w:val="22"/>
          <w:szCs w:val="22"/>
        </w:rPr>
        <w:t xml:space="preserve">GPS2Quantum serves four layered and complementary purposes, all of which become more valuable as quantum navigation hardware matures:</w:t>
      </w:r>
    </w:p>
    <w:p>
      <w:pPr>
        <w:spacing w:before="80" w:after="0"/>
      </w:pPr>
      <w:r>
        <w:t xml:space="preserve"/>
      </w:r>
    </w:p>
    <w:p>
      <w:pPr>
        <w:pStyle w:val="Heading3"/>
        <w:spacing w:before="200" w:after="80"/>
      </w:pPr>
      <w:r>
        <w:rPr>
          <w:rFonts w:ascii="Arial" w:cs="Arial" w:eastAsia="Arial" w:hAnsi="Arial"/>
          <w:b/>
          <w:bCs/>
          <w:color w:val="4A90C4"/>
          <w:sz w:val="24"/>
          <w:szCs w:val="24"/>
        </w:rPr>
        <w:t xml:space="preserve">Function 1: Conceptual Bridge and Translation Layer</w:t>
      </w:r>
    </w:p>
    <w:p>
      <w:pPr>
        <w:spacing w:before="80" w:after="120"/>
      </w:pPr>
      <w:r>
        <w:rPr>
          <w:rFonts w:ascii="Arial" w:cs="Arial" w:eastAsia="Arial" w:hAnsi="Arial"/>
          <w:color w:val="4A4A5A"/>
          <w:sz w:val="22"/>
          <w:szCs w:val="22"/>
        </w:rPr>
        <w:t xml:space="preserve">Quantum navigation hardware outputs position in spherical or inertial frames that classical GPS users have never encountered. GPS2Quantum takes any GPS coordinate — a location anyone can generate from an iPhone — and shows what that same location looks like expressed as a quantum state in the cold_atom_simulated frame. It makes an abstract, future technology immediately tangible and comprehensible today, without requiring access to hardware that does not yet exist at consumer scale.</w:t>
      </w:r>
    </w:p>
    <w:p>
      <w:pPr>
        <w:spacing w:before="80" w:after="0"/>
      </w:pPr>
      <w:r>
        <w:t xml:space="preserve"/>
      </w:r>
    </w:p>
    <w:p>
      <w:pPr>
        <w:pStyle w:val="Heading3"/>
        <w:spacing w:before="200" w:after="80"/>
      </w:pPr>
      <w:r>
        <w:rPr>
          <w:rFonts w:ascii="Arial" w:cs="Arial" w:eastAsia="Arial" w:hAnsi="Arial"/>
          <w:b/>
          <w:bCs/>
          <w:color w:val="4A90C4"/>
          <w:sz w:val="24"/>
          <w:szCs w:val="24"/>
        </w:rPr>
        <w:t xml:space="preserve">Function 2: Quantum Sensor Performance Simulator</w:t>
      </w:r>
    </w:p>
    <w:p>
      <w:pPr>
        <w:spacing w:before="80" w:after="120"/>
      </w:pPr>
      <w:r>
        <w:rPr>
          <w:rFonts w:ascii="Arial" w:cs="Arial" w:eastAsia="Arial" w:hAnsi="Arial"/>
          <w:color w:val="4A4A5A"/>
          <w:sz w:val="22"/>
          <w:szCs w:val="22"/>
        </w:rPr>
        <w:t xml:space="preserve">The simulation parameters section — sensor class, operational condition, drift rate, drift time δt — models accumulated uncertainty from different quantum sensor grades over user-specified durations. A one-year simulation on a Strategic Grade sensor at Challenger Deep (altitude −10,516m) yielded a 273km uncertainty radius — precisely the kind of analysis a navigation systems engineer evaluates when assessing whether a quantum IMU can survive a long-duration autonomous submarine mission without a GPS fix. GPS2Quantum is a quantum sensor performance estimator accessible on any iPhone.</w:t>
      </w:r>
    </w:p>
    <w:p>
      <w:pPr>
        <w:spacing w:before="80" w:after="0"/>
      </w:pPr>
      <w:r>
        <w:t xml:space="preserve"/>
      </w:r>
    </w:p>
    <w:p>
      <w:pPr>
        <w:pStyle w:val="Heading3"/>
        <w:spacing w:before="200" w:after="80"/>
      </w:pPr>
      <w:r>
        <w:rPr>
          <w:rFonts w:ascii="Arial" w:cs="Arial" w:eastAsia="Arial" w:hAnsi="Arial"/>
          <w:b/>
          <w:bCs/>
          <w:color w:val="4A90C4"/>
          <w:sz w:val="24"/>
          <w:szCs w:val="24"/>
        </w:rPr>
        <w:t xml:space="preserve">Function 3: AI Context Injection Tool</w:t>
      </w:r>
    </w:p>
    <w:p>
      <w:pPr>
        <w:spacing w:before="80" w:after="120"/>
      </w:pPr>
      <w:r>
        <w:rPr>
          <w:rFonts w:ascii="Arial" w:cs="Arial" w:eastAsia="Arial" w:hAnsi="Arial"/>
          <w:color w:val="4A4A5A"/>
          <w:sz w:val="22"/>
          <w:szCs w:val="22"/>
        </w:rPr>
        <w:t xml:space="preserve">This function is explicitly architected into the app. The metadata field in every GPS2Quantum output reads: “Share or copy/paste this GPS2Quantum™ Simulation result into any AI chat context window for an initial analysis.” The app generates structured, information-dense quantum state output that primes an AI conversation with coordinates, sensor parameters, uncertainty data, and frame metadata — enabling sophisticated analysis of quantum navigation scenarios at any location worldwide without requiring domain expertise from the user.</w:t>
      </w:r>
    </w:p>
    <w:p>
      <w:pPr>
        <w:spacing w:before="80" w:after="0"/>
      </w:pPr>
      <w:r>
        <w:t xml:space="preserve"/>
      </w:r>
    </w:p>
    <w:p>
      <w:pPr>
        <w:pStyle w:val="Heading3"/>
        <w:spacing w:before="200" w:after="80"/>
      </w:pPr>
      <w:r>
        <w:rPr>
          <w:rFonts w:ascii="Arial" w:cs="Arial" w:eastAsia="Arial" w:hAnsi="Arial"/>
          <w:b/>
          <w:bCs/>
          <w:color w:val="4A90C4"/>
          <w:sz w:val="24"/>
          <w:szCs w:val="24"/>
        </w:rPr>
        <w:t xml:space="preserve">Function 4: Data Format Pioneer</w:t>
      </w:r>
    </w:p>
    <w:p>
      <w:pPr>
        <w:spacing w:before="80" w:after="120"/>
      </w:pPr>
      <w:r>
        <w:rPr>
          <w:rFonts w:ascii="Arial" w:cs="Arial" w:eastAsia="Arial" w:hAnsi="Arial"/>
          <w:color w:val="4A4A5A"/>
          <w:sz w:val="22"/>
          <w:szCs w:val="22"/>
        </w:rPr>
        <w:t xml:space="preserve">GPS2Quantum is pre-standardizing a data schema — the r/θ/φ cold_atom_simulated frame representation with associated uncertainty and sensor metadata — before the hardware that will natively generate it exists at consumer scale. As Ironstone Opal and successive quantum navigation products enter the market, the coordinate formats they output will need to be legible to developers, integrators, and users. GPS2Quantum has been generating and publishing that format since before commercial deployment existed, creating a head start in format familiarity.</w:t>
      </w:r>
    </w:p>
    <w:p>
      <w:pPr>
        <w:spacing w:before="120" w:after="0"/>
      </w:pPr>
      <w:r>
        <w:t xml:space="preserve"/>
      </w:r>
    </w:p>
    <w:p>
      <w:pPr>
        <w:pStyle w:val="Heading2"/>
        <w:spacing w:before="280" w:after="120"/>
      </w:pPr>
      <w:r>
        <w:rPr>
          <w:rFonts w:ascii="Arial" w:cs="Arial" w:eastAsia="Arial" w:hAnsi="Arial"/>
          <w:b/>
          <w:bCs/>
          <w:color w:val="2E5B8A"/>
          <w:sz w:val="28"/>
          <w:szCs w:val="28"/>
        </w:rPr>
        <w:t xml:space="preserve">5.2  Use Cases Across the Quantum Navigation Maturity Curve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560"/>
        <w:gridCol w:w="3400"/>
      </w:tblGrid>
      <w:tr>
        <w:trPr>
          <w:tblHeader/>
        </w:trPr>
        <w:tc>
          <w:tcPr>
            <w:tcW w:type="dxa" w:w="24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Timeframe</w:t>
            </w:r>
          </w:p>
        </w:tc>
        <w:tc>
          <w:tcPr>
            <w:tcW w:type="dxa" w:w="356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State of Quantum Navigation</w:t>
            </w:r>
          </w:p>
        </w:tc>
        <w:tc>
          <w:tcPr>
            <w:tcW w:type="dxa" w:w="3400"/>
            <w:tcBorders>
              <w:top w:val="single" w:color="C8D0DC" w:sz="1"/>
              <w:left w:val="single" w:color="C8D0DC" w:sz="1"/>
              <w:bottom w:val="single" w:color="C8D0DC" w:sz="1"/>
              <w:right w:val="single" w:color="C8D0DC" w:sz="1"/>
            </w:tcBorders>
            <w:shd w:fill="1A2B4A" w:val="clear"/>
            <w:tcMar>
              <w:top w:type="dxa" w:w="100"/>
              <w:left w:type="dxa" w:w="120"/>
              <w:bottom w:type="dxa" w:w="100"/>
              <w:right w:type="dxa" w:w="120"/>
            </w:tcMar>
          </w:tcPr>
          <w:p>
            <w:r>
              <w:rPr>
                <w:rFonts w:ascii="Arial" w:cs="Arial" w:eastAsia="Arial" w:hAnsi="Arial"/>
                <w:b/>
                <w:bCs/>
                <w:color w:val="FFFFFF"/>
                <w:sz w:val="20"/>
                <w:szCs w:val="20"/>
              </w:rPr>
              <w:t xml:space="preserve">GPS2Quantum Role</w:t>
            </w:r>
          </w:p>
        </w:tc>
      </w:tr>
      <w:tr>
        <w:tc>
          <w:tcPr>
            <w:tcW w:type="dxa" w:w="2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Now (2026)</w:t>
            </w:r>
          </w:p>
        </w:tc>
        <w:tc>
          <w:tcPr>
            <w:tcW w:type="dxa" w:w="35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Ironstone Opal deployed at rack scale; cold-atom IMUs lab-bound</w:t>
            </w:r>
          </w:p>
        </w:tc>
        <w:tc>
          <w:tcPr>
            <w:tcW w:type="dxa" w:w="3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Education, simulation, AI context injection, format familiarization</w:t>
            </w:r>
          </w:p>
        </w:tc>
      </w:tr>
      <w:tr>
        <w:tc>
          <w:tcPr>
            <w:tcW w:type="dxa" w:w="2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Near-term (2028–2030)</w:t>
            </w:r>
          </w:p>
        </w:tc>
        <w:tc>
          <w:tcPr>
            <w:tcW w:type="dxa" w:w="35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MagNav at compact/portable scale; first defense-grade cold-atom IMUs</w:t>
            </w:r>
          </w:p>
        </w:tc>
        <w:tc>
          <w:tcPr>
            <w:tcW w:type="dxa" w:w="3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Reference implementation for output format; sensor comparison tool</w:t>
            </w:r>
          </w:p>
        </w:tc>
      </w:tr>
      <w:tr>
        <w:tc>
          <w:tcPr>
            <w:tcW w:type="dxa" w:w="2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Mid-term (2032–2037)</w:t>
            </w:r>
          </w:p>
        </w:tc>
        <w:tc>
          <w:tcPr>
            <w:tcW w:type="dxa" w:w="35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Chip-scale quantum gravimeters; early mobile quantum accelerometers</w:t>
            </w:r>
          </w:p>
        </w:tc>
        <w:tc>
          <w:tcPr>
            <w:tcW w:type="dxa" w:w="34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Calibration reference; hybrid classical/quantum output translation</w:t>
            </w:r>
          </w:p>
        </w:tc>
      </w:tr>
      <w:tr>
        <w:tc>
          <w:tcPr>
            <w:tcW w:type="dxa" w:w="2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Long-term (2038+)</w:t>
            </w:r>
          </w:p>
        </w:tc>
        <w:tc>
          <w:tcPr>
            <w:tcW w:type="dxa" w:w="35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Full 3-axis quantum IMU approaching mobile scale</w:t>
            </w:r>
          </w:p>
        </w:tc>
        <w:tc>
          <w:tcPr>
            <w:tcW w:type="dxa" w:w="34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Legacy bridge for classical GPS data; quantum coordinate standard</w:t>
            </w:r>
          </w:p>
        </w:tc>
      </w:tr>
    </w:tbl>
    <w:p>
      <w:pPr>
        <w:spacing w:before="2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6.  Technical Appendix: Coordinate Transformation Reference</w:t>
      </w:r>
    </w:p>
    <w:p>
      <w:pPr>
        <w:pStyle w:val="Heading2"/>
        <w:spacing w:before="280" w:after="120"/>
      </w:pPr>
      <w:r>
        <w:rPr>
          <w:rFonts w:ascii="Arial" w:cs="Arial" w:eastAsia="Arial" w:hAnsi="Arial"/>
          <w:b/>
          <w:bCs/>
          <w:color w:val="2E5B8A"/>
          <w:sz w:val="28"/>
          <w:szCs w:val="28"/>
        </w:rPr>
        <w:t xml:space="preserve">6.1  WGS84 to ECEF</w:t>
      </w:r>
    </w:p>
    <w:p>
      <w:pPr>
        <w:spacing w:before="80" w:after="120"/>
      </w:pPr>
      <w:r>
        <w:rPr>
          <w:rFonts w:ascii="Arial" w:cs="Arial" w:eastAsia="Arial" w:hAnsi="Arial"/>
          <w:color w:val="4A4A5A"/>
          <w:sz w:val="22"/>
          <w:szCs w:val="22"/>
        </w:rPr>
        <w:t xml:space="preserve">Given geodetic coordinates (φ latitude, λ longitude, h altitude) and WGS84 parameters (semi-major axis a = 6,378,137.0 m, eccentricity e² = 0.00669437999014):</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N(φ)</w:t>
            </w:r>
          </w:p>
        </w:tc>
        <w:tc>
          <w:tcPr>
            <w:tcW w:type="dxa" w:w="73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a / √(1 − e² · sin²φ)   [prime vertical radius of curvature]</w:t>
            </w:r>
          </w:p>
        </w:tc>
      </w:tr>
      <w:tr>
        <w:tc>
          <w:tcPr>
            <w:tcW w:type="dxa" w:w="20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X</w:t>
            </w:r>
          </w:p>
        </w:tc>
        <w:tc>
          <w:tcPr>
            <w:tcW w:type="dxa" w:w="73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(N(φ) + h) · cosφ · cosλ</w:t>
            </w:r>
          </w:p>
        </w:tc>
      </w:tr>
      <w:tr>
        <w:tc>
          <w:tcPr>
            <w:tcW w:type="dxa" w:w="20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Y</w:t>
            </w:r>
          </w:p>
        </w:tc>
        <w:tc>
          <w:tcPr>
            <w:tcW w:type="dxa" w:w="73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(N(φ) + h) · cosφ · sinλ</w:t>
            </w:r>
          </w:p>
        </w:tc>
      </w:tr>
      <w:tr>
        <w:tc>
          <w:tcPr>
            <w:tcW w:type="dxa" w:w="20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Z</w:t>
            </w:r>
          </w:p>
        </w:tc>
        <w:tc>
          <w:tcPr>
            <w:tcW w:type="dxa" w:w="73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(N(φ)(1 − e²) + h) · sinφ</w:t>
            </w:r>
          </w:p>
        </w:tc>
      </w:tr>
    </w:tbl>
    <w:p>
      <w:pPr>
        <w:spacing w:before="120" w:after="0"/>
      </w:pPr>
      <w:r>
        <w:t xml:space="preserve"/>
      </w:r>
    </w:p>
    <w:p>
      <w:pPr>
        <w:pStyle w:val="Heading2"/>
        <w:spacing w:before="280" w:after="120"/>
      </w:pPr>
      <w:r>
        <w:rPr>
          <w:rFonts w:ascii="Arial" w:cs="Arial" w:eastAsia="Arial" w:hAnsi="Arial"/>
          <w:b/>
          <w:bCs/>
          <w:color w:val="2E5B8A"/>
          <w:sz w:val="28"/>
          <w:szCs w:val="28"/>
        </w:rPr>
        <w:t xml:space="preserve">6.2  ECEF to Spherical Quantum State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r (Radius)</w:t>
            </w:r>
          </w:p>
        </w:tc>
        <w:tc>
          <w:tcPr>
            <w:tcW w:type="dxa" w:w="73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√(X² + Y² + Z²)</w:t>
            </w:r>
          </w:p>
        </w:tc>
      </w:tr>
      <w:tr>
        <w:tc>
          <w:tcPr>
            <w:tcW w:type="dxa" w:w="20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θ (Polar)</w:t>
            </w:r>
          </w:p>
        </w:tc>
        <w:tc>
          <w:tcPr>
            <w:tcW w:type="dxa" w:w="73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arccos(Z / r)   [colatitude from North Pole, in radians]</w:t>
            </w:r>
          </w:p>
        </w:tc>
      </w:tr>
      <w:tr>
        <w:tc>
          <w:tcPr>
            <w:tcW w:type="dxa" w:w="20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φ (Azimuthal)</w:t>
            </w:r>
          </w:p>
        </w:tc>
        <w:tc>
          <w:tcPr>
            <w:tcW w:type="dxa" w:w="73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arctan2(Y, X)   [longitude in radians, range −π to +π]</w:t>
            </w:r>
          </w:p>
        </w:tc>
      </w:tr>
    </w:tbl>
    <w:p>
      <w:pPr>
        <w:spacing w:before="120" w:after="0"/>
      </w:pPr>
      <w:r>
        <w:t xml:space="preserve"/>
      </w:r>
    </w:p>
    <w:p>
      <w:pPr>
        <w:pStyle w:val="Heading2"/>
        <w:spacing w:before="280" w:after="120"/>
      </w:pPr>
      <w:r>
        <w:rPr>
          <w:rFonts w:ascii="Arial" w:cs="Arial" w:eastAsia="Arial" w:hAnsi="Arial"/>
          <w:b/>
          <w:bCs/>
          <w:color w:val="2E5B8A"/>
          <w:sz w:val="28"/>
          <w:szCs w:val="28"/>
        </w:rPr>
        <w:t xml:space="preserve">6.3  Uncertainty Propagation Model</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Positional Drift (1D)</w:t>
            </w:r>
          </w:p>
        </w:tc>
        <w:tc>
          <w:tcPr>
            <w:tcW w:type="dxa" w:w="65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d₁ = drift_rate × δt   [meters along primary axis]</w:t>
            </w:r>
          </w:p>
        </w:tc>
      </w:tr>
      <w:tr>
        <w:tc>
          <w:tcPr>
            <w:tcW w:type="dxa" w:w="280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Uncertainty Radius (3D)</w:t>
            </w:r>
          </w:p>
        </w:tc>
        <w:tc>
          <w:tcPr>
            <w:tcW w:type="dxa" w:w="6560"/>
            <w:tcBorders>
              <w:top w:val="single" w:color="C8D0DC" w:sz="1"/>
              <w:left w:val="single" w:color="C8D0DC" w:sz="1"/>
              <w:bottom w:val="single" w:color="C8D0DC" w:sz="1"/>
              <w:right w:val="single" w:color="C8D0DC" w:sz="1"/>
            </w:tcBorders>
            <w:shd w:fill="F2F4F7" w:val="clear"/>
            <w:tcMar>
              <w:top w:type="dxa" w:w="80"/>
              <w:left w:type="dxa" w:w="120"/>
              <w:bottom w:type="dxa" w:w="80"/>
              <w:right w:type="dxa" w:w="120"/>
            </w:tcMar>
          </w:tcPr>
          <w:p>
            <w:r>
              <w:rPr>
                <w:rFonts w:ascii="Arial" w:cs="Arial" w:eastAsia="Arial" w:hAnsi="Arial"/>
                <w:color w:val="4A4A5A"/>
                <w:sz w:val="20"/>
                <w:szCs w:val="20"/>
              </w:rPr>
              <w:t xml:space="preserve">d₃ = d₁ × √3   [isotropic 3D uncertainty sphere radius]</w:t>
            </w:r>
          </w:p>
        </w:tc>
      </w:tr>
      <w:tr>
        <w:tc>
          <w:tcPr>
            <w:tcW w:type="dxa" w:w="280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Frame</w:t>
            </w:r>
          </w:p>
        </w:tc>
        <w:tc>
          <w:tcPr>
            <w:tcW w:type="dxa" w:w="6560"/>
            <w:tcBorders>
              <w:top w:val="single" w:color="C8D0DC" w:sz="1"/>
              <w:left w:val="single" w:color="C8D0DC" w:sz="1"/>
              <w:bottom w:val="single" w:color="C8D0DC" w:sz="1"/>
              <w:right w:val="single" w:color="C8D0DC" w:sz="1"/>
            </w:tcBorders>
            <w:shd w:fill="FFFFFF" w:val="clear"/>
            <w:tcMar>
              <w:top w:type="dxa" w:w="80"/>
              <w:left w:type="dxa" w:w="120"/>
              <w:bottom w:type="dxa" w:w="80"/>
              <w:right w:type="dxa" w:w="120"/>
            </w:tcMar>
          </w:tcPr>
          <w:p>
            <w:r>
              <w:rPr>
                <w:rFonts w:ascii="Arial" w:cs="Arial" w:eastAsia="Arial" w:hAnsi="Arial"/>
                <w:color w:val="4A4A5A"/>
                <w:sz w:val="20"/>
                <w:szCs w:val="20"/>
              </w:rPr>
              <w:t xml:space="preserve">cold_atom_simulated: spherical coordinates anchored to Earth’s center of mass, consistent with cold-atom interferometer output conventions in the current navigation research literature</w:t>
            </w:r>
          </w:p>
        </w:tc>
      </w:tr>
    </w:tbl>
    <w:p>
      <w:pPr>
        <w:spacing w:before="2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7.  Conclusion</w:t>
      </w:r>
    </w:p>
    <w:p>
      <w:pPr>
        <w:spacing w:before="80" w:after="120"/>
      </w:pPr>
      <w:r>
        <w:rPr>
          <w:rFonts w:ascii="Arial" w:cs="Arial" w:eastAsia="Arial" w:hAnsi="Arial"/>
          <w:color w:val="4A4A5A"/>
          <w:sz w:val="22"/>
          <w:szCs w:val="22"/>
        </w:rPr>
        <w:t xml:space="preserve">Quantum navigation is no longer a theoretical future — it is an engineering present. Q-CTRL’s Ironstone Opal has achieved field-validated, commercially deployable quantum-assured positioning at rack scale in 2025. Cold-atom inertial sensors will progressively miniaturize toward mobile scale over the 2030–2045 timeframe, with gravitational (radius) measurements leading and rotational (azimuthal) measurements trailing.</w:t>
      </w:r>
    </w:p>
    <w:p>
      <w:pPr>
        <w:spacing w:before="80" w:after="120"/>
      </w:pPr>
      <w:r>
        <w:rPr>
          <w:rFonts w:ascii="Arial" w:cs="Arial" w:eastAsia="Arial" w:hAnsi="Arial"/>
          <w:color w:val="4A4A5A"/>
          <w:sz w:val="22"/>
          <w:szCs w:val="22"/>
        </w:rPr>
        <w:t xml:space="preserve">GPS2Quantum occupies a unique and durable position across this entire arc: it is simultaneously the only consumer-accessible tool for generating quantum-frame coordinate data from classical GPS inputs, a physics-grounded simulator for evaluating quantum sensor performance across all classes and environments, a structured data injector for AI-assisted quantum navigation analysis, and an early implementor of the coordinate schema that next-generation quantum navigation hardware will natively emit.</w:t>
      </w:r>
    </w:p>
    <w:p>
      <w:pPr>
        <w:spacing w:before="80" w:after="120"/>
      </w:pPr>
      <w:r>
        <w:rPr>
          <w:rFonts w:ascii="Arial" w:cs="Arial" w:eastAsia="Arial" w:hAnsi="Arial"/>
          <w:color w:val="4A4A5A"/>
          <w:sz w:val="22"/>
          <w:szCs w:val="22"/>
        </w:rPr>
        <w:t xml:space="preserve">The app runs on hardware that fits in a pocket. The sensors it simulates will eventually do the same. GPS2Quantum is the bridge between those two moments in time.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90C4" w:sz="12"/>
              <w:left w:val="single" w:color="4A90C4" w:sz="24"/>
              <w:bottom w:val="none" w:color="FFFFFF" w:sz="0"/>
              <w:right w:val="none" w:color="FFFFFF" w:sz="0"/>
            </w:tcBorders>
            <w:shd w:fill="F2F4F7" w:val="clear"/>
            <w:tcMar>
              <w:top w:type="dxa" w:w="160"/>
              <w:left w:type="dxa" w:w="240"/>
              <w:bottom w:type="dxa" w:w="160"/>
              <w:right w:type="dxa" w:w="240"/>
            </w:tcMar>
          </w:tcPr>
          <w:p>
            <w:r>
              <w:rPr>
                <w:rFonts w:ascii="Arial" w:cs="Arial" w:eastAsia="Arial" w:hAnsi="Arial"/>
                <w:i/>
                <w:iCs/>
                <w:color w:val="1A2B4A"/>
                <w:sz w:val="22"/>
                <w:szCs w:val="22"/>
              </w:rPr>
              <w:t xml:space="preserve">GPS2Quantum is available on the iOS App Store. Technical inquiries, partnership discussions, and API integration requests: gps2quantum.com</w:t>
            </w:r>
          </w:p>
        </w:tc>
      </w:tr>
    </w:tbl>
    <w:p>
      <w:pPr>
        <w:spacing w:before="200" w:after="0"/>
      </w:pPr>
      <w:r>
        <w:t xml:space="preserve"/>
      </w:r>
    </w:p>
    <w:p>
      <w:pPr>
        <w:pStyle w:val="Heading1"/>
        <w:pBdr>
          <w:bottom w:val="single" w:color="4A90C4" w:sz="8" w:space="6"/>
        </w:pBdr>
        <w:spacing w:before="360" w:after="160"/>
      </w:pPr>
      <w:r>
        <w:rPr>
          <w:rFonts w:ascii="Arial" w:cs="Arial" w:eastAsia="Arial" w:hAnsi="Arial"/>
          <w:b/>
          <w:bCs/>
          <w:color w:val="1A2B4A"/>
          <w:sz w:val="36"/>
          <w:szCs w:val="36"/>
        </w:rPr>
        <w:t xml:space="preserve">References &amp; Further Reading</w:t>
      </w:r>
    </w:p>
    <w:p>
      <w:pPr>
        <w:pStyle w:val="ListParagraph"/>
        <w:numPr>
          <w:ilvl w:val="0"/>
          <w:numId w:val="2"/>
        </w:numPr>
        <w:spacing w:before="60" w:after="60"/>
      </w:pPr>
      <w:r>
        <w:rPr>
          <w:rFonts w:ascii="Arial" w:cs="Arial" w:eastAsia="Arial" w:hAnsi="Arial"/>
          <w:color w:val="4A4A5A"/>
          <w:sz w:val="22"/>
          <w:szCs w:val="22"/>
        </w:rPr>
        <w:t xml:space="preserve">Gersemann et al. “Developments for quantum inertial navigation systems employing Bose–Einstein condensates.” Applied Physics Reviews 12, 031306 (2025). doi:10.1063/5.0250666</w:t>
      </w:r>
    </w:p>
    <w:p>
      <w:pPr>
        <w:pStyle w:val="ListParagraph"/>
        <w:numPr>
          <w:ilvl w:val="0"/>
          <w:numId w:val="2"/>
        </w:numPr>
        <w:spacing w:before="60" w:after="60"/>
      </w:pPr>
      <w:r>
        <w:rPr>
          <w:rFonts w:ascii="Arial" w:cs="Arial" w:eastAsia="Arial" w:hAnsi="Arial"/>
          <w:color w:val="4A4A5A"/>
          <w:sz w:val="22"/>
          <w:szCs w:val="22"/>
        </w:rPr>
        <w:t xml:space="preserve">Muradoglu et al. “Quantum-assured magnetic navigation achieves positioning accuracy better than a strategic-grade INS in airborne and ground-based field trials.” arXiv:2504.08167 (2025).</w:t>
      </w:r>
    </w:p>
    <w:p>
      <w:pPr>
        <w:pStyle w:val="ListParagraph"/>
        <w:numPr>
          <w:ilvl w:val="0"/>
          <w:numId w:val="2"/>
        </w:numPr>
        <w:spacing w:before="60" w:after="60"/>
      </w:pPr>
      <w:r>
        <w:rPr>
          <w:rFonts w:ascii="Arial" w:cs="Arial" w:eastAsia="Arial" w:hAnsi="Arial"/>
          <w:color w:val="4A4A5A"/>
          <w:sz w:val="22"/>
          <w:szCs w:val="22"/>
        </w:rPr>
        <w:t xml:space="preserve">Salducci et al. “Quantum sensing of acceleration and rotation by interfering magnetically launched atoms.” Science Advances 10, eadq4498 (2024). doi:10.1126/sciadv.adq4498</w:t>
      </w:r>
    </w:p>
    <w:p>
      <w:pPr>
        <w:pStyle w:val="ListParagraph"/>
        <w:numPr>
          <w:ilvl w:val="0"/>
          <w:numId w:val="2"/>
        </w:numPr>
        <w:spacing w:before="60" w:after="60"/>
      </w:pPr>
      <w:r>
        <w:rPr>
          <w:rFonts w:ascii="Arial" w:cs="Arial" w:eastAsia="Arial" w:hAnsi="Arial"/>
          <w:color w:val="4A4A5A"/>
          <w:sz w:val="22"/>
          <w:szCs w:val="22"/>
        </w:rPr>
        <w:t xml:space="preserve">Geiger et al. “High-accuracy inertial measurements with cold-atom sensors.” AVS Quantum Science 2, 024702 (2020). arXiv:2003.12516</w:t>
      </w:r>
    </w:p>
    <w:p>
      <w:pPr>
        <w:pStyle w:val="ListParagraph"/>
        <w:numPr>
          <w:ilvl w:val="0"/>
          <w:numId w:val="2"/>
        </w:numPr>
        <w:spacing w:before="60" w:after="60"/>
      </w:pPr>
      <w:r>
        <w:rPr>
          <w:rFonts w:ascii="Arial" w:cs="Arial" w:eastAsia="Arial" w:hAnsi="Arial"/>
          <w:color w:val="4A4A5A"/>
          <w:sz w:val="22"/>
          <w:szCs w:val="22"/>
        </w:rPr>
        <w:t xml:space="preserve">Sandia National Laboratories. “Atom Interferometry.” Quantum Sensing Program. sandia.gov/quantum/atom-interferometry/</w:t>
      </w:r>
    </w:p>
    <w:p>
      <w:pPr>
        <w:pStyle w:val="ListParagraph"/>
        <w:numPr>
          <w:ilvl w:val="0"/>
          <w:numId w:val="2"/>
        </w:numPr>
        <w:spacing w:before="60" w:after="60"/>
      </w:pPr>
      <w:r>
        <w:rPr>
          <w:rFonts w:ascii="Arial" w:cs="Arial" w:eastAsia="Arial" w:hAnsi="Arial"/>
          <w:color w:val="4A4A5A"/>
          <w:sz w:val="22"/>
          <w:szCs w:val="22"/>
        </w:rPr>
        <w:t xml:space="preserve">Q-CTRL. “Ironstone Opal: GPS-Free Quantum Navigation.” q-ctrl.com/ironstone-opal</w:t>
      </w:r>
    </w:p>
    <w:p>
      <w:pPr>
        <w:pStyle w:val="ListParagraph"/>
        <w:numPr>
          <w:ilvl w:val="0"/>
          <w:numId w:val="2"/>
        </w:numPr>
        <w:spacing w:before="60" w:after="60"/>
      </w:pPr>
      <w:r>
        <w:rPr>
          <w:rFonts w:ascii="Arial" w:cs="Arial" w:eastAsia="Arial" w:hAnsi="Arial"/>
          <w:color w:val="4A4A5A"/>
          <w:sz w:val="22"/>
          <w:szCs w:val="22"/>
        </w:rPr>
        <w:t xml:space="preserve">Burkey. “How Quantum Sensing Will Help.” LLNL-TR-2004820. Lawrence Livermore National Laboratory (2025).</w:t>
      </w:r>
    </w:p>
    <w:p>
      <w:pPr>
        <w:pStyle w:val="ListParagraph"/>
        <w:numPr>
          <w:ilvl w:val="0"/>
          <w:numId w:val="2"/>
        </w:numPr>
        <w:spacing w:before="60" w:after="60"/>
      </w:pPr>
      <w:r>
        <w:rPr>
          <w:rFonts w:ascii="Arial" w:cs="Arial" w:eastAsia="Arial" w:hAnsi="Arial"/>
          <w:color w:val="4A4A5A"/>
          <w:sz w:val="22"/>
          <w:szCs w:val="22"/>
        </w:rPr>
        <w:t xml:space="preserve">TIME Magazine. “Best Inventions of 2025: Q-CTRL Ironstone Opal.” October 9, 2025.</w:t>
      </w:r>
    </w:p>
    <w:p>
      <w:pPr>
        <w:pStyle w:val="ListParagraph"/>
        <w:numPr>
          <w:ilvl w:val="0"/>
          <w:numId w:val="2"/>
        </w:numPr>
        <w:spacing w:before="60" w:after="60"/>
      </w:pPr>
      <w:r>
        <w:rPr>
          <w:rFonts w:ascii="Arial" w:cs="Arial" w:eastAsia="Arial" w:hAnsi="Arial"/>
          <w:color w:val="4A4A5A"/>
          <w:sz w:val="22"/>
          <w:szCs w:val="22"/>
        </w:rPr>
        <w:t xml:space="preserve">MiniXQuanta Project. ANR-20-CE47-0008. Agence Nationale de la Recherche, France.</w:t>
      </w:r>
    </w:p>
    <w:p>
      <w:pPr>
        <w:pStyle w:val="ListParagraph"/>
        <w:numPr>
          <w:ilvl w:val="0"/>
          <w:numId w:val="2"/>
        </w:numPr>
        <w:spacing w:before="60" w:after="60"/>
      </w:pPr>
      <w:r>
        <w:rPr>
          <w:rFonts w:ascii="Arial" w:cs="Arial" w:eastAsia="Arial" w:hAnsi="Arial"/>
          <w:color w:val="4A4A5A"/>
          <w:sz w:val="22"/>
          <w:szCs w:val="22"/>
        </w:rPr>
        <w:t xml:space="preserve">Compact Cold-Atom Interferometer with Grating MOT and PIC-Compatible Laser System. Nature Communications 13, 5131 (2022). doi:10.1038/s41467-022-31410-4</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DCE8" w:sz="4" w:space="4"/>
      </w:pBdr>
      <w:tabs>
        <w:tab w:val="right" w:pos="9026"/>
      </w:tabs>
    </w:pPr>
    <w:r>
      <w:rPr>
        <w:rFonts w:ascii="Arial" w:cs="Arial" w:eastAsia="Arial" w:hAnsi="Arial"/>
        <w:color w:val="4A4A5A"/>
        <w:sz w:val="16"/>
        <w:szCs w:val="16"/>
      </w:rPr>
      <w:t xml:space="preserve">© 2026 GPS2Quantum. All rights reserved.</w:t>
    </w:r>
    <w:r>
      <w:rPr>
        <w:rFonts w:ascii="Arial" w:cs="Arial" w:eastAsia="Arial" w:hAnsi="Arial"/>
        <w:color w:val="4A4A5A"/>
        <w:sz w:val="16"/>
        <w:szCs w:val="16"/>
      </w:rPr>
      <w:t xml:space="preserve">	Page </w:t>
    </w:r>
    <w:r>
      <w:rPr>
        <w:rFonts w:ascii="Arial" w:cs="Arial" w:eastAsia="Arial" w:hAnsi="Arial"/>
        <w:color w:val="4A4A5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90C4" w:sz="6" w:space="4"/>
      </w:pBdr>
      <w:tabs>
        <w:tab w:val="right" w:pos="9026"/>
      </w:tabs>
    </w:pPr>
    <w:r>
      <w:rPr>
        <w:rFonts w:ascii="Arial" w:cs="Arial" w:eastAsia="Arial" w:hAnsi="Arial"/>
        <w:b/>
        <w:bCs/>
        <w:color w:val="1A2B4A"/>
        <w:sz w:val="18"/>
        <w:szCs w:val="18"/>
      </w:rPr>
      <w:t xml:space="preserve">GPS2Quantum</w:t>
    </w:r>
    <w:r>
      <w:rPr>
        <w:rFonts w:ascii="Arial" w:cs="Arial" w:eastAsia="Arial" w:hAnsi="Arial"/>
        <w:b w:val="false"/>
        <w:bCs w:val="false"/>
        <w:color w:val="1A2B4A"/>
        <w:sz w:val="14"/>
        <w:szCs w:val="14"/>
      </w:rPr>
      <w:t xml:space="preserve">™</w:t>
    </w:r>
    <w:r>
      <w:rPr>
        <w:rFonts w:ascii="Arial" w:cs="Arial" w:eastAsia="Arial" w:hAnsi="Arial"/>
        <w:color w:val="4A4A5A"/>
        <w:sz w:val="18"/>
        <w:szCs w:val="18"/>
      </w:rPr>
      <w:t xml:space="preserve">	Whitepaper | GPS2Quantum.com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A2B4A"/>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E5B8A"/>
      <w:sz w:val="28"/>
      <w:szCs w:val="28"/>
    </w:rPr>
  </w:style>
  <w:style w:type="paragraph" w:styleId="Heading3">
    <w:name w:val="Heading 3"/>
    <w:basedOn w:val="Normal"/>
    <w:next w:val="Normal"/>
    <w:qFormat/>
    <w:pPr>
      <w:spacing w:before="200" w:after="80"/>
      <w:outlineLvl w:val="2"/>
    </w:pPr>
    <w:rPr>
      <w:rFonts w:ascii="Arial" w:cs="Arial" w:eastAsia="Arial" w:hAnsi="Arial"/>
      <w:b/>
      <w:bCs/>
      <w:color w:val="4A90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2026-02-17T19:20:47.648Z</dcterms:created>
  <dcterms:modified xsi:type="dcterms:W3CDTF">2026-02-17T19:20:47.649Z</dcterms:modified>
</cp:coreProperties>
</file>

<file path=docProps/custom.xml><?xml version="1.0" encoding="utf-8"?>
<Properties xmlns="http://schemas.openxmlformats.org/officeDocument/2006/custom-properties" xmlns:vt="http://schemas.openxmlformats.org/officeDocument/2006/docPropsVTypes"/>
</file>