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jc w:val="right"/>
        <w:rPr>
          <w:sz w:val="24"/>
          <w:szCs w:val="24"/>
          <w:u w:val="single"/>
        </w:rPr>
      </w:pPr>
      <w:r w:rsidDel="00000000" w:rsidR="00000000" w:rsidRPr="00000000">
        <w:rPr>
          <w:sz w:val="24"/>
          <w:szCs w:val="24"/>
          <w:u w:val="single"/>
          <w:rtl w:val="0"/>
        </w:rPr>
        <w:t xml:space="preserve">For Immediate Release</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Champion Township Board of Trustees</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Chairman Rex Fee</w:t>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Trustee Brian Bugos</w:t>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Trustee Doug Emerine</w:t>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Fiscal Officer Courtney Hatt</w:t>
      </w:r>
    </w:p>
    <w:p w:rsidR="00000000" w:rsidDel="00000000" w:rsidP="00000000" w:rsidRDefault="00000000" w:rsidRPr="00000000" w14:paraId="00000008">
      <w:pPr>
        <w:jc w:val="right"/>
        <w:rPr>
          <w:sz w:val="24"/>
          <w:szCs w:val="24"/>
        </w:rPr>
      </w:pPr>
      <w:r w:rsidDel="00000000" w:rsidR="00000000" w:rsidRPr="00000000">
        <w:rPr>
          <w:sz w:val="24"/>
          <w:szCs w:val="24"/>
          <w:rtl w:val="0"/>
        </w:rPr>
        <w:t xml:space="preserve">March 15, 2019</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evening of March 15, 2019, the Champion Township Board of Trustees became aware through media reports of an agreement between the Trumbull County Commissioners and the City of Warren representatives.  This agreement appears to be in regards to the negotiations first entered into by those entities concerning the rate at which customers outside city limits are charged for the flow of sewer into the city’s treatment facilities.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this time the Champion Township Board of Trustees has not been notified of the contents of that agreement beyond the information being presented through local media outlets.  As the Board becomes aware of the contents of this agreement we will make this information available to our citizens and determine the appropriate response.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790575</wp:posOffset>
          </wp:positionV>
          <wp:extent cx="1714500" cy="1714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500" cy="1714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