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B6890" w14:textId="310485D4" w:rsidR="00D161AC" w:rsidRDefault="00D161AC" w:rsidP="00085A01">
      <w:pPr>
        <w:spacing w:before="120" w:after="120" w:line="360" w:lineRule="auto"/>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anchorId="6C8F22A8" wp14:editId="158EEFEF">
            <wp:simplePos x="0" y="0"/>
            <wp:positionH relativeFrom="margin">
              <wp:align>right</wp:align>
            </wp:positionH>
            <wp:positionV relativeFrom="margin">
              <wp:align>top</wp:align>
            </wp:positionV>
            <wp:extent cx="1487805" cy="1518285"/>
            <wp:effectExtent l="0" t="0" r="0" b="5715"/>
            <wp:wrapTight wrapText="bothSides">
              <wp:wrapPolygon edited="0">
                <wp:start x="0" y="0"/>
                <wp:lineTo x="0" y="21410"/>
                <wp:lineTo x="21296" y="21410"/>
                <wp:lineTo x="21296" y="0"/>
                <wp:lineTo x="0" y="0"/>
              </wp:wrapPolygon>
            </wp:wrapTight>
            <wp:docPr id="1009946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7805" cy="1518285"/>
                    </a:xfrm>
                    <a:prstGeom prst="rect">
                      <a:avLst/>
                    </a:prstGeom>
                    <a:noFill/>
                  </pic:spPr>
                </pic:pic>
              </a:graphicData>
            </a:graphic>
          </wp:anchor>
        </w:drawing>
      </w:r>
    </w:p>
    <w:p w14:paraId="4095FC08" w14:textId="370A9D65" w:rsidR="00D161AC" w:rsidRDefault="00D161AC" w:rsidP="00085A01">
      <w:pPr>
        <w:spacing w:before="120" w:after="120" w:line="360" w:lineRule="auto"/>
        <w:rPr>
          <w:rFonts w:ascii="Arial" w:hAnsi="Arial" w:cs="Arial"/>
          <w:b/>
          <w:sz w:val="28"/>
          <w:szCs w:val="28"/>
        </w:rPr>
      </w:pPr>
    </w:p>
    <w:p w14:paraId="7964CE5C" w14:textId="21E388D1" w:rsidR="00D161AC" w:rsidRDefault="00D161AC" w:rsidP="00085A01">
      <w:pPr>
        <w:spacing w:before="120" w:after="120" w:line="360" w:lineRule="auto"/>
        <w:rPr>
          <w:rFonts w:ascii="Arial" w:hAnsi="Arial" w:cs="Arial"/>
          <w:b/>
          <w:sz w:val="28"/>
          <w:szCs w:val="28"/>
        </w:rPr>
      </w:pPr>
    </w:p>
    <w:p w14:paraId="73CEF8B6" w14:textId="77777777" w:rsidR="00D161AC" w:rsidRDefault="00D161AC" w:rsidP="00085A01">
      <w:pPr>
        <w:spacing w:before="120" w:after="120" w:line="360" w:lineRule="auto"/>
        <w:rPr>
          <w:rFonts w:ascii="Arial" w:hAnsi="Arial" w:cs="Arial"/>
          <w:b/>
          <w:sz w:val="28"/>
          <w:szCs w:val="28"/>
        </w:rPr>
      </w:pPr>
    </w:p>
    <w:p w14:paraId="15D759DD" w14:textId="2797561A"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sidR="004932EB">
        <w:rPr>
          <w:rFonts w:ascii="Arial" w:hAnsi="Arial" w:cs="Arial"/>
          <w:b/>
          <w:sz w:val="28"/>
          <w:szCs w:val="28"/>
        </w:rPr>
        <w:t>Early years</w:t>
      </w:r>
      <w:r>
        <w:rPr>
          <w:rFonts w:ascii="Arial" w:hAnsi="Arial" w:cs="Arial"/>
          <w:b/>
          <w:sz w:val="28"/>
          <w:szCs w:val="28"/>
        </w:rPr>
        <w:t xml:space="preserve"> practice procedures</w:t>
      </w:r>
    </w:p>
    <w:p w14:paraId="2A2EAC6A" w14:textId="424E3FDA"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201292FD"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4C292016"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Understanding and Addressing Behaviour in the Early Years</w:t>
      </w:r>
      <w:r w:rsidR="007628A3" w:rsidRPr="009C39D6">
        <w:rPr>
          <w:rFonts w:cs="Arial"/>
          <w:szCs w:val="22"/>
        </w:rPr>
        <w:t xml:space="preserve"> (EduCare)</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w:t>
      </w:r>
      <w:r w:rsidRPr="00085A01">
        <w:rPr>
          <w:rFonts w:ascii="Arial" w:hAnsi="Arial" w:cs="Arial"/>
          <w:sz w:val="22"/>
          <w:szCs w:val="22"/>
        </w:rPr>
        <w:lastRenderedPageBreak/>
        <w:t>obtain a reward (or for fear of a sanction). If used the type of rewards and their functions must be carefully considered.</w:t>
      </w:r>
    </w:p>
    <w:p w14:paraId="27521BF6" w14:textId="6C04E0B6"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06 Safeguarding children, young people and vulnerable adults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132F194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FC8BA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proofErr w:type="spellStart"/>
      <w:r w:rsidR="004D4125" w:rsidRPr="00085A01">
        <w:rPr>
          <w:rFonts w:cs="Arial"/>
          <w:b w:val="0"/>
          <w:sz w:val="22"/>
          <w:szCs w:val="22"/>
          <w:lang w:val="en-GB"/>
        </w:rPr>
        <w:t>T</w:t>
      </w:r>
      <w:r w:rsidR="006E73D6" w:rsidRPr="00085A01">
        <w:rPr>
          <w:rFonts w:cs="Arial"/>
          <w:b w:val="0"/>
          <w:sz w:val="22"/>
          <w:szCs w:val="22"/>
        </w:rPr>
        <w:t>his</w:t>
      </w:r>
      <w:proofErr w:type="spellEnd"/>
      <w:r w:rsidR="006E73D6" w:rsidRPr="00085A01">
        <w:rPr>
          <w:rFonts w:cs="Arial"/>
          <w:b w:val="0"/>
          <w:sz w:val="22"/>
          <w:szCs w:val="22"/>
        </w:rPr>
        <w:t xml:space="preserve">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lastRenderedPageBreak/>
        <w:t xml:space="preserve">Staff must do all they can to avoid using a physical intervention because this is not the preferred way of addressing children’s behaviour. </w:t>
      </w:r>
    </w:p>
    <w:p w14:paraId="50C61237" w14:textId="72D06E65"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lastRenderedPageBreak/>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3"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16E244"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lastRenderedPageBreak/>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3547AD86"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 xml:space="preserve">written agreement not to make discriminatory </w:t>
      </w:r>
      <w:r w:rsidRPr="00085A01">
        <w:rPr>
          <w:rFonts w:ascii="Arial" w:hAnsi="Arial" w:cs="Arial"/>
          <w:sz w:val="22"/>
          <w:szCs w:val="22"/>
        </w:rPr>
        <w:lastRenderedPageBreak/>
        <w:t>remarks or behave in discriminatory or prejudice ways; the third stage may be considering withdrawing the child’s place.</w:t>
      </w: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22369F3E" w:rsidR="008254B4" w:rsidRPr="00085A01" w:rsidRDefault="008254B4" w:rsidP="00085A01">
      <w:pPr>
        <w:shd w:val="clear" w:color="auto" w:fill="FFFFFF"/>
        <w:spacing w:before="120" w:after="120" w:line="360" w:lineRule="auto"/>
        <w:rPr>
          <w:rFonts w:ascii="Arial" w:hAnsi="Arial" w:cs="Arial"/>
          <w:sz w:val="22"/>
          <w:szCs w:val="22"/>
        </w:rPr>
      </w:pPr>
      <w:hyperlink r:id="rId14" w:anchor="!prod/1b26e3b2-7364-ea11-a811-000d3a0bad7c/curr/GBP" w:history="1">
        <w:r w:rsidRPr="008254B4">
          <w:rPr>
            <w:rStyle w:val="Hyperlink"/>
            <w:rFonts w:ascii="Arial" w:hAnsi="Arial" w:cs="Arial"/>
            <w:sz w:val="22"/>
            <w:szCs w:val="22"/>
          </w:rPr>
          <w:t>Behaviour Matters</w:t>
        </w:r>
      </w:hyperlink>
      <w:r>
        <w:rPr>
          <w:rFonts w:ascii="Arial" w:hAnsi="Arial" w:cs="Arial"/>
          <w:sz w:val="22"/>
          <w:szCs w:val="22"/>
        </w:rPr>
        <w:t xml:space="preserve"> (Alliance 2016)</w:t>
      </w:r>
    </w:p>
    <w:sectPr w:rsidR="008254B4" w:rsidRPr="00085A01" w:rsidSect="001E7732">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0F7EC" w14:textId="77777777" w:rsidR="002638E2" w:rsidRDefault="002638E2" w:rsidP="003C7A9F">
      <w:r>
        <w:separator/>
      </w:r>
    </w:p>
  </w:endnote>
  <w:endnote w:type="continuationSeparator" w:id="0">
    <w:p w14:paraId="024047AD" w14:textId="77777777" w:rsidR="002638E2" w:rsidRDefault="002638E2"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0903" w14:textId="3E3B9E61" w:rsidR="00E60FB4" w:rsidRPr="0090673C" w:rsidRDefault="00E60FB4" w:rsidP="00E60FB4">
    <w:pPr>
      <w:tabs>
        <w:tab w:val="center" w:pos="4513"/>
        <w:tab w:val="right" w:pos="9026"/>
      </w:tabs>
      <w:rPr>
        <w:rFonts w:ascii="Arial" w:hAnsi="Arial" w:cs="Arial"/>
        <w:sz w:val="20"/>
        <w:szCs w:val="20"/>
        <w:lang w:val="x-none"/>
      </w:rPr>
    </w:pPr>
    <w:r w:rsidRPr="0090673C">
      <w:rPr>
        <w:rFonts w:ascii="Arial" w:hAnsi="Arial" w:cs="Arial"/>
        <w:i/>
        <w:iCs/>
        <w:sz w:val="20"/>
        <w:szCs w:val="20"/>
        <w:lang w:val="x-none" w:eastAsia="x-none"/>
      </w:rPr>
      <w:t>Policies &amp; Procedures for the EYFS 2021</w:t>
    </w:r>
    <w:r w:rsidRPr="0090673C">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CE880" w14:textId="77777777" w:rsidR="002638E2" w:rsidRDefault="002638E2" w:rsidP="003C7A9F">
      <w:r>
        <w:separator/>
      </w:r>
    </w:p>
  </w:footnote>
  <w:footnote w:type="continuationSeparator" w:id="0">
    <w:p w14:paraId="0C9EED8E" w14:textId="77777777" w:rsidR="002638E2" w:rsidRDefault="002638E2"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882892">
    <w:abstractNumId w:val="60"/>
  </w:num>
  <w:num w:numId="2" w16cid:durableId="1274047318">
    <w:abstractNumId w:val="59"/>
  </w:num>
  <w:num w:numId="3" w16cid:durableId="1748459032">
    <w:abstractNumId w:val="71"/>
  </w:num>
  <w:num w:numId="4" w16cid:durableId="1101029874">
    <w:abstractNumId w:val="41"/>
  </w:num>
  <w:num w:numId="5" w16cid:durableId="1345353085">
    <w:abstractNumId w:val="34"/>
  </w:num>
  <w:num w:numId="6" w16cid:durableId="1617171803">
    <w:abstractNumId w:val="6"/>
  </w:num>
  <w:num w:numId="7" w16cid:durableId="1090396753">
    <w:abstractNumId w:val="50"/>
  </w:num>
  <w:num w:numId="8" w16cid:durableId="1002971091">
    <w:abstractNumId w:val="86"/>
  </w:num>
  <w:num w:numId="9" w16cid:durableId="1405487819">
    <w:abstractNumId w:val="88"/>
  </w:num>
  <w:num w:numId="10" w16cid:durableId="28267436">
    <w:abstractNumId w:val="38"/>
  </w:num>
  <w:num w:numId="11" w16cid:durableId="1684435302">
    <w:abstractNumId w:val="18"/>
  </w:num>
  <w:num w:numId="12" w16cid:durableId="448084881">
    <w:abstractNumId w:val="53"/>
  </w:num>
  <w:num w:numId="13" w16cid:durableId="463811564">
    <w:abstractNumId w:val="27"/>
  </w:num>
  <w:num w:numId="14" w16cid:durableId="846139449">
    <w:abstractNumId w:val="10"/>
  </w:num>
  <w:num w:numId="15" w16cid:durableId="1112748711">
    <w:abstractNumId w:val="16"/>
  </w:num>
  <w:num w:numId="16" w16cid:durableId="296104375">
    <w:abstractNumId w:val="20"/>
  </w:num>
  <w:num w:numId="17" w16cid:durableId="347803741">
    <w:abstractNumId w:val="48"/>
  </w:num>
  <w:num w:numId="18" w16cid:durableId="504049964">
    <w:abstractNumId w:val="46"/>
  </w:num>
  <w:num w:numId="19" w16cid:durableId="1453473920">
    <w:abstractNumId w:val="3"/>
  </w:num>
  <w:num w:numId="20" w16cid:durableId="2096706262">
    <w:abstractNumId w:val="43"/>
  </w:num>
  <w:num w:numId="21" w16cid:durableId="52002675">
    <w:abstractNumId w:val="85"/>
  </w:num>
  <w:num w:numId="22" w16cid:durableId="305476568">
    <w:abstractNumId w:val="13"/>
  </w:num>
  <w:num w:numId="23" w16cid:durableId="2032103708">
    <w:abstractNumId w:val="80"/>
  </w:num>
  <w:num w:numId="24" w16cid:durableId="104810790">
    <w:abstractNumId w:val="17"/>
  </w:num>
  <w:num w:numId="25" w16cid:durableId="36468446">
    <w:abstractNumId w:val="82"/>
  </w:num>
  <w:num w:numId="26" w16cid:durableId="1006399198">
    <w:abstractNumId w:val="39"/>
  </w:num>
  <w:num w:numId="27" w16cid:durableId="1287856875">
    <w:abstractNumId w:val="44"/>
  </w:num>
  <w:num w:numId="28" w16cid:durableId="2083989393">
    <w:abstractNumId w:val="11"/>
  </w:num>
  <w:num w:numId="29" w16cid:durableId="1550651573">
    <w:abstractNumId w:val="2"/>
  </w:num>
  <w:num w:numId="30" w16cid:durableId="2097360853">
    <w:abstractNumId w:val="66"/>
  </w:num>
  <w:num w:numId="31" w16cid:durableId="2030446583">
    <w:abstractNumId w:val="51"/>
  </w:num>
  <w:num w:numId="32" w16cid:durableId="775638680">
    <w:abstractNumId w:val="32"/>
  </w:num>
  <w:num w:numId="33" w16cid:durableId="1416980131">
    <w:abstractNumId w:val="8"/>
  </w:num>
  <w:num w:numId="34" w16cid:durableId="1541627600">
    <w:abstractNumId w:val="73"/>
  </w:num>
  <w:num w:numId="35" w16cid:durableId="1904363401">
    <w:abstractNumId w:val="29"/>
  </w:num>
  <w:num w:numId="36" w16cid:durableId="1792555213">
    <w:abstractNumId w:val="35"/>
  </w:num>
  <w:num w:numId="37" w16cid:durableId="1213931422">
    <w:abstractNumId w:val="63"/>
  </w:num>
  <w:num w:numId="38" w16cid:durableId="1294481783">
    <w:abstractNumId w:val="1"/>
  </w:num>
  <w:num w:numId="39" w16cid:durableId="163937873">
    <w:abstractNumId w:val="42"/>
  </w:num>
  <w:num w:numId="40" w16cid:durableId="2114856941">
    <w:abstractNumId w:val="19"/>
  </w:num>
  <w:num w:numId="41" w16cid:durableId="143086962">
    <w:abstractNumId w:val="40"/>
  </w:num>
  <w:num w:numId="42" w16cid:durableId="61489491">
    <w:abstractNumId w:val="47"/>
  </w:num>
  <w:num w:numId="43" w16cid:durableId="175774401">
    <w:abstractNumId w:val="68"/>
  </w:num>
  <w:num w:numId="44" w16cid:durableId="424888495">
    <w:abstractNumId w:val="79"/>
  </w:num>
  <w:num w:numId="45" w16cid:durableId="2040815512">
    <w:abstractNumId w:val="9"/>
  </w:num>
  <w:num w:numId="46" w16cid:durableId="731854716">
    <w:abstractNumId w:val="62"/>
  </w:num>
  <w:num w:numId="47" w16cid:durableId="1960606032">
    <w:abstractNumId w:val="56"/>
  </w:num>
  <w:num w:numId="48" w16cid:durableId="1275479437">
    <w:abstractNumId w:val="5"/>
  </w:num>
  <w:num w:numId="49" w16cid:durableId="1061714724">
    <w:abstractNumId w:val="75"/>
  </w:num>
  <w:num w:numId="50" w16cid:durableId="885408966">
    <w:abstractNumId w:val="78"/>
  </w:num>
  <w:num w:numId="51" w16cid:durableId="1085998897">
    <w:abstractNumId w:val="64"/>
  </w:num>
  <w:num w:numId="52" w16cid:durableId="1284113273">
    <w:abstractNumId w:val="45"/>
  </w:num>
  <w:num w:numId="53" w16cid:durableId="1896820270">
    <w:abstractNumId w:val="69"/>
  </w:num>
  <w:num w:numId="54" w16cid:durableId="557013650">
    <w:abstractNumId w:val="70"/>
  </w:num>
  <w:num w:numId="55" w16cid:durableId="1097948253">
    <w:abstractNumId w:val="76"/>
  </w:num>
  <w:num w:numId="56" w16cid:durableId="582878336">
    <w:abstractNumId w:val="37"/>
  </w:num>
  <w:num w:numId="57" w16cid:durableId="263195911">
    <w:abstractNumId w:val="14"/>
  </w:num>
  <w:num w:numId="58" w16cid:durableId="715203400">
    <w:abstractNumId w:val="57"/>
  </w:num>
  <w:num w:numId="59" w16cid:durableId="1454786148">
    <w:abstractNumId w:val="87"/>
  </w:num>
  <w:num w:numId="60" w16cid:durableId="385908503">
    <w:abstractNumId w:val="22"/>
  </w:num>
  <w:num w:numId="61" w16cid:durableId="2004117952">
    <w:abstractNumId w:val="28"/>
  </w:num>
  <w:num w:numId="62" w16cid:durableId="1670868023">
    <w:abstractNumId w:val="49"/>
  </w:num>
  <w:num w:numId="63" w16cid:durableId="334919398">
    <w:abstractNumId w:val="15"/>
  </w:num>
  <w:num w:numId="64" w16cid:durableId="1252469336">
    <w:abstractNumId w:val="0"/>
  </w:num>
  <w:num w:numId="65" w16cid:durableId="422579442">
    <w:abstractNumId w:val="74"/>
  </w:num>
  <w:num w:numId="66" w16cid:durableId="380449232">
    <w:abstractNumId w:val="7"/>
  </w:num>
  <w:num w:numId="67" w16cid:durableId="914900525">
    <w:abstractNumId w:val="26"/>
  </w:num>
  <w:num w:numId="68" w16cid:durableId="113908209">
    <w:abstractNumId w:val="72"/>
  </w:num>
  <w:num w:numId="69" w16cid:durableId="2123961512">
    <w:abstractNumId w:val="65"/>
  </w:num>
  <w:num w:numId="70" w16cid:durableId="2006469936">
    <w:abstractNumId w:val="55"/>
  </w:num>
  <w:num w:numId="71" w16cid:durableId="1125200240">
    <w:abstractNumId w:val="54"/>
  </w:num>
  <w:num w:numId="72" w16cid:durableId="538979895">
    <w:abstractNumId w:val="12"/>
  </w:num>
  <w:num w:numId="73" w16cid:durableId="1491286259">
    <w:abstractNumId w:val="83"/>
  </w:num>
  <w:num w:numId="74" w16cid:durableId="133062290">
    <w:abstractNumId w:val="36"/>
  </w:num>
  <w:num w:numId="75" w16cid:durableId="1549562644">
    <w:abstractNumId w:val="4"/>
  </w:num>
  <w:num w:numId="76" w16cid:durableId="1064336244">
    <w:abstractNumId w:val="21"/>
  </w:num>
  <w:num w:numId="77" w16cid:durableId="174001079">
    <w:abstractNumId w:val="23"/>
  </w:num>
  <w:num w:numId="78" w16cid:durableId="2127694559">
    <w:abstractNumId w:val="67"/>
  </w:num>
  <w:num w:numId="79" w16cid:durableId="216670682">
    <w:abstractNumId w:val="81"/>
  </w:num>
  <w:num w:numId="80" w16cid:durableId="744762905">
    <w:abstractNumId w:val="84"/>
  </w:num>
  <w:num w:numId="81" w16cid:durableId="511649069">
    <w:abstractNumId w:val="52"/>
  </w:num>
  <w:num w:numId="82" w16cid:durableId="401414959">
    <w:abstractNumId w:val="30"/>
  </w:num>
  <w:num w:numId="83" w16cid:durableId="181937534">
    <w:abstractNumId w:val="25"/>
  </w:num>
  <w:num w:numId="84" w16cid:durableId="1830291125">
    <w:abstractNumId w:val="89"/>
  </w:num>
  <w:num w:numId="85" w16cid:durableId="549149649">
    <w:abstractNumId w:val="77"/>
  </w:num>
  <w:num w:numId="86" w16cid:durableId="396590338">
    <w:abstractNumId w:val="24"/>
  </w:num>
  <w:num w:numId="87" w16cid:durableId="79841497">
    <w:abstractNumId w:val="33"/>
  </w:num>
  <w:num w:numId="88" w16cid:durableId="1440838610">
    <w:abstractNumId w:val="58"/>
  </w:num>
  <w:num w:numId="89" w16cid:durableId="895513322">
    <w:abstractNumId w:val="31"/>
  </w:num>
  <w:num w:numId="90" w16cid:durableId="130790334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5517E"/>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1AC"/>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011A"/>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76A31"/>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l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8E686FA1-7CB9-4B4A-AEA6-4D6BA81A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Dawn Joslin</cp:lastModifiedBy>
  <cp:revision>3</cp:revision>
  <cp:lastPrinted>2018-05-03T18:57:00Z</cp:lastPrinted>
  <dcterms:created xsi:type="dcterms:W3CDTF">2023-09-08T12:35:00Z</dcterms:created>
  <dcterms:modified xsi:type="dcterms:W3CDTF">2024-11-12T11:12:00Z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