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Consent for Electronic Delivery &amp; Communication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Piece by Piece Autism Therapy (PbyP)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uses various communication platforms to ensure the timely and accurate delivery of information conveniently and efficiently.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Methods of Communication: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before="28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Text Messages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Phone Calls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Adobe Sign (HIPAA-compliant signature platform) for contracts, consents, and treatment plans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8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Assessments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required for insurance/medical necessity (Vineland &amp; Rethink)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General Considerations: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Email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Risks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I understand there are risks associated with using email to communicate personal health care information. These risks include, but are not limited to: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 can be forwarded, printed, or stored without my knowledge.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Emails may be sent to the wrong recipient or intercepted.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Copies of emails may remain even after deletion.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 service providers may archive or inspect emails.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 delivery is not guaranteed, and emails may spread viruses.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 is treated with the same confidentiality as medical records, but common email services like Gmail or Yahoo are not secure and may be intercepted.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PbyP staff may use encrypted email, though not consistently.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Text messages are for quick, non-PHI communication and are not HIPAA compliant.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Adobe Sign ensures HIPAA compliance for document delivery.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Documents are stored in a HIPAA-compliant PbyP GSuite account for 7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PbyP Staff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28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Staff will attempt to request confirmation of received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messages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when a timely response is needed.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Emails may be routed to relevant team members for efficiency.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Responses are typically provided within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 business days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 If not, contact the Clinical Director or Owner.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8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Correspondence may be added to the beneficiary’s medical record.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Parent/Guardian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8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Do not use email/text for emergencies; call 911 or contact your Case Supervisor/Clinical Director/Owner.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Keep emails concise; schedule appointments for sensitive or complex issues.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Confirm receipt of emails within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24-48 hours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to avoid delays in services.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br w:type="textWrapping"/>
        <w:br w:type="textWrapping"/>
        <w:br w:type="textWrapping"/>
        <w:t xml:space="preserve">Consent for Electronic Communication: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28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 understand the risks of electronic communication and acknowledge that standard email/text is not HIPAA compliant.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 may revoke this consent at any time, though prior communication remains valid.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 release PbyP staff from liability related to non-secure communications.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80" w:before="0" w:lineRule="auto"/>
        <w:ind w:left="720" w:hanging="36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 agree to comply with the outlined responsibilities.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Please Initial  in each space below that you consent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 I consent to receive electronic delivery of communication via email </w:t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 I consent to receive text messages from PbyP staff as they pertain to immediate platforms of communication for my child’s ABA program 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 I consent to use Adobe Sign as a HIPAA-compliant platform to sign any documents requiring my signature to authorize ABA services </w:t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 I consent to complete required assessments as dictated by my child’s insurance funder and/or at the request of PbyP staff to properly develop an ethically sound and appropriate treatment plan for my child’s ABA program </w:t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 I consent to and understand if I prefer to receive documents in paper form, I must communicate this to the Clinic. Changes to these preferences may take up to 10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business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days </w:t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If the beneficiary is a minor and/or has a legal guardian, please indicate the relationship: </w:t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PRINTED NAME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8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12" w:val="single"/>
        </w:pBd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SIGNATURE</w:t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ab/>
        <w:tab/>
        <w:tab/>
        <w:t xml:space="preserve">DATE</w:t>
      </w:r>
    </w:p>
    <w:sectPr>
      <w:headerReference r:id="rId9" w:type="first"/>
      <w:footerReference r:id="rId10" w:type="default"/>
      <w:footerReference r:id="rId11" w:type="first"/>
      <w:footerReference r:id="rId12" w:type="even"/>
      <w:pgSz w:h="15840" w:w="12240" w:orient="portrait"/>
      <w:pgMar w:bottom="1008" w:top="1008" w:left="1008" w:right="1008" w:header="86.4" w:footer="36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Brandon Worobi" w:id="0" w:date="2024-12-18T18:55:31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Added an email risk section to clean up the Behavior contract form a bit. You can just have the contract refer to this form rather than list everything.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firstLine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Revised December 2024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Revised December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widowControl w:val="0"/>
      <w:spacing w:line="276" w:lineRule="auto"/>
      <w:rPr>
        <w:i w:val="1"/>
      </w:rPr>
    </w:pPr>
    <w:r w:rsidDel="00000000" w:rsidR="00000000" w:rsidRPr="00000000">
      <w:rPr>
        <w:rtl w:val="0"/>
      </w:rPr>
    </w:r>
  </w:p>
  <w:tbl>
    <w:tblPr>
      <w:tblStyle w:val="Table1"/>
      <w:tblW w:w="10410.0" w:type="dxa"/>
      <w:jc w:val="left"/>
      <w:tblInd w:w="-304.0" w:type="dxa"/>
      <w:tblLayout w:type="fixed"/>
      <w:tblLook w:val="0400"/>
    </w:tblPr>
    <w:tblGrid>
      <w:gridCol w:w="2985"/>
      <w:gridCol w:w="7425"/>
      <w:tblGridChange w:id="0">
        <w:tblGrid>
          <w:gridCol w:w="2985"/>
          <w:gridCol w:w="7425"/>
        </w:tblGrid>
      </w:tblGridChange>
    </w:tblGrid>
    <w:tr>
      <w:trPr>
        <w:cantSplit w:val="0"/>
        <w:trHeight w:val="1185" w:hRule="atLeast"/>
        <w:tblHeader w:val="0"/>
      </w:trPr>
      <w:tc>
        <w:tcPr/>
        <w:p w:rsidR="00000000" w:rsidDel="00000000" w:rsidP="00000000" w:rsidRDefault="00000000" w:rsidRPr="00000000" w14:paraId="0000003C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D">
          <w:pPr>
            <w:tabs>
              <w:tab w:val="center" w:leader="none" w:pos="5310"/>
              <w:tab w:val="right" w:leader="none" w:pos="9360"/>
            </w:tabs>
            <w:ind w:left="-1170" w:right="-870" w:firstLine="1710"/>
            <w:rPr>
              <w:rFonts w:ascii="Century Gothic" w:cs="Century Gothic" w:eastAsia="Century Gothic" w:hAnsi="Century Gothic"/>
              <w:b w:val="1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                   </w:t>
          </w: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   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34"/>
              <w:szCs w:val="34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32"/>
              <w:szCs w:val="32"/>
              <w:rtl w:val="0"/>
            </w:rPr>
            <w:t xml:space="preserve">       Piece By Piece Autism Therapy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center" w:leader="none" w:pos="4680"/>
              <w:tab w:val="right" w:leader="none" w:pos="9360"/>
            </w:tabs>
            <w:jc w:val="right"/>
            <w:rPr>
              <w:rFonts w:ascii="Century Gothic" w:cs="Century Gothic" w:eastAsia="Century Gothic" w:hAnsi="Century Gothic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8"/>
              <w:szCs w:val="18"/>
              <w:rtl w:val="0"/>
            </w:rPr>
            <w:tab/>
            <w:t xml:space="preserve">Phone: 810-201-4987 </w:t>
          </w:r>
        </w:p>
        <w:p w:rsidR="00000000" w:rsidDel="00000000" w:rsidP="00000000" w:rsidRDefault="00000000" w:rsidRPr="00000000" w14:paraId="0000003F">
          <w:pPr>
            <w:tabs>
              <w:tab w:val="center" w:leader="none" w:pos="4680"/>
              <w:tab w:val="right" w:leader="none" w:pos="9360"/>
            </w:tabs>
            <w:jc w:val="right"/>
            <w:rPr>
              <w:rFonts w:ascii="Century Gothic" w:cs="Century Gothic" w:eastAsia="Century Gothic" w:hAnsi="Century Gothic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8"/>
              <w:szCs w:val="18"/>
              <w:rtl w:val="0"/>
            </w:rPr>
            <w:tab/>
            <w:t xml:space="preserve">piecebypieceautismtherapy@gmail.com</w:t>
          </w:r>
        </w:p>
        <w:p w:rsidR="00000000" w:rsidDel="00000000" w:rsidP="00000000" w:rsidRDefault="00000000" w:rsidRPr="00000000" w14:paraId="00000040">
          <w:pPr>
            <w:jc w:val="right"/>
            <w:rPr>
              <w:rFonts w:ascii="Century Gothic" w:cs="Century Gothic" w:eastAsia="Century Gothic" w:hAnsi="Century Gothic"/>
              <w:color w:val="404040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8"/>
              <w:szCs w:val="18"/>
              <w:rtl w:val="0"/>
            </w:rPr>
            <w:t xml:space="preserve">www.piecebypieceautismtherapy.com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71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713D"/>
  </w:style>
  <w:style w:type="paragraph" w:styleId="Footer">
    <w:name w:val="footer"/>
    <w:basedOn w:val="Normal"/>
    <w:link w:val="FooterChar"/>
    <w:uiPriority w:val="99"/>
    <w:unhideWhenUsed w:val="1"/>
    <w:rsid w:val="00D071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713D"/>
  </w:style>
  <w:style w:type="character" w:styleId="PageNumber">
    <w:name w:val="page number"/>
    <w:basedOn w:val="DefaultParagraphFont"/>
    <w:uiPriority w:val="99"/>
    <w:semiHidden w:val="1"/>
    <w:unhideWhenUsed w:val="1"/>
    <w:rsid w:val="00D0713D"/>
  </w:style>
  <w:style w:type="paragraph" w:styleId="NormalWeb">
    <w:name w:val="Normal (Web)"/>
    <w:basedOn w:val="Normal"/>
    <w:uiPriority w:val="99"/>
    <w:semiHidden w:val="1"/>
    <w:unhideWhenUsed w:val="1"/>
    <w:rsid w:val="00D0713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D0713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tdDamtOEuZuaKr//bSipGFQuA==">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2024-12-17T22:33:00Z</dcterms:created>
</cp:coreProperties>
</file>