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1EA3" w14:textId="0F760C5C" w:rsidR="005856BA" w:rsidRDefault="006B0B7C">
      <w:pPr>
        <w:pStyle w:val="Default"/>
        <w:spacing w:before="0" w:after="240" w:line="440" w:lineRule="atLeast"/>
        <w:rPr>
          <w:rFonts w:ascii="Times Roman" w:hAnsi="Times Roman"/>
          <w:sz w:val="37"/>
          <w:szCs w:val="37"/>
        </w:rPr>
      </w:pPr>
      <w:r>
        <w:rPr>
          <w:rFonts w:ascii="Times Roman" w:hAnsi="Times Roman"/>
          <w:noProof/>
          <w:sz w:val="37"/>
          <w:szCs w:val="37"/>
          <w14:textOutline w14:w="0" w14:cap="rnd" w14:cmpd="sng" w14:algn="ctr">
            <w14:noFill/>
            <w14:prstDash w14:val="solid"/>
            <w14:bevel/>
          </w14:textOutline>
        </w:rPr>
        <w:drawing>
          <wp:anchor distT="0" distB="0" distL="114300" distR="114300" simplePos="0" relativeHeight="251658240" behindDoc="0" locked="0" layoutInCell="1" allowOverlap="1" wp14:anchorId="3EC4D500" wp14:editId="329F6E94">
            <wp:simplePos x="0" y="0"/>
            <wp:positionH relativeFrom="margin">
              <wp:align>left</wp:align>
            </wp:positionH>
            <wp:positionV relativeFrom="margin">
              <wp:posOffset>-486562</wp:posOffset>
            </wp:positionV>
            <wp:extent cx="3050540" cy="2969260"/>
            <wp:effectExtent l="0" t="0" r="0" b="254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0540" cy="2969260"/>
                    </a:xfrm>
                    <a:prstGeom prst="rect">
                      <a:avLst/>
                    </a:prstGeom>
                  </pic:spPr>
                </pic:pic>
              </a:graphicData>
            </a:graphic>
            <wp14:sizeRelH relativeFrom="margin">
              <wp14:pctWidth>0</wp14:pctWidth>
            </wp14:sizeRelH>
            <wp14:sizeRelV relativeFrom="margin">
              <wp14:pctHeight>0</wp14:pctHeight>
            </wp14:sizeRelV>
          </wp:anchor>
        </w:drawing>
      </w:r>
    </w:p>
    <w:p w14:paraId="5925641D" w14:textId="77777777" w:rsidR="00C75AA0" w:rsidRDefault="00C75AA0" w:rsidP="00BD0F68">
      <w:pPr>
        <w:pStyle w:val="Default"/>
        <w:spacing w:before="0" w:line="240" w:lineRule="auto"/>
        <w:rPr>
          <w:rFonts w:ascii="Calibri" w:hAnsi="Calibri" w:cs="Calibri"/>
        </w:rPr>
      </w:pPr>
    </w:p>
    <w:p w14:paraId="57AF0B0E" w14:textId="05EC6683" w:rsidR="00BD0F68" w:rsidRPr="000E688E" w:rsidRDefault="00F05C33" w:rsidP="00BD0F68">
      <w:pPr>
        <w:pStyle w:val="Default"/>
        <w:spacing w:before="0" w:line="240" w:lineRule="auto"/>
        <w:rPr>
          <w:rFonts w:ascii="Calibri" w:hAnsi="Calibri" w:cs="Calibri"/>
          <w:color w:val="66C7FF" w:themeColor="accent1" w:themeTint="99"/>
        </w:rPr>
      </w:pPr>
      <w:r w:rsidRPr="000E688E">
        <w:rPr>
          <w:rFonts w:ascii="Calibri" w:hAnsi="Calibri" w:cs="Calibri"/>
          <w:color w:val="66C7FF" w:themeColor="accent1" w:themeTint="99"/>
        </w:rPr>
        <w:t>Adelina Dana, MA, LMHC</w:t>
      </w:r>
    </w:p>
    <w:p w14:paraId="6FE233CB" w14:textId="52DBDCB6" w:rsidR="005856BA" w:rsidRPr="000E688E" w:rsidRDefault="00F05C33" w:rsidP="00BD0F68">
      <w:pPr>
        <w:pStyle w:val="Default"/>
        <w:spacing w:before="0" w:line="240" w:lineRule="auto"/>
        <w:rPr>
          <w:rFonts w:ascii="Calibri" w:hAnsi="Calibri" w:cs="Calibri"/>
          <w:color w:val="66C7FF" w:themeColor="accent1" w:themeTint="99"/>
          <w:sz w:val="20"/>
          <w:szCs w:val="20"/>
        </w:rPr>
      </w:pPr>
      <w:r w:rsidRPr="000E688E">
        <w:rPr>
          <w:rFonts w:ascii="Calibri" w:hAnsi="Calibri" w:cs="Calibri"/>
          <w:color w:val="66C7FF" w:themeColor="accent1" w:themeTint="99"/>
          <w:sz w:val="20"/>
          <w:szCs w:val="20"/>
        </w:rPr>
        <w:t>Fellow Travelers Counseling &amp; Consultation, PLLC</w:t>
      </w:r>
    </w:p>
    <w:p w14:paraId="53E9F81E" w14:textId="77777777" w:rsidR="005856BA" w:rsidRPr="000E688E" w:rsidRDefault="00F05C33" w:rsidP="00BD0F68">
      <w:pPr>
        <w:pStyle w:val="Default"/>
        <w:spacing w:before="0" w:line="240" w:lineRule="auto"/>
        <w:rPr>
          <w:rFonts w:ascii="Calibri" w:eastAsia="Times Roman" w:hAnsi="Calibri" w:cs="Calibri"/>
          <w:color w:val="66C7FF" w:themeColor="accent1" w:themeTint="99"/>
          <w:sz w:val="20"/>
          <w:szCs w:val="20"/>
        </w:rPr>
      </w:pPr>
      <w:r w:rsidRPr="000E688E">
        <w:rPr>
          <w:rFonts w:ascii="Calibri" w:hAnsi="Calibri" w:cs="Calibri"/>
          <w:color w:val="66C7FF" w:themeColor="accent1" w:themeTint="99"/>
          <w:sz w:val="20"/>
          <w:szCs w:val="20"/>
        </w:rPr>
        <w:t>2522 N Proctor Street #253</w:t>
      </w:r>
    </w:p>
    <w:p w14:paraId="51E07D06" w14:textId="77777777" w:rsidR="005856BA" w:rsidRPr="000E688E" w:rsidRDefault="00F05C33" w:rsidP="00BD0F68">
      <w:pPr>
        <w:pStyle w:val="Default"/>
        <w:spacing w:before="0" w:line="240" w:lineRule="auto"/>
        <w:rPr>
          <w:rFonts w:ascii="Calibri" w:eastAsia="Times Roman" w:hAnsi="Calibri" w:cs="Calibri"/>
          <w:color w:val="66C7FF" w:themeColor="accent1" w:themeTint="99"/>
          <w:sz w:val="20"/>
          <w:szCs w:val="20"/>
        </w:rPr>
      </w:pPr>
      <w:r w:rsidRPr="000E688E">
        <w:rPr>
          <w:rFonts w:ascii="Calibri" w:hAnsi="Calibri" w:cs="Calibri"/>
          <w:color w:val="66C7FF" w:themeColor="accent1" w:themeTint="99"/>
          <w:sz w:val="20"/>
          <w:szCs w:val="20"/>
        </w:rPr>
        <w:t>Tacoma, WA 98406</w:t>
      </w:r>
    </w:p>
    <w:p w14:paraId="2C293F20" w14:textId="37CDC1FE" w:rsidR="005856BA" w:rsidRPr="000E688E" w:rsidRDefault="00F05C33" w:rsidP="00BD0F68">
      <w:pPr>
        <w:pStyle w:val="Default"/>
        <w:spacing w:before="0" w:line="240" w:lineRule="auto"/>
        <w:rPr>
          <w:rFonts w:ascii="Calibri" w:eastAsia="Times Roman" w:hAnsi="Calibri" w:cs="Calibri"/>
          <w:color w:val="66C7FF" w:themeColor="accent1" w:themeTint="99"/>
          <w:sz w:val="20"/>
          <w:szCs w:val="20"/>
        </w:rPr>
      </w:pPr>
      <w:r w:rsidRPr="000E688E">
        <w:rPr>
          <w:rFonts w:ascii="Calibri" w:hAnsi="Calibri" w:cs="Calibri"/>
          <w:color w:val="66C7FF" w:themeColor="accent1" w:themeTint="99"/>
          <w:sz w:val="20"/>
          <w:szCs w:val="20"/>
          <w:lang w:val="pt-PT"/>
        </w:rPr>
        <w:t>[Phone Number]</w:t>
      </w:r>
    </w:p>
    <w:p w14:paraId="7396DA8C" w14:textId="77777777" w:rsidR="00BD0F68" w:rsidRPr="000E688E" w:rsidRDefault="00BD0F68">
      <w:pPr>
        <w:pStyle w:val="Default"/>
        <w:spacing w:before="0" w:after="240" w:line="440" w:lineRule="atLeast"/>
        <w:rPr>
          <w:rFonts w:ascii="Calibri" w:hAnsi="Calibri" w:cs="Calibri"/>
          <w:color w:val="66C7FF" w:themeColor="accent1" w:themeTint="99"/>
        </w:rPr>
      </w:pPr>
    </w:p>
    <w:p w14:paraId="38344803" w14:textId="77777777" w:rsidR="005935BF" w:rsidRDefault="005935BF">
      <w:pPr>
        <w:pStyle w:val="Default"/>
        <w:spacing w:before="0" w:after="240" w:line="440" w:lineRule="atLeast"/>
        <w:rPr>
          <w:rFonts w:ascii="Calibri" w:hAnsi="Calibri" w:cs="Calibri"/>
        </w:rPr>
      </w:pPr>
    </w:p>
    <w:p w14:paraId="5A1A24CA" w14:textId="77777777" w:rsidR="005935BF" w:rsidRDefault="005935BF">
      <w:pPr>
        <w:pStyle w:val="Default"/>
        <w:spacing w:before="0" w:after="240" w:line="440" w:lineRule="atLeast"/>
        <w:rPr>
          <w:rFonts w:ascii="Calibri" w:hAnsi="Calibri" w:cs="Calibri"/>
        </w:rPr>
      </w:pPr>
    </w:p>
    <w:p w14:paraId="4267134C" w14:textId="77777777" w:rsidR="00764323" w:rsidRDefault="00764323" w:rsidP="00764323">
      <w:pPr>
        <w:pStyle w:val="BodyA"/>
        <w:spacing w:before="240"/>
        <w:jc w:val="center"/>
        <w:rPr>
          <w:b/>
          <w:bCs/>
        </w:rPr>
      </w:pPr>
      <w:r>
        <w:rPr>
          <w:b/>
          <w:bCs/>
        </w:rPr>
        <w:t>NOTICE OF PRIVACY PRACTICES</w:t>
      </w:r>
    </w:p>
    <w:p w14:paraId="075C2713" w14:textId="77777777" w:rsidR="00764323" w:rsidRDefault="00764323" w:rsidP="00764323">
      <w:pPr>
        <w:pStyle w:val="BodyA"/>
        <w:jc w:val="both"/>
      </w:pPr>
    </w:p>
    <w:p w14:paraId="7553BCEB" w14:textId="77777777" w:rsidR="00764323" w:rsidRPr="00183482" w:rsidRDefault="00764323" w:rsidP="00764323">
      <w:pPr>
        <w:pStyle w:val="BodyA"/>
        <w:jc w:val="both"/>
        <w:rPr>
          <w:rFonts w:cs="Times New Roman"/>
          <w:sz w:val="22"/>
          <w:szCs w:val="22"/>
        </w:rPr>
      </w:pPr>
      <w:r w:rsidRPr="00183482">
        <w:rPr>
          <w:rFonts w:cs="Times New Roman"/>
          <w:b/>
          <w:bCs/>
          <w:color w:val="auto"/>
          <w:sz w:val="22"/>
          <w:szCs w:val="22"/>
        </w:rPr>
        <w:t>Fellow Travelers Counseling &amp; Consultation</w:t>
      </w:r>
      <w:r w:rsidRPr="00183482">
        <w:rPr>
          <w:rFonts w:cs="Times New Roman"/>
          <w:color w:val="auto"/>
          <w:sz w:val="22"/>
          <w:szCs w:val="22"/>
        </w:rPr>
        <w:t xml:space="preserve"> </w:t>
      </w:r>
      <w:r w:rsidRPr="00183482">
        <w:rPr>
          <w:rFonts w:cs="Times New Roman"/>
          <w:sz w:val="22"/>
          <w:szCs w:val="22"/>
        </w:rPr>
        <w:t xml:space="preserve">(FTCC) is committed to maintaining the confidentiality of your mental health and financial information, which will be referred to here as </w:t>
      </w:r>
      <w:r w:rsidRPr="00183482">
        <w:rPr>
          <w:rFonts w:cs="Times New Roman"/>
          <w:sz w:val="22"/>
          <w:szCs w:val="22"/>
          <w:rtl/>
          <w:lang w:val="ar-SA"/>
        </w:rPr>
        <w:t>“</w:t>
      </w:r>
      <w:r w:rsidRPr="00183482">
        <w:rPr>
          <w:rFonts w:cs="Times New Roman"/>
          <w:i/>
          <w:iCs/>
          <w:sz w:val="22"/>
          <w:szCs w:val="22"/>
          <w:lang w:val="it-IT"/>
        </w:rPr>
        <w:t>personal</w:t>
      </w:r>
      <w:r w:rsidRPr="00183482">
        <w:rPr>
          <w:rFonts w:cs="Times New Roman"/>
          <w:sz w:val="22"/>
          <w:szCs w:val="22"/>
        </w:rPr>
        <w:t xml:space="preserve"> </w:t>
      </w:r>
      <w:r w:rsidRPr="00183482">
        <w:rPr>
          <w:rFonts w:cs="Times New Roman"/>
          <w:i/>
          <w:iCs/>
          <w:sz w:val="22"/>
          <w:szCs w:val="22"/>
        </w:rPr>
        <w:t>information”</w:t>
      </w:r>
      <w:r w:rsidRPr="00183482">
        <w:rPr>
          <w:rFonts w:cs="Times New Roman"/>
          <w:sz w:val="22"/>
          <w:szCs w:val="22"/>
        </w:rPr>
        <w:t>.  Examples of your personal information include your name, Social Security number, address, telephone number, medical/psychosocial history, therapy records, claims information, etc.  This Notice of Privacy Practices informs you about how FTCC may collect, use and disclose your personal information, and about your rights regarding that information.  This Notice pertains to you and any dependents in counseling at FTCC.</w:t>
      </w:r>
    </w:p>
    <w:p w14:paraId="28838C57" w14:textId="77777777" w:rsidR="00764323" w:rsidRPr="00183482" w:rsidRDefault="00764323" w:rsidP="00764323">
      <w:pPr>
        <w:pStyle w:val="BodyA"/>
        <w:jc w:val="both"/>
        <w:rPr>
          <w:rFonts w:cs="Times New Roman"/>
          <w:sz w:val="22"/>
          <w:szCs w:val="22"/>
        </w:rPr>
      </w:pPr>
    </w:p>
    <w:p w14:paraId="59ABC0F1" w14:textId="77777777" w:rsidR="00764323" w:rsidRPr="00183482" w:rsidRDefault="00764323" w:rsidP="00764323">
      <w:pPr>
        <w:pStyle w:val="BodyA"/>
        <w:rPr>
          <w:rFonts w:cs="Times New Roman"/>
          <w:spacing w:val="14"/>
          <w:sz w:val="22"/>
          <w:szCs w:val="22"/>
        </w:rPr>
      </w:pPr>
      <w:r w:rsidRPr="00183482">
        <w:rPr>
          <w:rFonts w:cs="Times New Roman"/>
          <w:spacing w:val="14"/>
          <w:sz w:val="22"/>
          <w:szCs w:val="22"/>
        </w:rPr>
        <w:t>MY RESPONSIBILITY TO PROTECT YOUR PERSONAL INFORMATION</w:t>
      </w:r>
    </w:p>
    <w:p w14:paraId="2D15C780" w14:textId="77777777" w:rsidR="00764323" w:rsidRPr="00183482" w:rsidRDefault="00764323" w:rsidP="00764323">
      <w:pPr>
        <w:pStyle w:val="BodyA"/>
        <w:rPr>
          <w:rFonts w:cs="Times New Roman"/>
          <w:sz w:val="22"/>
          <w:szCs w:val="22"/>
        </w:rPr>
      </w:pPr>
    </w:p>
    <w:p w14:paraId="37934D32" w14:textId="77777777" w:rsidR="00764323" w:rsidRPr="00183482" w:rsidRDefault="00764323" w:rsidP="00764323">
      <w:pPr>
        <w:pStyle w:val="BodyA"/>
        <w:jc w:val="both"/>
        <w:rPr>
          <w:rFonts w:cs="Times New Roman"/>
          <w:sz w:val="22"/>
          <w:szCs w:val="22"/>
        </w:rPr>
      </w:pPr>
      <w:r w:rsidRPr="00183482">
        <w:rPr>
          <w:rFonts w:cs="Times New Roman"/>
          <w:sz w:val="22"/>
          <w:szCs w:val="22"/>
        </w:rPr>
        <w:t xml:space="preserve">Under the Health Insurance Portability and Accountability Act of 1996 (HIPAA), Fellow Travelers Counseling &amp; Consultation </w:t>
      </w:r>
      <w:r w:rsidRPr="00183482">
        <w:rPr>
          <w:rFonts w:cs="Times New Roman"/>
          <w:b/>
          <w:bCs/>
          <w:sz w:val="22"/>
          <w:szCs w:val="22"/>
        </w:rPr>
        <w:t xml:space="preserve">must take measures to protect the privacy of your personal information. </w:t>
      </w:r>
      <w:r w:rsidRPr="00183482">
        <w:rPr>
          <w:rFonts w:cs="Times New Roman"/>
          <w:sz w:val="22"/>
          <w:szCs w:val="22"/>
        </w:rPr>
        <w:t xml:space="preserve"> For example, FTCC authorizes access to your personal information only to the extent necessary to conduct the business of serving you, such as paying your insurance claims.  In addition, FTCC takes steps to secure client files and information from unauthorized access.  FTCC will protect the privacy of your information even if you are no longer in treatment here.</w:t>
      </w:r>
    </w:p>
    <w:p w14:paraId="29054CE2" w14:textId="77777777" w:rsidR="00764323" w:rsidRPr="00183482" w:rsidRDefault="00764323" w:rsidP="00764323">
      <w:pPr>
        <w:pStyle w:val="BodyA"/>
        <w:jc w:val="both"/>
        <w:rPr>
          <w:rFonts w:cs="Times New Roman"/>
          <w:sz w:val="22"/>
          <w:szCs w:val="22"/>
        </w:rPr>
      </w:pPr>
    </w:p>
    <w:p w14:paraId="4B634C26" w14:textId="77777777" w:rsidR="00764323" w:rsidRPr="00183482" w:rsidRDefault="00764323" w:rsidP="00764323">
      <w:pPr>
        <w:pStyle w:val="BodyA"/>
        <w:rPr>
          <w:rFonts w:cs="Times New Roman"/>
          <w:spacing w:val="14"/>
          <w:sz w:val="22"/>
          <w:szCs w:val="22"/>
        </w:rPr>
      </w:pPr>
      <w:r w:rsidRPr="00183482">
        <w:rPr>
          <w:rFonts w:cs="Times New Roman"/>
          <w:spacing w:val="14"/>
          <w:sz w:val="22"/>
          <w:szCs w:val="22"/>
        </w:rPr>
        <w:t>HOW FTCC MAY COLLECT, USE AND DISCLOSE YOUR PERSONAL INFORMATION</w:t>
      </w:r>
    </w:p>
    <w:p w14:paraId="3B6D23AC" w14:textId="77777777" w:rsidR="00764323" w:rsidRPr="00183482" w:rsidRDefault="00764323" w:rsidP="00764323">
      <w:pPr>
        <w:pStyle w:val="BodyA"/>
        <w:jc w:val="both"/>
        <w:rPr>
          <w:rFonts w:cs="Times New Roman"/>
          <w:sz w:val="22"/>
          <w:szCs w:val="22"/>
        </w:rPr>
      </w:pPr>
    </w:p>
    <w:p w14:paraId="64FE5D77" w14:textId="77777777" w:rsidR="00764323" w:rsidRPr="00183482" w:rsidRDefault="00764323" w:rsidP="00764323">
      <w:pPr>
        <w:pStyle w:val="BodyA"/>
        <w:jc w:val="both"/>
        <w:rPr>
          <w:rFonts w:cs="Times New Roman"/>
          <w:sz w:val="22"/>
          <w:szCs w:val="22"/>
        </w:rPr>
      </w:pPr>
      <w:r w:rsidRPr="00183482">
        <w:rPr>
          <w:rFonts w:cs="Times New Roman"/>
          <w:sz w:val="22"/>
          <w:szCs w:val="22"/>
        </w:rPr>
        <w:t xml:space="preserve">FTCC collects your personal information from these sources: in the course of accepting referral information to assess your eligibility for services at FTCC; from you directly; and/or from individuals or agencies you specifically authorize to share information with FTCC to assure good coordination of care.  </w:t>
      </w:r>
    </w:p>
    <w:p w14:paraId="0D549239" w14:textId="77777777" w:rsidR="00764323" w:rsidRPr="00183482" w:rsidRDefault="00764323" w:rsidP="00764323">
      <w:pPr>
        <w:pStyle w:val="BodyA"/>
        <w:jc w:val="both"/>
        <w:rPr>
          <w:rFonts w:cs="Times New Roman"/>
          <w:sz w:val="22"/>
          <w:szCs w:val="22"/>
        </w:rPr>
      </w:pPr>
    </w:p>
    <w:p w14:paraId="007A4F15" w14:textId="77777777" w:rsidR="00764323" w:rsidRPr="00183482" w:rsidRDefault="00764323" w:rsidP="00764323">
      <w:pPr>
        <w:pStyle w:val="BodyA"/>
        <w:jc w:val="both"/>
        <w:rPr>
          <w:rFonts w:cs="Times New Roman"/>
          <w:sz w:val="22"/>
          <w:szCs w:val="22"/>
        </w:rPr>
      </w:pPr>
      <w:r w:rsidRPr="00183482">
        <w:rPr>
          <w:rFonts w:cs="Times New Roman"/>
          <w:sz w:val="22"/>
          <w:szCs w:val="22"/>
        </w:rPr>
        <w:t xml:space="preserve">FTCC may use or disclose your personal information </w:t>
      </w:r>
      <w:r w:rsidRPr="00183482">
        <w:rPr>
          <w:rFonts w:cs="Times New Roman"/>
          <w:b/>
          <w:bCs/>
          <w:i/>
          <w:iCs/>
          <w:sz w:val="22"/>
          <w:szCs w:val="22"/>
        </w:rPr>
        <w:t>without</w:t>
      </w:r>
      <w:r w:rsidRPr="00183482">
        <w:rPr>
          <w:rFonts w:cs="Times New Roman"/>
          <w:i/>
          <w:iCs/>
          <w:sz w:val="22"/>
          <w:szCs w:val="22"/>
        </w:rPr>
        <w:t xml:space="preserve"> </w:t>
      </w:r>
      <w:r w:rsidRPr="00183482">
        <w:rPr>
          <w:rFonts w:cs="Times New Roman"/>
          <w:sz w:val="22"/>
          <w:szCs w:val="22"/>
        </w:rPr>
        <w:t>your specific authorization for the following purposes:</w:t>
      </w:r>
    </w:p>
    <w:p w14:paraId="6F3878D8" w14:textId="77777777" w:rsidR="00764323" w:rsidRPr="00183482" w:rsidRDefault="00764323" w:rsidP="00764323">
      <w:pPr>
        <w:pStyle w:val="BodyA"/>
        <w:jc w:val="both"/>
        <w:rPr>
          <w:rFonts w:cs="Times New Roman"/>
          <w:sz w:val="22"/>
          <w:szCs w:val="22"/>
        </w:rPr>
      </w:pPr>
    </w:p>
    <w:p w14:paraId="6480FAB7" w14:textId="0DC93374" w:rsidR="00764323" w:rsidRPr="00183482" w:rsidRDefault="00764323" w:rsidP="00063746">
      <w:pPr>
        <w:pStyle w:val="BodyA"/>
        <w:numPr>
          <w:ilvl w:val="0"/>
          <w:numId w:val="4"/>
        </w:numPr>
        <w:jc w:val="both"/>
        <w:rPr>
          <w:rFonts w:cs="Times New Roman"/>
          <w:sz w:val="22"/>
          <w:szCs w:val="22"/>
        </w:rPr>
      </w:pPr>
      <w:r w:rsidRPr="00183482">
        <w:rPr>
          <w:rFonts w:cs="Times New Roman"/>
          <w:sz w:val="22"/>
          <w:szCs w:val="22"/>
        </w:rPr>
        <w:t>Payment: FTCC may use and disclose personal information to process your insurance claims.</w:t>
      </w:r>
    </w:p>
    <w:p w14:paraId="431F3AC9" w14:textId="7AC79798" w:rsidR="00764323" w:rsidRPr="00183482" w:rsidRDefault="00764323" w:rsidP="00063746">
      <w:pPr>
        <w:pStyle w:val="BodyA"/>
        <w:tabs>
          <w:tab w:val="left" w:pos="540"/>
        </w:tabs>
        <w:ind w:left="75"/>
        <w:jc w:val="both"/>
        <w:rPr>
          <w:rFonts w:cs="Times New Roman"/>
          <w:sz w:val="22"/>
          <w:szCs w:val="22"/>
        </w:rPr>
      </w:pPr>
      <w:r w:rsidRPr="00183482">
        <w:rPr>
          <w:rFonts w:cs="Times New Roman"/>
          <w:sz w:val="22"/>
          <w:szCs w:val="22"/>
        </w:rPr>
        <w:t>However, state laws may prohibit FTCC from disclosing certain types of sensitive personal</w:t>
      </w:r>
    </w:p>
    <w:p w14:paraId="201F17F9" w14:textId="3215ECB4" w:rsidR="00764323" w:rsidRPr="00183482" w:rsidRDefault="00764323" w:rsidP="00063746">
      <w:pPr>
        <w:pStyle w:val="BodyA"/>
        <w:tabs>
          <w:tab w:val="left" w:pos="540"/>
        </w:tabs>
        <w:ind w:left="75"/>
        <w:jc w:val="both"/>
        <w:rPr>
          <w:rFonts w:cs="Times New Roman"/>
          <w:sz w:val="22"/>
          <w:szCs w:val="22"/>
        </w:rPr>
      </w:pPr>
      <w:r w:rsidRPr="00183482">
        <w:rPr>
          <w:rFonts w:cs="Times New Roman"/>
          <w:sz w:val="22"/>
          <w:szCs w:val="22"/>
        </w:rPr>
        <w:t>information about you to insurers or to members of your family without your</w:t>
      </w:r>
    </w:p>
    <w:p w14:paraId="63E774F6" w14:textId="0E267947" w:rsidR="00764323" w:rsidRPr="00183482" w:rsidRDefault="00764323" w:rsidP="00063746">
      <w:pPr>
        <w:pStyle w:val="BodyA"/>
        <w:tabs>
          <w:tab w:val="left" w:pos="540"/>
        </w:tabs>
        <w:ind w:left="75"/>
        <w:jc w:val="both"/>
        <w:rPr>
          <w:rFonts w:cs="Times New Roman"/>
          <w:sz w:val="22"/>
          <w:szCs w:val="22"/>
        </w:rPr>
      </w:pPr>
      <w:r w:rsidRPr="00183482">
        <w:rPr>
          <w:rFonts w:cs="Times New Roman"/>
          <w:sz w:val="22"/>
          <w:szCs w:val="22"/>
        </w:rPr>
        <w:t>specific authorization.</w:t>
      </w:r>
    </w:p>
    <w:p w14:paraId="417EE279" w14:textId="77777777" w:rsidR="00764323" w:rsidRPr="00183482" w:rsidRDefault="00764323" w:rsidP="00764323">
      <w:pPr>
        <w:pStyle w:val="BodyA"/>
        <w:tabs>
          <w:tab w:val="left" w:pos="540"/>
        </w:tabs>
        <w:ind w:left="75"/>
        <w:jc w:val="both"/>
        <w:rPr>
          <w:rFonts w:cs="Times New Roman"/>
          <w:sz w:val="22"/>
          <w:szCs w:val="22"/>
        </w:rPr>
      </w:pPr>
    </w:p>
    <w:p w14:paraId="3BC32562" w14:textId="77777777" w:rsidR="00764323" w:rsidRPr="00183482" w:rsidRDefault="00764323" w:rsidP="00063746">
      <w:pPr>
        <w:pStyle w:val="BodyA"/>
        <w:numPr>
          <w:ilvl w:val="0"/>
          <w:numId w:val="4"/>
        </w:numPr>
        <w:rPr>
          <w:rFonts w:cs="Times New Roman"/>
          <w:sz w:val="22"/>
          <w:szCs w:val="22"/>
        </w:rPr>
      </w:pPr>
      <w:r w:rsidRPr="00183482">
        <w:rPr>
          <w:rFonts w:cs="Times New Roman"/>
          <w:sz w:val="22"/>
          <w:szCs w:val="22"/>
        </w:rPr>
        <w:t>Consultation: One way FTCC assures that you receive the highest quality of care possible, is</w:t>
      </w:r>
    </w:p>
    <w:p w14:paraId="487DE9E2" w14:textId="28397BC0" w:rsidR="00764323" w:rsidRPr="00183482" w:rsidRDefault="00764323" w:rsidP="00063746">
      <w:pPr>
        <w:pStyle w:val="BodyA"/>
        <w:tabs>
          <w:tab w:val="left" w:pos="540"/>
        </w:tabs>
        <w:ind w:left="75"/>
        <w:rPr>
          <w:rFonts w:cs="Times New Roman"/>
          <w:sz w:val="22"/>
          <w:szCs w:val="22"/>
        </w:rPr>
      </w:pPr>
      <w:r w:rsidRPr="00183482">
        <w:rPr>
          <w:rFonts w:cs="Times New Roman"/>
          <w:sz w:val="22"/>
          <w:szCs w:val="22"/>
        </w:rPr>
        <w:lastRenderedPageBreak/>
        <w:t>through use of professional consultation.  FTCC has agreements with its consultants that</w:t>
      </w:r>
    </w:p>
    <w:p w14:paraId="21824F4E" w14:textId="6ABA381F" w:rsidR="00764323" w:rsidRPr="00183482" w:rsidRDefault="00764323" w:rsidP="00063746">
      <w:pPr>
        <w:pStyle w:val="BodyA"/>
        <w:tabs>
          <w:tab w:val="left" w:pos="540"/>
        </w:tabs>
        <w:ind w:left="75"/>
        <w:rPr>
          <w:rFonts w:cs="Times New Roman"/>
          <w:sz w:val="22"/>
          <w:szCs w:val="22"/>
        </w:rPr>
      </w:pPr>
      <w:r w:rsidRPr="00183482">
        <w:rPr>
          <w:rFonts w:cs="Times New Roman"/>
          <w:sz w:val="22"/>
          <w:szCs w:val="22"/>
        </w:rPr>
        <w:t>require them to maintain the confidentiality of your personal information.  FTCC has a</w:t>
      </w:r>
    </w:p>
    <w:p w14:paraId="1F2932C3" w14:textId="1C68C8DD" w:rsidR="00764323" w:rsidRPr="00183482" w:rsidRDefault="00764323" w:rsidP="00063746">
      <w:pPr>
        <w:pStyle w:val="BodyA"/>
        <w:tabs>
          <w:tab w:val="left" w:pos="540"/>
        </w:tabs>
        <w:ind w:left="75"/>
        <w:rPr>
          <w:rFonts w:cs="Times New Roman"/>
          <w:sz w:val="22"/>
          <w:szCs w:val="22"/>
        </w:rPr>
      </w:pPr>
      <w:r w:rsidRPr="00183482">
        <w:rPr>
          <w:rFonts w:cs="Times New Roman"/>
          <w:sz w:val="22"/>
          <w:szCs w:val="22"/>
        </w:rPr>
        <w:t xml:space="preserve">commitment to share as </w:t>
      </w:r>
      <w:r w:rsidRPr="00183482">
        <w:rPr>
          <w:rFonts w:cs="Times New Roman"/>
          <w:i/>
          <w:iCs/>
          <w:sz w:val="22"/>
          <w:szCs w:val="22"/>
        </w:rPr>
        <w:t xml:space="preserve">little </w:t>
      </w:r>
      <w:r w:rsidRPr="00183482">
        <w:rPr>
          <w:rFonts w:cs="Times New Roman"/>
          <w:sz w:val="22"/>
          <w:szCs w:val="22"/>
        </w:rPr>
        <w:t>personal information as possible when seeking consultation.</w:t>
      </w:r>
    </w:p>
    <w:p w14:paraId="0A8D2B00" w14:textId="77777777" w:rsidR="00764323" w:rsidRPr="00183482" w:rsidRDefault="00764323" w:rsidP="00063746">
      <w:pPr>
        <w:pStyle w:val="BodyA"/>
        <w:tabs>
          <w:tab w:val="left" w:pos="540"/>
        </w:tabs>
        <w:ind w:left="75"/>
        <w:jc w:val="both"/>
        <w:rPr>
          <w:rFonts w:cs="Times New Roman"/>
          <w:sz w:val="22"/>
          <w:szCs w:val="22"/>
        </w:rPr>
      </w:pPr>
    </w:p>
    <w:p w14:paraId="70EAE590" w14:textId="52FEBD50" w:rsidR="00764323" w:rsidRPr="00183482" w:rsidRDefault="00764323" w:rsidP="00D12188">
      <w:pPr>
        <w:pStyle w:val="BodyA"/>
        <w:tabs>
          <w:tab w:val="left" w:pos="540"/>
        </w:tabs>
        <w:ind w:left="75"/>
        <w:rPr>
          <w:rFonts w:cs="Times New Roman"/>
          <w:sz w:val="22"/>
          <w:szCs w:val="22"/>
        </w:rPr>
      </w:pPr>
      <w:r w:rsidRPr="00183482">
        <w:rPr>
          <w:rFonts w:cs="Times New Roman"/>
          <w:sz w:val="22"/>
          <w:szCs w:val="22"/>
        </w:rPr>
        <w:t>◦   Education/Training:  FTCC is committed to helping educate others about the impact of traumatic</w:t>
      </w:r>
      <w:r w:rsidR="00501F2A" w:rsidRPr="00183482">
        <w:rPr>
          <w:rFonts w:cs="Times New Roman"/>
          <w:sz w:val="22"/>
          <w:szCs w:val="22"/>
        </w:rPr>
        <w:t xml:space="preserve"> </w:t>
      </w:r>
      <w:r w:rsidRPr="00183482">
        <w:rPr>
          <w:rFonts w:cs="Times New Roman"/>
          <w:sz w:val="22"/>
          <w:szCs w:val="22"/>
        </w:rPr>
        <w:t>events, and about treatment approaches that have been shown to be effective in reducing</w:t>
      </w:r>
      <w:r w:rsidR="000D7CFB" w:rsidRPr="00183482">
        <w:rPr>
          <w:rFonts w:cs="Times New Roman"/>
          <w:sz w:val="22"/>
          <w:szCs w:val="22"/>
        </w:rPr>
        <w:t xml:space="preserve"> </w:t>
      </w:r>
      <w:r w:rsidR="00640174">
        <w:rPr>
          <w:rFonts w:cs="Times New Roman"/>
          <w:sz w:val="22"/>
          <w:szCs w:val="22"/>
        </w:rPr>
        <w:t>challenges and stigma</w:t>
      </w:r>
      <w:r w:rsidRPr="00183482">
        <w:rPr>
          <w:rFonts w:cs="Times New Roman"/>
          <w:sz w:val="22"/>
          <w:szCs w:val="22"/>
        </w:rPr>
        <w:t>. FTCC offers presentations to community groups, advanced clinical trainings for</w:t>
      </w:r>
      <w:r w:rsidR="000D7CFB" w:rsidRPr="00183482">
        <w:rPr>
          <w:rFonts w:cs="Times New Roman"/>
          <w:sz w:val="22"/>
          <w:szCs w:val="22"/>
        </w:rPr>
        <w:t xml:space="preserve"> </w:t>
      </w:r>
      <w:r w:rsidRPr="00183482">
        <w:rPr>
          <w:rFonts w:cs="Times New Roman"/>
          <w:sz w:val="22"/>
          <w:szCs w:val="22"/>
        </w:rPr>
        <w:t>health professionals, and mentoring to graduate students and therapists.  When using real-life situations to illustrate training concepts, FTCC omits your personal information,</w:t>
      </w:r>
      <w:r w:rsidR="000D7CFB" w:rsidRPr="00183482">
        <w:rPr>
          <w:rFonts w:cs="Times New Roman"/>
          <w:sz w:val="22"/>
          <w:szCs w:val="22"/>
        </w:rPr>
        <w:t xml:space="preserve"> </w:t>
      </w:r>
      <w:r w:rsidRPr="00183482">
        <w:rPr>
          <w:rFonts w:cs="Times New Roman"/>
          <w:sz w:val="22"/>
          <w:szCs w:val="22"/>
        </w:rPr>
        <w:t>to maintain your privacy.</w:t>
      </w:r>
      <w:r w:rsidRPr="00183482">
        <w:rPr>
          <w:rFonts w:cs="Times New Roman"/>
          <w:color w:val="5F5F5F"/>
          <w:spacing w:val="20"/>
          <w:sz w:val="22"/>
          <w:szCs w:val="22"/>
          <w:u w:color="5F5F5F"/>
        </w:rPr>
        <w:t xml:space="preserve">   </w:t>
      </w:r>
    </w:p>
    <w:p w14:paraId="7E75C570" w14:textId="77777777" w:rsidR="00764323" w:rsidRPr="00183482" w:rsidRDefault="00764323" w:rsidP="00764323">
      <w:pPr>
        <w:pStyle w:val="BodyA"/>
        <w:tabs>
          <w:tab w:val="left" w:pos="540"/>
        </w:tabs>
        <w:ind w:left="720"/>
        <w:jc w:val="both"/>
        <w:rPr>
          <w:rFonts w:cs="Times New Roman"/>
          <w:sz w:val="22"/>
          <w:szCs w:val="22"/>
        </w:rPr>
      </w:pPr>
    </w:p>
    <w:p w14:paraId="07244AE8" w14:textId="77777777" w:rsidR="00764323" w:rsidRPr="00183482" w:rsidRDefault="00764323" w:rsidP="000D7CFB">
      <w:pPr>
        <w:pStyle w:val="BodyA"/>
        <w:numPr>
          <w:ilvl w:val="0"/>
          <w:numId w:val="4"/>
        </w:numPr>
        <w:rPr>
          <w:rFonts w:cs="Times New Roman"/>
          <w:sz w:val="22"/>
          <w:szCs w:val="22"/>
        </w:rPr>
      </w:pPr>
      <w:r w:rsidRPr="00183482">
        <w:rPr>
          <w:rFonts w:cs="Times New Roman"/>
          <w:sz w:val="22"/>
          <w:szCs w:val="22"/>
        </w:rPr>
        <w:t>As Required by Law:  FTCC may use or disclose your personal information when required by</w:t>
      </w:r>
    </w:p>
    <w:p w14:paraId="165A6B71" w14:textId="1206ED0C" w:rsidR="00764323" w:rsidRPr="00183482" w:rsidRDefault="00764323" w:rsidP="000D7CFB">
      <w:pPr>
        <w:pStyle w:val="BodyA"/>
        <w:tabs>
          <w:tab w:val="left" w:pos="540"/>
        </w:tabs>
        <w:ind w:left="75"/>
        <w:rPr>
          <w:rFonts w:cs="Times New Roman"/>
          <w:sz w:val="22"/>
          <w:szCs w:val="22"/>
        </w:rPr>
      </w:pPr>
      <w:r w:rsidRPr="00183482">
        <w:rPr>
          <w:rFonts w:cs="Times New Roman"/>
          <w:sz w:val="22"/>
          <w:szCs w:val="22"/>
        </w:rPr>
        <w:t>federal, state or local law.  For example, FTCC may disclose personal information to a health</w:t>
      </w:r>
    </w:p>
    <w:p w14:paraId="25D89AA1" w14:textId="104EB392" w:rsidR="00764323" w:rsidRPr="00183482" w:rsidRDefault="00764323" w:rsidP="000D7CFB">
      <w:pPr>
        <w:pStyle w:val="BodyA"/>
        <w:tabs>
          <w:tab w:val="left" w:pos="540"/>
        </w:tabs>
        <w:ind w:left="75"/>
        <w:rPr>
          <w:rFonts w:cs="Times New Roman"/>
          <w:sz w:val="22"/>
          <w:szCs w:val="22"/>
        </w:rPr>
      </w:pPr>
      <w:r w:rsidRPr="00183482">
        <w:rPr>
          <w:rFonts w:cs="Times New Roman"/>
          <w:sz w:val="22"/>
          <w:szCs w:val="22"/>
        </w:rPr>
        <w:t>oversight agency, for activities such as audits, investigations, or related to licensure.  Personal</w:t>
      </w:r>
    </w:p>
    <w:p w14:paraId="79507C3D" w14:textId="19E54E89" w:rsidR="00764323" w:rsidRPr="00183482" w:rsidRDefault="00764323" w:rsidP="001D590A">
      <w:pPr>
        <w:pStyle w:val="BodyA"/>
        <w:tabs>
          <w:tab w:val="left" w:pos="540"/>
        </w:tabs>
        <w:ind w:left="75"/>
        <w:rPr>
          <w:rFonts w:cs="Times New Roman"/>
          <w:sz w:val="22"/>
          <w:szCs w:val="22"/>
        </w:rPr>
      </w:pPr>
      <w:r w:rsidRPr="00183482">
        <w:rPr>
          <w:rFonts w:cs="Times New Roman"/>
          <w:sz w:val="22"/>
          <w:szCs w:val="22"/>
        </w:rPr>
        <w:t xml:space="preserve">information may also be disclosed in response to a court order or subpoena, or to law enforcement officials during certain investigations. </w:t>
      </w:r>
    </w:p>
    <w:p w14:paraId="1FBB2F2B" w14:textId="77777777" w:rsidR="00764323" w:rsidRPr="00183482" w:rsidRDefault="00764323" w:rsidP="000D7CFB">
      <w:pPr>
        <w:pStyle w:val="BodyA"/>
        <w:tabs>
          <w:tab w:val="left" w:pos="540"/>
        </w:tabs>
        <w:ind w:left="75"/>
        <w:rPr>
          <w:rFonts w:cs="Times New Roman"/>
          <w:sz w:val="22"/>
          <w:szCs w:val="22"/>
        </w:rPr>
      </w:pPr>
    </w:p>
    <w:p w14:paraId="6B0D4A87" w14:textId="77777777" w:rsidR="00764323" w:rsidRPr="00183482" w:rsidRDefault="00764323" w:rsidP="001D590A">
      <w:pPr>
        <w:pStyle w:val="BodyA"/>
        <w:numPr>
          <w:ilvl w:val="0"/>
          <w:numId w:val="4"/>
        </w:numPr>
        <w:jc w:val="both"/>
        <w:rPr>
          <w:rFonts w:cs="Times New Roman"/>
          <w:sz w:val="22"/>
          <w:szCs w:val="22"/>
        </w:rPr>
      </w:pPr>
      <w:r w:rsidRPr="00183482">
        <w:rPr>
          <w:rFonts w:cs="Times New Roman"/>
          <w:sz w:val="22"/>
          <w:szCs w:val="22"/>
        </w:rPr>
        <w:t>Public Health and Safety:  FTCC may disclose personal information about you to the extent</w:t>
      </w:r>
    </w:p>
    <w:p w14:paraId="77F108F0" w14:textId="38511B20" w:rsidR="00764323" w:rsidRPr="00183482" w:rsidRDefault="00764323" w:rsidP="001D590A">
      <w:pPr>
        <w:pStyle w:val="BodyA"/>
        <w:tabs>
          <w:tab w:val="left" w:pos="540"/>
        </w:tabs>
        <w:ind w:left="75"/>
        <w:jc w:val="both"/>
        <w:rPr>
          <w:rFonts w:cs="Times New Roman"/>
          <w:sz w:val="22"/>
          <w:szCs w:val="22"/>
        </w:rPr>
      </w:pPr>
      <w:r w:rsidRPr="00183482">
        <w:rPr>
          <w:rFonts w:cs="Times New Roman"/>
          <w:sz w:val="22"/>
          <w:szCs w:val="22"/>
        </w:rPr>
        <w:t>necessary to avert a serious and imminent threat to your health or safety or the health or</w:t>
      </w:r>
    </w:p>
    <w:p w14:paraId="74F0CE9A" w14:textId="4CB9C9DE" w:rsidR="00764323" w:rsidRPr="00183482" w:rsidRDefault="00764323" w:rsidP="001D590A">
      <w:pPr>
        <w:pStyle w:val="BodyA"/>
        <w:tabs>
          <w:tab w:val="left" w:pos="540"/>
        </w:tabs>
        <w:ind w:left="75"/>
        <w:jc w:val="both"/>
        <w:rPr>
          <w:rFonts w:cs="Times New Roman"/>
          <w:sz w:val="22"/>
          <w:szCs w:val="22"/>
        </w:rPr>
      </w:pPr>
      <w:r w:rsidRPr="00183482">
        <w:rPr>
          <w:rFonts w:cs="Times New Roman"/>
          <w:sz w:val="22"/>
          <w:szCs w:val="22"/>
        </w:rPr>
        <w:t>safety of others.</w:t>
      </w:r>
    </w:p>
    <w:p w14:paraId="5532EE0B" w14:textId="77777777" w:rsidR="00764323" w:rsidRPr="00183482" w:rsidRDefault="00764323" w:rsidP="00764323">
      <w:pPr>
        <w:pStyle w:val="BodyA"/>
        <w:tabs>
          <w:tab w:val="left" w:pos="540"/>
        </w:tabs>
        <w:ind w:left="75"/>
        <w:jc w:val="both"/>
        <w:rPr>
          <w:rFonts w:cs="Times New Roman"/>
          <w:sz w:val="22"/>
          <w:szCs w:val="22"/>
        </w:rPr>
      </w:pPr>
    </w:p>
    <w:p w14:paraId="1DE2FED4" w14:textId="77777777" w:rsidR="00764323" w:rsidRPr="00183482" w:rsidRDefault="00764323" w:rsidP="00764323">
      <w:pPr>
        <w:pStyle w:val="BodyA"/>
        <w:tabs>
          <w:tab w:val="left" w:pos="540"/>
        </w:tabs>
        <w:ind w:left="75"/>
        <w:jc w:val="both"/>
        <w:rPr>
          <w:rFonts w:cs="Times New Roman"/>
          <w:sz w:val="22"/>
          <w:szCs w:val="22"/>
        </w:rPr>
      </w:pPr>
      <w:r w:rsidRPr="00183482">
        <w:rPr>
          <w:rFonts w:cs="Times New Roman"/>
          <w:sz w:val="22"/>
          <w:szCs w:val="22"/>
        </w:rPr>
        <w:t>For all other purposes, FTCC will request your specific authorization in writing, which you may grant or reject.  If granted, the authorization remains in effect for ninety (90) days, although you can revoke it at any time.</w:t>
      </w:r>
    </w:p>
    <w:p w14:paraId="2856D4E6" w14:textId="77777777" w:rsidR="00764323" w:rsidRPr="00183482" w:rsidRDefault="00764323" w:rsidP="00764323">
      <w:pPr>
        <w:pStyle w:val="BodyA"/>
        <w:tabs>
          <w:tab w:val="left" w:pos="540"/>
        </w:tabs>
        <w:jc w:val="both"/>
        <w:rPr>
          <w:rFonts w:cs="Times New Roman"/>
          <w:sz w:val="22"/>
          <w:szCs w:val="22"/>
        </w:rPr>
      </w:pPr>
    </w:p>
    <w:p w14:paraId="263232C7" w14:textId="77777777" w:rsidR="00764323" w:rsidRPr="00183482" w:rsidRDefault="00764323" w:rsidP="00764323">
      <w:pPr>
        <w:pStyle w:val="BodyA"/>
        <w:tabs>
          <w:tab w:val="left" w:pos="540"/>
        </w:tabs>
        <w:jc w:val="both"/>
        <w:rPr>
          <w:rFonts w:cs="Times New Roman"/>
          <w:sz w:val="22"/>
          <w:szCs w:val="22"/>
        </w:rPr>
      </w:pPr>
      <w:r w:rsidRPr="00183482">
        <w:rPr>
          <w:rFonts w:cs="Times New Roman"/>
          <w:sz w:val="22"/>
          <w:szCs w:val="22"/>
        </w:rPr>
        <w:t>YOUR RIGHTS REGARDING PERSONAL INFORMATION</w:t>
      </w:r>
    </w:p>
    <w:p w14:paraId="6ED2D11C" w14:textId="77777777" w:rsidR="00764323" w:rsidRPr="00183482" w:rsidRDefault="00764323" w:rsidP="00764323">
      <w:pPr>
        <w:pStyle w:val="BodyA"/>
        <w:tabs>
          <w:tab w:val="left" w:pos="540"/>
        </w:tabs>
        <w:jc w:val="both"/>
        <w:rPr>
          <w:rFonts w:cs="Times New Roman"/>
          <w:sz w:val="22"/>
          <w:szCs w:val="22"/>
        </w:rPr>
      </w:pPr>
    </w:p>
    <w:p w14:paraId="28AD10B1" w14:textId="77777777" w:rsidR="00764323" w:rsidRPr="00183482" w:rsidRDefault="00764323" w:rsidP="00764323">
      <w:pPr>
        <w:pStyle w:val="BodyA"/>
        <w:tabs>
          <w:tab w:val="left" w:pos="540"/>
        </w:tabs>
        <w:jc w:val="both"/>
        <w:rPr>
          <w:rFonts w:cs="Times New Roman"/>
          <w:sz w:val="22"/>
          <w:szCs w:val="22"/>
        </w:rPr>
      </w:pPr>
      <w:r w:rsidRPr="00183482">
        <w:rPr>
          <w:rFonts w:cs="Times New Roman"/>
          <w:sz w:val="22"/>
          <w:szCs w:val="22"/>
        </w:rPr>
        <w:t>You have the following rights regarding personal information that we maintain about you:</w:t>
      </w:r>
    </w:p>
    <w:p w14:paraId="126610F9" w14:textId="77777777" w:rsidR="00764323" w:rsidRPr="00183482" w:rsidRDefault="00764323" w:rsidP="00764323">
      <w:pPr>
        <w:pStyle w:val="BodyA"/>
        <w:tabs>
          <w:tab w:val="left" w:pos="540"/>
        </w:tabs>
        <w:jc w:val="both"/>
        <w:rPr>
          <w:rFonts w:cs="Times New Roman"/>
          <w:sz w:val="22"/>
          <w:szCs w:val="22"/>
        </w:rPr>
      </w:pPr>
    </w:p>
    <w:p w14:paraId="260ADAA0" w14:textId="3BF671CD" w:rsidR="00764323" w:rsidRPr="00183482" w:rsidRDefault="00764323" w:rsidP="00D12188">
      <w:pPr>
        <w:pStyle w:val="BodyA"/>
        <w:numPr>
          <w:ilvl w:val="0"/>
          <w:numId w:val="4"/>
        </w:numPr>
        <w:jc w:val="both"/>
        <w:rPr>
          <w:rFonts w:cs="Times New Roman"/>
          <w:sz w:val="22"/>
          <w:szCs w:val="22"/>
        </w:rPr>
      </w:pPr>
      <w:r w:rsidRPr="00183482">
        <w:rPr>
          <w:rFonts w:cs="Times New Roman"/>
          <w:sz w:val="22"/>
          <w:szCs w:val="22"/>
        </w:rPr>
        <w:t>Inspection:  You have the right to request inspection and to receive a copy of a record of your</w:t>
      </w:r>
      <w:r w:rsidR="00D12188" w:rsidRPr="00183482">
        <w:rPr>
          <w:rFonts w:cs="Times New Roman"/>
          <w:sz w:val="22"/>
          <w:szCs w:val="22"/>
        </w:rPr>
        <w:t xml:space="preserve"> </w:t>
      </w:r>
      <w:r w:rsidRPr="00183482">
        <w:rPr>
          <w:rFonts w:cs="Times New Roman"/>
          <w:sz w:val="22"/>
          <w:szCs w:val="22"/>
        </w:rPr>
        <w:t>personal information.</w:t>
      </w:r>
    </w:p>
    <w:p w14:paraId="0971F808" w14:textId="77777777" w:rsidR="00764323" w:rsidRPr="00183482" w:rsidRDefault="00764323" w:rsidP="00764323">
      <w:pPr>
        <w:pStyle w:val="BodyA"/>
        <w:tabs>
          <w:tab w:val="left" w:pos="540"/>
        </w:tabs>
        <w:ind w:left="75"/>
        <w:jc w:val="both"/>
        <w:rPr>
          <w:rFonts w:cs="Times New Roman"/>
          <w:sz w:val="22"/>
          <w:szCs w:val="22"/>
        </w:rPr>
      </w:pPr>
    </w:p>
    <w:p w14:paraId="15E2A726" w14:textId="23220379" w:rsidR="00764323" w:rsidRPr="00183482" w:rsidRDefault="00764323" w:rsidP="001A2191">
      <w:pPr>
        <w:pStyle w:val="BodyA"/>
        <w:numPr>
          <w:ilvl w:val="0"/>
          <w:numId w:val="4"/>
        </w:numPr>
        <w:jc w:val="both"/>
        <w:rPr>
          <w:rFonts w:cs="Times New Roman"/>
          <w:sz w:val="22"/>
          <w:szCs w:val="22"/>
        </w:rPr>
      </w:pPr>
      <w:r w:rsidRPr="00183482">
        <w:rPr>
          <w:rFonts w:cs="Times New Roman"/>
          <w:sz w:val="22"/>
          <w:szCs w:val="22"/>
        </w:rPr>
        <w:t>Amendment:  If you feel the personal information that FTCC maintains about you is incorrect or</w:t>
      </w:r>
      <w:r w:rsidR="001A2191" w:rsidRPr="00183482">
        <w:rPr>
          <w:rFonts w:cs="Times New Roman"/>
          <w:sz w:val="22"/>
          <w:szCs w:val="22"/>
        </w:rPr>
        <w:t xml:space="preserve"> </w:t>
      </w:r>
      <w:r w:rsidRPr="00183482">
        <w:rPr>
          <w:rFonts w:cs="Times New Roman"/>
          <w:sz w:val="22"/>
          <w:szCs w:val="22"/>
        </w:rPr>
        <w:t>incomplete, you have the right to request amendment to it.</w:t>
      </w:r>
    </w:p>
    <w:p w14:paraId="33330BC9" w14:textId="77777777" w:rsidR="00764323" w:rsidRPr="00183482" w:rsidRDefault="00764323" w:rsidP="00764323">
      <w:pPr>
        <w:pStyle w:val="BodyA"/>
        <w:tabs>
          <w:tab w:val="left" w:pos="540"/>
        </w:tabs>
        <w:ind w:left="75"/>
        <w:jc w:val="both"/>
        <w:rPr>
          <w:rFonts w:cs="Times New Roman"/>
          <w:sz w:val="22"/>
          <w:szCs w:val="22"/>
        </w:rPr>
      </w:pPr>
    </w:p>
    <w:p w14:paraId="7128ABF6" w14:textId="7DACFA9B" w:rsidR="00764323" w:rsidRPr="00183482" w:rsidRDefault="00764323" w:rsidP="001A2191">
      <w:pPr>
        <w:pStyle w:val="BodyA"/>
        <w:numPr>
          <w:ilvl w:val="0"/>
          <w:numId w:val="4"/>
        </w:numPr>
        <w:jc w:val="both"/>
        <w:rPr>
          <w:rFonts w:cs="Times New Roman"/>
          <w:sz w:val="22"/>
          <w:szCs w:val="22"/>
        </w:rPr>
      </w:pPr>
      <w:r w:rsidRPr="00183482">
        <w:rPr>
          <w:rFonts w:cs="Times New Roman"/>
          <w:sz w:val="22"/>
          <w:szCs w:val="22"/>
        </w:rPr>
        <w:t>Restriction Request:  You have the right to request a restriction or limitation on the personal</w:t>
      </w:r>
      <w:r w:rsidR="00D43C67" w:rsidRPr="00183482">
        <w:rPr>
          <w:rFonts w:cs="Times New Roman"/>
          <w:sz w:val="22"/>
          <w:szCs w:val="22"/>
        </w:rPr>
        <w:t xml:space="preserve"> </w:t>
      </w:r>
      <w:r w:rsidRPr="00183482">
        <w:rPr>
          <w:rFonts w:cs="Times New Roman"/>
          <w:sz w:val="22"/>
          <w:szCs w:val="22"/>
        </w:rPr>
        <w:t>information FTCC discloses about you for treatment, payment or coordination of your care.  You also have the right to have disclosures of psychotherapy notes and marketing disclosures only on the basis of an authorization signed by you.</w:t>
      </w:r>
    </w:p>
    <w:p w14:paraId="405A00D7" w14:textId="77777777" w:rsidR="00764323" w:rsidRPr="00183482" w:rsidRDefault="00764323" w:rsidP="00764323">
      <w:pPr>
        <w:pStyle w:val="BodyA"/>
        <w:tabs>
          <w:tab w:val="left" w:pos="540"/>
        </w:tabs>
        <w:ind w:left="75"/>
        <w:jc w:val="both"/>
        <w:rPr>
          <w:rFonts w:cs="Times New Roman"/>
          <w:sz w:val="22"/>
          <w:szCs w:val="22"/>
        </w:rPr>
      </w:pPr>
    </w:p>
    <w:p w14:paraId="25951603" w14:textId="54514417" w:rsidR="00764323" w:rsidRPr="00183482" w:rsidRDefault="00764323" w:rsidP="00D43C67">
      <w:pPr>
        <w:pStyle w:val="BodyA"/>
        <w:numPr>
          <w:ilvl w:val="0"/>
          <w:numId w:val="4"/>
        </w:numPr>
        <w:jc w:val="both"/>
        <w:rPr>
          <w:rFonts w:cs="Times New Roman"/>
          <w:sz w:val="22"/>
          <w:szCs w:val="22"/>
        </w:rPr>
      </w:pPr>
      <w:r w:rsidRPr="00183482">
        <w:rPr>
          <w:rFonts w:cs="Times New Roman"/>
          <w:sz w:val="22"/>
          <w:szCs w:val="22"/>
        </w:rPr>
        <w:t>Confidential Communications:  You have the right to request that FTCC communicate with</w:t>
      </w:r>
      <w:r w:rsidR="00D43C67" w:rsidRPr="00183482">
        <w:rPr>
          <w:rFonts w:cs="Times New Roman"/>
          <w:sz w:val="22"/>
          <w:szCs w:val="22"/>
        </w:rPr>
        <w:t xml:space="preserve"> </w:t>
      </w:r>
      <w:r w:rsidRPr="00183482">
        <w:rPr>
          <w:rFonts w:cs="Times New Roman"/>
          <w:sz w:val="22"/>
          <w:szCs w:val="22"/>
        </w:rPr>
        <w:t>you about your treatment at a location that assures utmost privacy.  For example, you may</w:t>
      </w:r>
      <w:r w:rsidR="00D43C67" w:rsidRPr="00183482">
        <w:rPr>
          <w:rFonts w:cs="Times New Roman"/>
          <w:sz w:val="22"/>
          <w:szCs w:val="22"/>
        </w:rPr>
        <w:t xml:space="preserve"> </w:t>
      </w:r>
      <w:r w:rsidRPr="00183482">
        <w:rPr>
          <w:rFonts w:cs="Times New Roman"/>
          <w:sz w:val="22"/>
          <w:szCs w:val="22"/>
        </w:rPr>
        <w:t>ask that FTCC only contact you at your work address/phone.</w:t>
      </w:r>
    </w:p>
    <w:p w14:paraId="637A33ED" w14:textId="77777777" w:rsidR="00764323" w:rsidRPr="00183482" w:rsidRDefault="00764323" w:rsidP="00764323">
      <w:pPr>
        <w:pStyle w:val="BodyA"/>
        <w:tabs>
          <w:tab w:val="left" w:pos="540"/>
        </w:tabs>
        <w:ind w:left="75"/>
        <w:jc w:val="both"/>
        <w:rPr>
          <w:rFonts w:cs="Times New Roman"/>
          <w:sz w:val="22"/>
          <w:szCs w:val="22"/>
        </w:rPr>
      </w:pPr>
    </w:p>
    <w:p w14:paraId="3D2EF6B9" w14:textId="4B554B18" w:rsidR="00764323" w:rsidRPr="00183482" w:rsidRDefault="00764323" w:rsidP="006E38B5">
      <w:pPr>
        <w:pStyle w:val="BodyA"/>
        <w:numPr>
          <w:ilvl w:val="0"/>
          <w:numId w:val="4"/>
        </w:numPr>
        <w:jc w:val="both"/>
        <w:rPr>
          <w:rFonts w:cs="Times New Roman"/>
          <w:sz w:val="22"/>
          <w:szCs w:val="22"/>
        </w:rPr>
      </w:pPr>
      <w:r w:rsidRPr="00183482">
        <w:rPr>
          <w:rFonts w:cs="Times New Roman"/>
          <w:sz w:val="22"/>
          <w:szCs w:val="22"/>
        </w:rPr>
        <w:t>Accounting of Disclosures:  You have the right to an accounting of disclosures FTCC has made.</w:t>
      </w:r>
      <w:r w:rsidR="006E38B5" w:rsidRPr="00183482">
        <w:rPr>
          <w:rFonts w:cs="Times New Roman"/>
          <w:sz w:val="22"/>
          <w:szCs w:val="22"/>
        </w:rPr>
        <w:t xml:space="preserve"> </w:t>
      </w:r>
      <w:r w:rsidRPr="00183482">
        <w:rPr>
          <w:rFonts w:cs="Times New Roman"/>
          <w:sz w:val="22"/>
          <w:szCs w:val="22"/>
        </w:rPr>
        <w:t>The first list you request within a 12-month period will be free.  For additional lists, FTCC may</w:t>
      </w:r>
      <w:r w:rsidR="006E38B5" w:rsidRPr="00183482">
        <w:rPr>
          <w:rFonts w:cs="Times New Roman"/>
          <w:sz w:val="22"/>
          <w:szCs w:val="22"/>
        </w:rPr>
        <w:t xml:space="preserve"> </w:t>
      </w:r>
      <w:r w:rsidRPr="00183482">
        <w:rPr>
          <w:rFonts w:cs="Times New Roman"/>
          <w:sz w:val="22"/>
          <w:szCs w:val="22"/>
        </w:rPr>
        <w:t>charge you a reasonable fee to cover copying and supply costs.  All of these requests must be</w:t>
      </w:r>
      <w:r w:rsidR="006E38B5" w:rsidRPr="00183482">
        <w:rPr>
          <w:rFonts w:cs="Times New Roman"/>
          <w:sz w:val="22"/>
          <w:szCs w:val="22"/>
        </w:rPr>
        <w:t xml:space="preserve"> </w:t>
      </w:r>
      <w:r w:rsidRPr="00183482">
        <w:rPr>
          <w:rFonts w:cs="Times New Roman"/>
          <w:sz w:val="22"/>
          <w:szCs w:val="22"/>
        </w:rPr>
        <w:t>made in writing.  FTCC will inform you in the event of a privacy breach.</w:t>
      </w:r>
    </w:p>
    <w:p w14:paraId="4DBBDF10" w14:textId="77777777" w:rsidR="00764323" w:rsidRPr="00183482" w:rsidRDefault="00764323" w:rsidP="00764323">
      <w:pPr>
        <w:pStyle w:val="BodyA"/>
        <w:tabs>
          <w:tab w:val="left" w:pos="540"/>
        </w:tabs>
        <w:jc w:val="both"/>
        <w:rPr>
          <w:rFonts w:cs="Times New Roman"/>
          <w:sz w:val="22"/>
          <w:szCs w:val="22"/>
        </w:rPr>
      </w:pPr>
    </w:p>
    <w:p w14:paraId="3B694A12" w14:textId="77777777" w:rsidR="00764323" w:rsidRPr="00183482" w:rsidRDefault="00764323" w:rsidP="00764323">
      <w:pPr>
        <w:pStyle w:val="BodyA"/>
        <w:tabs>
          <w:tab w:val="left" w:pos="540"/>
        </w:tabs>
        <w:ind w:left="75"/>
        <w:jc w:val="both"/>
        <w:rPr>
          <w:rFonts w:cs="Times New Roman"/>
          <w:sz w:val="22"/>
          <w:szCs w:val="22"/>
          <w:lang w:val="pt-PT"/>
        </w:rPr>
      </w:pPr>
      <w:r w:rsidRPr="00183482">
        <w:rPr>
          <w:rFonts w:cs="Times New Roman"/>
          <w:sz w:val="22"/>
          <w:szCs w:val="22"/>
          <w:lang w:val="pt-PT"/>
        </w:rPr>
        <w:t>LIMITS TO PRIVACY</w:t>
      </w:r>
    </w:p>
    <w:p w14:paraId="514B6589" w14:textId="77777777" w:rsidR="00764323" w:rsidRPr="00183482" w:rsidRDefault="00764323" w:rsidP="00764323">
      <w:pPr>
        <w:pStyle w:val="BodyA"/>
        <w:tabs>
          <w:tab w:val="left" w:pos="540"/>
        </w:tabs>
        <w:ind w:left="75"/>
        <w:jc w:val="both"/>
        <w:rPr>
          <w:rFonts w:cs="Times New Roman"/>
          <w:sz w:val="22"/>
          <w:szCs w:val="22"/>
        </w:rPr>
      </w:pPr>
    </w:p>
    <w:p w14:paraId="5483202B" w14:textId="77777777" w:rsidR="00764323" w:rsidRPr="00183482" w:rsidRDefault="00764323" w:rsidP="00764323">
      <w:pPr>
        <w:pStyle w:val="BodyA"/>
        <w:tabs>
          <w:tab w:val="left" w:pos="540"/>
        </w:tabs>
        <w:ind w:left="75"/>
        <w:jc w:val="both"/>
        <w:rPr>
          <w:rFonts w:cs="Times New Roman"/>
          <w:sz w:val="22"/>
          <w:szCs w:val="22"/>
        </w:rPr>
      </w:pPr>
      <w:r w:rsidRPr="00183482">
        <w:rPr>
          <w:rFonts w:cs="Times New Roman"/>
          <w:sz w:val="22"/>
          <w:szCs w:val="22"/>
        </w:rPr>
        <w:lastRenderedPageBreak/>
        <w:t xml:space="preserve">In this digital age, people are communicating using many forms of technology, some of which are </w:t>
      </w:r>
      <w:r w:rsidRPr="00183482">
        <w:rPr>
          <w:rFonts w:cs="Times New Roman"/>
          <w:b/>
          <w:bCs/>
          <w:i/>
          <w:iCs/>
          <w:sz w:val="22"/>
          <w:szCs w:val="22"/>
        </w:rPr>
        <w:t>not</w:t>
      </w:r>
      <w:r w:rsidRPr="00183482">
        <w:rPr>
          <w:rFonts w:cs="Times New Roman"/>
          <w:b/>
          <w:bCs/>
          <w:sz w:val="22"/>
          <w:szCs w:val="22"/>
        </w:rPr>
        <w:t xml:space="preserve"> </w:t>
      </w:r>
      <w:r w:rsidRPr="00183482">
        <w:rPr>
          <w:rFonts w:cs="Times New Roman"/>
          <w:sz w:val="22"/>
          <w:szCs w:val="22"/>
        </w:rPr>
        <w:t xml:space="preserve">100% secure.  Email, Skype, and text are not immune from breaches, even when your provider at FTCC takes the utmost care in protecting your privacy.  Therefore, if you relay personal information with FTCC via these forms of communications, </w:t>
      </w:r>
      <w:r w:rsidRPr="00183482">
        <w:rPr>
          <w:rFonts w:cs="Times New Roman"/>
          <w:b/>
          <w:bCs/>
          <w:i/>
          <w:iCs/>
          <w:sz w:val="22"/>
          <w:szCs w:val="22"/>
        </w:rPr>
        <w:t>please be aware that you do so at your own risk</w:t>
      </w:r>
      <w:r w:rsidRPr="00183482">
        <w:rPr>
          <w:rFonts w:cs="Times New Roman"/>
          <w:sz w:val="22"/>
          <w:szCs w:val="22"/>
        </w:rPr>
        <w:t xml:space="preserve">.  If you would prefer to </w:t>
      </w:r>
      <w:r w:rsidRPr="00183482">
        <w:rPr>
          <w:rFonts w:cs="Times New Roman"/>
          <w:i/>
          <w:iCs/>
          <w:sz w:val="22"/>
          <w:szCs w:val="22"/>
        </w:rPr>
        <w:t xml:space="preserve">not </w:t>
      </w:r>
      <w:r w:rsidRPr="00183482">
        <w:rPr>
          <w:rFonts w:cs="Times New Roman"/>
          <w:sz w:val="22"/>
          <w:szCs w:val="22"/>
        </w:rPr>
        <w:t>communicate with FTCC via these means, please let your therapist know.</w:t>
      </w:r>
    </w:p>
    <w:p w14:paraId="457604F0" w14:textId="77777777" w:rsidR="00764323" w:rsidRPr="00183482" w:rsidRDefault="00764323" w:rsidP="00764323">
      <w:pPr>
        <w:pStyle w:val="BodyA"/>
        <w:tabs>
          <w:tab w:val="left" w:pos="540"/>
        </w:tabs>
        <w:ind w:left="75"/>
        <w:jc w:val="both"/>
        <w:rPr>
          <w:rFonts w:cs="Times New Roman"/>
          <w:sz w:val="22"/>
          <w:szCs w:val="22"/>
        </w:rPr>
      </w:pPr>
    </w:p>
    <w:p w14:paraId="5BA83391" w14:textId="77777777" w:rsidR="00764323" w:rsidRPr="00183482" w:rsidRDefault="00764323" w:rsidP="00764323">
      <w:pPr>
        <w:pStyle w:val="BodyA"/>
        <w:tabs>
          <w:tab w:val="left" w:pos="540"/>
        </w:tabs>
        <w:ind w:left="75"/>
        <w:jc w:val="both"/>
        <w:rPr>
          <w:rFonts w:cs="Times New Roman"/>
          <w:sz w:val="22"/>
          <w:szCs w:val="22"/>
        </w:rPr>
      </w:pPr>
      <w:r w:rsidRPr="00183482">
        <w:rPr>
          <w:rFonts w:cs="Times New Roman"/>
          <w:sz w:val="22"/>
          <w:szCs w:val="22"/>
        </w:rPr>
        <w:t>REPORTING A PROBLEM</w:t>
      </w:r>
    </w:p>
    <w:p w14:paraId="5ECF2D59" w14:textId="77777777" w:rsidR="00764323" w:rsidRPr="00183482" w:rsidRDefault="00764323" w:rsidP="00764323">
      <w:pPr>
        <w:pStyle w:val="BodyA"/>
        <w:tabs>
          <w:tab w:val="left" w:pos="540"/>
        </w:tabs>
        <w:ind w:left="75"/>
        <w:jc w:val="both"/>
        <w:rPr>
          <w:rFonts w:cs="Times New Roman"/>
          <w:sz w:val="22"/>
          <w:szCs w:val="22"/>
        </w:rPr>
      </w:pPr>
    </w:p>
    <w:p w14:paraId="4D0B89D8" w14:textId="77777777" w:rsidR="00764323" w:rsidRPr="00183482" w:rsidRDefault="00764323" w:rsidP="00764323">
      <w:pPr>
        <w:pStyle w:val="BodyA"/>
        <w:tabs>
          <w:tab w:val="left" w:pos="540"/>
        </w:tabs>
        <w:ind w:left="75"/>
        <w:jc w:val="both"/>
        <w:rPr>
          <w:rFonts w:cs="Times New Roman"/>
          <w:sz w:val="22"/>
          <w:szCs w:val="22"/>
        </w:rPr>
      </w:pPr>
      <w:r w:rsidRPr="00183482">
        <w:rPr>
          <w:rFonts w:cs="Times New Roman"/>
          <w:sz w:val="22"/>
          <w:szCs w:val="22"/>
        </w:rPr>
        <w:t xml:space="preserve">If you believe your privacy rights have been violated, or if you disagree with a decision FTCC has made about a request, you may file a written complaint with FTCC or the Secretary of the Department of Health and Human Services (DHHS).  You will not be penalized in any way if you file a complaint about FTCC’s privacy practices. </w:t>
      </w:r>
    </w:p>
    <w:p w14:paraId="49B3194B" w14:textId="77777777" w:rsidR="00764323" w:rsidRPr="00183482" w:rsidRDefault="00764323" w:rsidP="008E5025">
      <w:pPr>
        <w:pStyle w:val="Default"/>
        <w:spacing w:before="0" w:after="240" w:line="440" w:lineRule="atLeast"/>
        <w:jc w:val="center"/>
        <w:rPr>
          <w:rFonts w:ascii="Times New Roman" w:hAnsi="Times New Roman" w:cs="Times New Roman"/>
          <w:sz w:val="22"/>
          <w:szCs w:val="22"/>
        </w:rPr>
      </w:pPr>
    </w:p>
    <w:p w14:paraId="084F4138" w14:textId="448F0DD7" w:rsidR="005856BA" w:rsidRPr="005935BF" w:rsidRDefault="00F05C33" w:rsidP="00665471">
      <w:pPr>
        <w:pStyle w:val="Default"/>
        <w:spacing w:before="0" w:after="373" w:line="440" w:lineRule="atLeast"/>
        <w:rPr>
          <w:rFonts w:ascii="Calibri" w:hAnsi="Calibri" w:cs="Calibri"/>
        </w:rPr>
      </w:pPr>
      <w:r>
        <w:rPr>
          <w:rFonts w:ascii="Times Roman" w:eastAsia="Times Roman" w:hAnsi="Times Roman" w:cs="Times Roman"/>
          <w:noProof/>
        </w:rPr>
        <w:drawing>
          <wp:inline distT="0" distB="0" distL="0" distR="0" wp14:anchorId="2DF9F907" wp14:editId="69D344A4">
            <wp:extent cx="5943474" cy="11151"/>
            <wp:effectExtent l="0" t="0" r="0" b="0"/>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8"/>
                    <a:stretch>
                      <a:fillRect/>
                    </a:stretch>
                  </pic:blipFill>
                  <pic:spPr>
                    <a:xfrm>
                      <a:off x="0" y="0"/>
                      <a:ext cx="5943474" cy="11151"/>
                    </a:xfrm>
                    <a:prstGeom prst="rect">
                      <a:avLst/>
                    </a:prstGeom>
                    <a:ln w="12700" cap="flat">
                      <a:noFill/>
                      <a:miter lim="400000"/>
                    </a:ln>
                    <a:effectLst/>
                  </pic:spPr>
                </pic:pic>
              </a:graphicData>
            </a:graphic>
          </wp:inline>
        </w:drawing>
      </w:r>
    </w:p>
    <w:sectPr w:rsidR="005856BA" w:rsidRPr="005935BF">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8218" w14:textId="77777777" w:rsidR="0049530B" w:rsidRDefault="0049530B">
      <w:r>
        <w:separator/>
      </w:r>
    </w:p>
  </w:endnote>
  <w:endnote w:type="continuationSeparator" w:id="0">
    <w:p w14:paraId="75196DE9" w14:textId="77777777" w:rsidR="0049530B" w:rsidRDefault="0049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Roman">
    <w:altName w:val="Times New Roman"/>
    <w:charset w:val="00"/>
    <w:family w:val="roman"/>
    <w:pitch w:val="default"/>
  </w:font>
  <w:font w:name="Helvetica">
    <w:panose1 w:val="020B0604020202020204"/>
    <w:charset w:val="00"/>
    <w:family w:val="roman"/>
    <w:pitch w:val="default"/>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FF76" w14:textId="77777777" w:rsidR="005856BA" w:rsidRDefault="005856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2DFB" w14:textId="77777777" w:rsidR="0049530B" w:rsidRDefault="0049530B">
      <w:r>
        <w:separator/>
      </w:r>
    </w:p>
  </w:footnote>
  <w:footnote w:type="continuationSeparator" w:id="0">
    <w:p w14:paraId="1FB6C104" w14:textId="77777777" w:rsidR="0049530B" w:rsidRDefault="00495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CDE8" w14:textId="77777777" w:rsidR="005856BA" w:rsidRDefault="005856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0A3"/>
    <w:multiLevelType w:val="hybridMultilevel"/>
    <w:tmpl w:val="A78894AC"/>
    <w:styleLink w:val="Bullet"/>
    <w:lvl w:ilvl="0" w:tplc="26AAC2CE">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B88561C">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DD2C9D3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E5AEE538">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48CE81DC">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6A4A07B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2E7E0A30">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2D6021C2">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6DA8378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 w15:restartNumberingAfterBreak="0">
    <w:nsid w:val="2FC66DD6"/>
    <w:multiLevelType w:val="hybridMultilevel"/>
    <w:tmpl w:val="0FBE5632"/>
    <w:numStyleLink w:val="ImportedStyle1"/>
  </w:abstractNum>
  <w:abstractNum w:abstractNumId="2" w15:restartNumberingAfterBreak="0">
    <w:nsid w:val="308812C1"/>
    <w:multiLevelType w:val="hybridMultilevel"/>
    <w:tmpl w:val="A78894AC"/>
    <w:numStyleLink w:val="Bullet"/>
  </w:abstractNum>
  <w:abstractNum w:abstractNumId="3" w15:restartNumberingAfterBreak="0">
    <w:nsid w:val="39411F7F"/>
    <w:multiLevelType w:val="hybridMultilevel"/>
    <w:tmpl w:val="0FBE5632"/>
    <w:styleLink w:val="ImportedStyle1"/>
    <w:lvl w:ilvl="0" w:tplc="1D244210">
      <w:start w:val="1"/>
      <w:numFmt w:val="bullet"/>
      <w:lvlText w:val="°"/>
      <w:lvlJc w:val="left"/>
      <w:pPr>
        <w:tabs>
          <w:tab w:val="left" w:pos="435"/>
          <w:tab w:val="left" w:pos="540"/>
        </w:tabs>
        <w:ind w:left="291"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388B500">
      <w:start w:val="1"/>
      <w:numFmt w:val="bullet"/>
      <w:lvlText w:val="o"/>
      <w:lvlJc w:val="left"/>
      <w:pPr>
        <w:tabs>
          <w:tab w:val="left" w:pos="435"/>
          <w:tab w:val="left" w:pos="540"/>
        </w:tabs>
        <w:ind w:left="1515"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BEE941C">
      <w:start w:val="1"/>
      <w:numFmt w:val="bullet"/>
      <w:lvlText w:val="▪"/>
      <w:lvlJc w:val="left"/>
      <w:pPr>
        <w:tabs>
          <w:tab w:val="left" w:pos="435"/>
          <w:tab w:val="left" w:pos="540"/>
        </w:tabs>
        <w:ind w:left="22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369254">
      <w:start w:val="1"/>
      <w:numFmt w:val="bullet"/>
      <w:lvlText w:val="•"/>
      <w:lvlJc w:val="left"/>
      <w:pPr>
        <w:tabs>
          <w:tab w:val="left" w:pos="435"/>
          <w:tab w:val="left" w:pos="540"/>
        </w:tabs>
        <w:ind w:left="2955"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AF064C0">
      <w:start w:val="1"/>
      <w:numFmt w:val="bullet"/>
      <w:lvlText w:val="o"/>
      <w:lvlJc w:val="left"/>
      <w:pPr>
        <w:tabs>
          <w:tab w:val="left" w:pos="435"/>
          <w:tab w:val="left" w:pos="540"/>
        </w:tabs>
        <w:ind w:left="3675"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A6C5C70">
      <w:start w:val="1"/>
      <w:numFmt w:val="bullet"/>
      <w:lvlText w:val="▪"/>
      <w:lvlJc w:val="left"/>
      <w:pPr>
        <w:tabs>
          <w:tab w:val="left" w:pos="435"/>
          <w:tab w:val="left" w:pos="540"/>
        </w:tabs>
        <w:ind w:left="43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B46732">
      <w:start w:val="1"/>
      <w:numFmt w:val="bullet"/>
      <w:lvlText w:val="•"/>
      <w:lvlJc w:val="left"/>
      <w:pPr>
        <w:tabs>
          <w:tab w:val="left" w:pos="435"/>
          <w:tab w:val="left" w:pos="540"/>
        </w:tabs>
        <w:ind w:left="5115"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4689B3E">
      <w:start w:val="1"/>
      <w:numFmt w:val="bullet"/>
      <w:lvlText w:val="o"/>
      <w:lvlJc w:val="left"/>
      <w:pPr>
        <w:tabs>
          <w:tab w:val="left" w:pos="435"/>
          <w:tab w:val="left" w:pos="540"/>
        </w:tabs>
        <w:ind w:left="5835"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1E6C286">
      <w:start w:val="1"/>
      <w:numFmt w:val="bullet"/>
      <w:lvlText w:val="▪"/>
      <w:lvlJc w:val="left"/>
      <w:pPr>
        <w:tabs>
          <w:tab w:val="left" w:pos="435"/>
          <w:tab w:val="left" w:pos="540"/>
        </w:tabs>
        <w:ind w:left="65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BA"/>
    <w:rsid w:val="000169B7"/>
    <w:rsid w:val="00063746"/>
    <w:rsid w:val="000D7CFB"/>
    <w:rsid w:val="000E1EAE"/>
    <w:rsid w:val="000E688E"/>
    <w:rsid w:val="00182252"/>
    <w:rsid w:val="00183482"/>
    <w:rsid w:val="001A2191"/>
    <w:rsid w:val="001D590A"/>
    <w:rsid w:val="001F39A0"/>
    <w:rsid w:val="002D523E"/>
    <w:rsid w:val="00334B6B"/>
    <w:rsid w:val="00393CB2"/>
    <w:rsid w:val="003A51BC"/>
    <w:rsid w:val="003D0119"/>
    <w:rsid w:val="00432463"/>
    <w:rsid w:val="00462F54"/>
    <w:rsid w:val="0049530B"/>
    <w:rsid w:val="004B520C"/>
    <w:rsid w:val="004F1850"/>
    <w:rsid w:val="00501F2A"/>
    <w:rsid w:val="0051498A"/>
    <w:rsid w:val="005856BA"/>
    <w:rsid w:val="005935BF"/>
    <w:rsid w:val="005B635B"/>
    <w:rsid w:val="00640174"/>
    <w:rsid w:val="00665471"/>
    <w:rsid w:val="006B0B7C"/>
    <w:rsid w:val="006E38B5"/>
    <w:rsid w:val="00753BF7"/>
    <w:rsid w:val="00764323"/>
    <w:rsid w:val="00791BC8"/>
    <w:rsid w:val="007B4A03"/>
    <w:rsid w:val="008D62E2"/>
    <w:rsid w:val="008E5025"/>
    <w:rsid w:val="009171D7"/>
    <w:rsid w:val="00A9439E"/>
    <w:rsid w:val="00B57167"/>
    <w:rsid w:val="00BB3D28"/>
    <w:rsid w:val="00BD0F68"/>
    <w:rsid w:val="00BF58BB"/>
    <w:rsid w:val="00C16265"/>
    <w:rsid w:val="00C75AA0"/>
    <w:rsid w:val="00D12188"/>
    <w:rsid w:val="00D43C67"/>
    <w:rsid w:val="00F05C33"/>
    <w:rsid w:val="00F4707A"/>
    <w:rsid w:val="00FB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21A4"/>
  <w15:docId w15:val="{4ADCB785-06E4-4F10-9941-62188D74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rsid w:val="00764323"/>
    <w:rPr>
      <w:rFonts w:ascii="Calibri" w:hAnsi="Calibri" w:cs="Arial Unicode MS"/>
      <w:color w:val="000000"/>
      <w:sz w:val="22"/>
      <w:szCs w:val="22"/>
      <w:u w:color="000000"/>
    </w:rPr>
  </w:style>
  <w:style w:type="paragraph" w:customStyle="1" w:styleId="BodyA">
    <w:name w:val="Body A"/>
    <w:rsid w:val="00764323"/>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rsid w:val="0076432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Adelina Dana</dc:creator>
  <cp:lastModifiedBy>Adelina Dana</cp:lastModifiedBy>
  <cp:revision>15</cp:revision>
  <dcterms:created xsi:type="dcterms:W3CDTF">2022-01-23T19:44:00Z</dcterms:created>
  <dcterms:modified xsi:type="dcterms:W3CDTF">2022-01-25T20:20:00Z</dcterms:modified>
</cp:coreProperties>
</file>