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La Belle Aurore" w:cs="La Belle Aurore" w:eastAsia="La Belle Aurore" w:hAnsi="La Belle Aurore"/>
          <w:sz w:val="28"/>
          <w:szCs w:val="28"/>
        </w:rPr>
      </w:pPr>
      <w:r w:rsidDel="00000000" w:rsidR="00000000" w:rsidRPr="00000000">
        <w:rPr>
          <w:rFonts w:ascii="La Belle Aurore" w:cs="La Belle Aurore" w:eastAsia="La Belle Aurore" w:hAnsi="La Belle Aurore"/>
          <w:sz w:val="28"/>
          <w:szCs w:val="28"/>
          <w:rtl w:val="0"/>
        </w:rPr>
        <w:t xml:space="preserve">Binder Assembly Instructions: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Buy a binder,, dividers (5 sections), page protectors, and a folder.  (you can use old materials if you already have them) 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Get a copy of the competition materials, rules of evidence section, and extra help resources (in the team maroon tab).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Use the first page of the case (cover sheet) and put it into a page protector. Put the page protector at the front of your binder.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Organize your binder dividers into the following sections: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Competition Case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Competition Rules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Prosecution Materials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Defense Materials</w:t>
        <w:tab/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Extra Materials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Use post-it note flags of your choice to distinguish between each individual affidavit and exhibit. 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Put your folder into the back of your binder. Put the following items into the folder: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Responses to Objections Sheet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Impeachment Sheet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Evidence Sheet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Objection Card 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Fonts w:ascii="Antic Slab" w:cs="Antic Slab" w:eastAsia="Antic Slab" w:hAnsi="Antic Slab"/>
          <w:sz w:val="24"/>
          <w:szCs w:val="24"/>
          <w:rtl w:val="0"/>
        </w:rPr>
        <w:t xml:space="preserve">Attach your personal name card into the inside of your binder with tape. </w:t>
      </w:r>
    </w:p>
    <w:p w:rsidR="00000000" w:rsidDel="00000000" w:rsidP="00000000" w:rsidRDefault="00000000" w:rsidRPr="00000000" w14:paraId="00000013">
      <w:pPr>
        <w:pageBreakBefore w:val="0"/>
        <w:rPr>
          <w:rFonts w:ascii="Quicksand" w:cs="Quicksand" w:eastAsia="Quicksand" w:hAnsi="Quicksa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 Belle Aurore">
    <w:embedRegular w:fontKey="{00000000-0000-0000-0000-000000000000}" r:id="rId1" w:subsetted="0"/>
  </w:font>
  <w:font w:name="Antic Slab">
    <w:embedRegular w:fontKey="{00000000-0000-0000-0000-000000000000}" r:id="rId2" w:subsetted="0"/>
  </w:font>
  <w:font w:name="Quicksand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BelleAurore-regular.ttf"/><Relationship Id="rId2" Type="http://schemas.openxmlformats.org/officeDocument/2006/relationships/font" Target="fonts/AnticSlab-regular.ttf"/><Relationship Id="rId3" Type="http://schemas.openxmlformats.org/officeDocument/2006/relationships/font" Target="fonts/Quicksand-regular.ttf"/><Relationship Id="rId4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