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8528E" w14:textId="77777777" w:rsidR="009628A9" w:rsidRPr="009628A9" w:rsidRDefault="009628A9" w:rsidP="009628A9">
      <w:pPr>
        <w:rPr>
          <w:b/>
        </w:rPr>
      </w:pPr>
      <w:r w:rsidRPr="009628A9">
        <w:rPr>
          <w:b/>
        </w:rPr>
        <w:t>Fire Department Standard Operating Guideline</w:t>
      </w:r>
      <w:r w:rsidRPr="009628A9">
        <w:rPr>
          <w:b/>
        </w:rPr>
        <w:tab/>
      </w:r>
      <w:r w:rsidRPr="009628A9">
        <w:rPr>
          <w:b/>
        </w:rPr>
        <w:tab/>
      </w:r>
      <w:r w:rsidRPr="009628A9">
        <w:rPr>
          <w:b/>
        </w:rPr>
        <w:tab/>
        <w:t xml:space="preserve">           # 000.0</w:t>
      </w:r>
    </w:p>
    <w:p w14:paraId="18E3DE77" w14:textId="77777777" w:rsidR="009628A9" w:rsidRPr="009628A9" w:rsidRDefault="009628A9" w:rsidP="009628A9">
      <w:pPr>
        <w:rPr>
          <w:b/>
        </w:rPr>
      </w:pPr>
      <w:r w:rsidRPr="009628A9">
        <w:rPr>
          <w:b/>
        </w:rPr>
        <w:t>Operations Division</w:t>
      </w:r>
    </w:p>
    <w:p w14:paraId="78DA3CA4" w14:textId="77777777" w:rsidR="009628A9" w:rsidRPr="009628A9" w:rsidRDefault="009628A9" w:rsidP="009628A9">
      <w:pPr>
        <w:rPr>
          <w:b/>
        </w:rPr>
      </w:pPr>
      <w:r w:rsidRPr="009628A9">
        <w:rPr>
          <w:b/>
        </w:rPr>
        <w:t>Issued</w:t>
      </w:r>
      <w:r w:rsidRPr="009628A9">
        <w:rPr>
          <w:b/>
        </w:rPr>
        <w:tab/>
        <w:t>00-00-00</w:t>
      </w:r>
      <w:r w:rsidRPr="009628A9">
        <w:rPr>
          <w:b/>
        </w:rPr>
        <w:tab/>
      </w:r>
    </w:p>
    <w:p w14:paraId="67554F5E" w14:textId="77777777" w:rsidR="009628A9" w:rsidRPr="009628A9" w:rsidRDefault="009628A9" w:rsidP="009628A9">
      <w:pPr>
        <w:rPr>
          <w:b/>
        </w:rPr>
      </w:pPr>
      <w:proofErr w:type="gramStart"/>
      <w:r>
        <w:rPr>
          <w:b/>
        </w:rPr>
        <w:t xml:space="preserve">Revised  </w:t>
      </w:r>
      <w:r w:rsidRPr="009628A9">
        <w:rPr>
          <w:b/>
        </w:rPr>
        <w:t>00</w:t>
      </w:r>
      <w:proofErr w:type="gramEnd"/>
      <w:r w:rsidRPr="009628A9">
        <w:rPr>
          <w:b/>
        </w:rPr>
        <w:t>-00-00</w:t>
      </w:r>
      <w:r w:rsidRPr="009628A9">
        <w:rPr>
          <w:b/>
        </w:rPr>
        <w:tab/>
      </w:r>
      <w:r w:rsidRPr="009628A9">
        <w:rPr>
          <w:b/>
        </w:rPr>
        <w:tab/>
      </w:r>
      <w:r w:rsidRPr="009628A9">
        <w:rPr>
          <w:b/>
        </w:rPr>
        <w:tab/>
      </w:r>
      <w:r w:rsidRPr="009628A9">
        <w:rPr>
          <w:b/>
        </w:rPr>
        <w:tab/>
      </w:r>
      <w:r w:rsidRPr="009628A9">
        <w:rPr>
          <w:b/>
        </w:rPr>
        <w:tab/>
      </w:r>
      <w:r w:rsidRPr="009628A9">
        <w:rPr>
          <w:b/>
        </w:rPr>
        <w:tab/>
      </w:r>
      <w:r w:rsidRPr="009628A9">
        <w:rPr>
          <w:b/>
        </w:rPr>
        <w:tab/>
        <w:t>Page 1 of  1</w:t>
      </w:r>
    </w:p>
    <w:p w14:paraId="4ED2C9A6" w14:textId="77777777" w:rsidR="009628A9" w:rsidRPr="009628A9" w:rsidRDefault="009628A9" w:rsidP="009628A9">
      <w:pPr>
        <w:rPr>
          <w:b/>
        </w:rPr>
      </w:pPr>
    </w:p>
    <w:p w14:paraId="078ED2DB" w14:textId="77777777" w:rsidR="00602BAA" w:rsidRDefault="009628A9" w:rsidP="009628A9">
      <w:pPr>
        <w:jc w:val="center"/>
        <w:rPr>
          <w:b/>
        </w:rPr>
      </w:pPr>
      <w:r w:rsidRPr="009628A9">
        <w:rPr>
          <w:b/>
        </w:rPr>
        <w:t xml:space="preserve">EMERGENCY PROCEDURES for </w:t>
      </w:r>
    </w:p>
    <w:p w14:paraId="0D3BBE1B" w14:textId="77777777" w:rsidR="009628A9" w:rsidRPr="009628A9" w:rsidRDefault="009628A9" w:rsidP="009628A9">
      <w:pPr>
        <w:jc w:val="center"/>
        <w:rPr>
          <w:b/>
        </w:rPr>
      </w:pPr>
      <w:r w:rsidRPr="009628A9">
        <w:rPr>
          <w:b/>
        </w:rPr>
        <w:t>HYBRID</w:t>
      </w:r>
      <w:r w:rsidR="00401ACD">
        <w:rPr>
          <w:b/>
        </w:rPr>
        <w:t xml:space="preserve">, PLUG-IN HYBRIDS, &amp; ELECTRIC PLUG-IN </w:t>
      </w:r>
      <w:r w:rsidRPr="009628A9">
        <w:rPr>
          <w:b/>
        </w:rPr>
        <w:t>VEHICLES</w:t>
      </w:r>
    </w:p>
    <w:p w14:paraId="47F8BB2B" w14:textId="77777777" w:rsidR="009628A9" w:rsidRDefault="009628A9" w:rsidP="009628A9"/>
    <w:p w14:paraId="2C3144A7" w14:textId="77777777" w:rsidR="009628A9" w:rsidRPr="009628A9" w:rsidRDefault="009628A9" w:rsidP="009628A9">
      <w:pPr>
        <w:rPr>
          <w:b/>
        </w:rPr>
      </w:pPr>
      <w:r w:rsidRPr="009628A9">
        <w:rPr>
          <w:b/>
        </w:rPr>
        <w:t>I. Overview</w:t>
      </w:r>
    </w:p>
    <w:p w14:paraId="792380F3" w14:textId="0947352B" w:rsidR="009628A9" w:rsidRDefault="00E76CB1" w:rsidP="009628A9">
      <w:r>
        <w:t>This Operational G</w:t>
      </w:r>
      <w:r w:rsidR="009628A9">
        <w:t>uideline identifies recommended practices for Fire Department personnel to address when confronted with a</w:t>
      </w:r>
      <w:r w:rsidR="00C56424">
        <w:t>n</w:t>
      </w:r>
      <w:r w:rsidR="009628A9">
        <w:t xml:space="preserve"> </w:t>
      </w:r>
      <w:r>
        <w:t>incident</w:t>
      </w:r>
      <w:r w:rsidR="00602BAA">
        <w:t xml:space="preserve"> such as a </w:t>
      </w:r>
      <w:r w:rsidR="009628A9">
        <w:t xml:space="preserve">crash or </w:t>
      </w:r>
      <w:r w:rsidR="00602BAA">
        <w:t xml:space="preserve">vehicle </w:t>
      </w:r>
      <w:r w:rsidR="009628A9">
        <w:t xml:space="preserve">fire </w:t>
      </w:r>
      <w:r w:rsidR="00401ACD">
        <w:t xml:space="preserve">involving </w:t>
      </w:r>
      <w:proofErr w:type="gramStart"/>
      <w:r w:rsidR="00401ACD">
        <w:t>a</w:t>
      </w:r>
      <w:r w:rsidR="0037733B">
        <w:t>n</w:t>
      </w:r>
      <w:proofErr w:type="gramEnd"/>
      <w:r w:rsidR="0037733B">
        <w:t xml:space="preserve"> </w:t>
      </w:r>
      <w:proofErr w:type="spellStart"/>
      <w:r w:rsidR="0037733B">
        <w:t>xEV</w:t>
      </w:r>
      <w:proofErr w:type="spellEnd"/>
      <w:r>
        <w:t xml:space="preserve"> </w:t>
      </w:r>
      <w:r w:rsidR="0037733B">
        <w:t xml:space="preserve">(hybrid, plug-in hybrid, </w:t>
      </w:r>
      <w:r w:rsidR="00401ACD">
        <w:t>electric plug-in vehicle</w:t>
      </w:r>
      <w:r w:rsidR="00C56424">
        <w:t>, or extended-range electric plug-in vehicle</w:t>
      </w:r>
      <w:r w:rsidR="0037733B">
        <w:t>)</w:t>
      </w:r>
      <w:r w:rsidR="009628A9">
        <w:t xml:space="preserve">.  </w:t>
      </w:r>
    </w:p>
    <w:p w14:paraId="6216D2A7" w14:textId="77777777" w:rsidR="009628A9" w:rsidRDefault="009628A9" w:rsidP="009628A9"/>
    <w:p w14:paraId="209C2B8F" w14:textId="6924881B" w:rsidR="009628A9" w:rsidRDefault="009628A9" w:rsidP="009628A9">
      <w:r>
        <w:t xml:space="preserve">It shall be the goal of _____________ Fire Department personnel arriving at the scene of a fire or crash-related incident to complete the </w:t>
      </w:r>
      <w:r w:rsidR="00401ACD">
        <w:t xml:space="preserve">recommended </w:t>
      </w:r>
      <w:r>
        <w:t xml:space="preserve">seven (7) step </w:t>
      </w:r>
      <w:proofErr w:type="spellStart"/>
      <w:r w:rsidR="00E76CB1">
        <w:t>xEV</w:t>
      </w:r>
      <w:proofErr w:type="spellEnd"/>
      <w:r w:rsidR="00E76CB1">
        <w:t xml:space="preserve"> </w:t>
      </w:r>
      <w:r>
        <w:t xml:space="preserve">“Lock Out – Tag Out” protocol.  These essential actions should be accomplished as soon as practical after arrival and after completion of initial scene </w:t>
      </w:r>
      <w:r w:rsidR="00AD2EB3">
        <w:t xml:space="preserve">assessment and hazard control.  </w:t>
      </w:r>
    </w:p>
    <w:p w14:paraId="223FCD17" w14:textId="77777777" w:rsidR="009628A9" w:rsidRDefault="009628A9" w:rsidP="009628A9"/>
    <w:p w14:paraId="04ABB16B" w14:textId="33732D1A" w:rsidR="009628A9" w:rsidRDefault="009628A9" w:rsidP="009628A9">
      <w:r>
        <w:t>All responders should be aware of and fully understand the unique risks that personnel can potentially be</w:t>
      </w:r>
      <w:r w:rsidR="00401ACD">
        <w:t xml:space="preserve"> exposed to when operating at </w:t>
      </w:r>
      <w:proofErr w:type="gramStart"/>
      <w:r w:rsidR="00401ACD">
        <w:t>a</w:t>
      </w:r>
      <w:r w:rsidR="0037733B">
        <w:t>n</w:t>
      </w:r>
      <w:proofErr w:type="gramEnd"/>
      <w:r w:rsidR="0037733B">
        <w:t xml:space="preserve"> </w:t>
      </w:r>
      <w:proofErr w:type="spellStart"/>
      <w:r w:rsidR="0037733B">
        <w:t>xEV</w:t>
      </w:r>
      <w:proofErr w:type="spellEnd"/>
      <w:r w:rsidR="0037733B">
        <w:t xml:space="preserve"> </w:t>
      </w:r>
      <w:r w:rsidR="00401ACD">
        <w:t>incident.</w:t>
      </w:r>
      <w:r w:rsidR="00AD2EB3">
        <w:t xml:space="preserve"> </w:t>
      </w:r>
      <w:r>
        <w:t xml:space="preserve">Actions taken by responders should be in compliance with applicable manufacturer’s Emergency Response Guide for that specific </w:t>
      </w:r>
      <w:proofErr w:type="spellStart"/>
      <w:r w:rsidR="0037733B">
        <w:t>xEV</w:t>
      </w:r>
      <w:proofErr w:type="spellEnd"/>
      <w:r w:rsidR="0037733B">
        <w:t xml:space="preserve"> </w:t>
      </w:r>
      <w:r w:rsidR="00E76CB1">
        <w:t>as well as</w:t>
      </w:r>
      <w:r w:rsidR="0037733B">
        <w:t xml:space="preserve"> address the </w:t>
      </w:r>
      <w:r w:rsidR="008E4634">
        <w:t>recommended practices in the Interim Guidance document from the N</w:t>
      </w:r>
      <w:r w:rsidR="0037733B">
        <w:t>ational Highway Traffic Safety Administration (NHTSA, 2012)</w:t>
      </w:r>
      <w:r>
        <w:t>.</w:t>
      </w:r>
    </w:p>
    <w:p w14:paraId="49C202FA" w14:textId="77777777" w:rsidR="009628A9" w:rsidRDefault="009628A9" w:rsidP="009628A9"/>
    <w:p w14:paraId="32F917FF" w14:textId="77777777" w:rsidR="009628A9" w:rsidRPr="009628A9" w:rsidRDefault="009628A9" w:rsidP="009628A9">
      <w:pPr>
        <w:rPr>
          <w:b/>
        </w:rPr>
      </w:pPr>
      <w:r w:rsidRPr="009628A9">
        <w:rPr>
          <w:b/>
        </w:rPr>
        <w:t xml:space="preserve">II. First-Arriving FD Apparatus </w:t>
      </w:r>
    </w:p>
    <w:p w14:paraId="191A700D" w14:textId="77777777" w:rsidR="009628A9" w:rsidRDefault="009628A9" w:rsidP="009628A9">
      <w:r>
        <w:t xml:space="preserve">Tactical Procedures: </w:t>
      </w:r>
    </w:p>
    <w:p w14:paraId="2649511B" w14:textId="3138BFFA" w:rsidR="009628A9" w:rsidRDefault="009628A9" w:rsidP="009628A9">
      <w:r>
        <w:t>Benchm</w:t>
      </w:r>
      <w:r w:rsidR="00C56424">
        <w:t xml:space="preserve">arks are listed, based upon the recommended </w:t>
      </w:r>
      <w:r>
        <w:t xml:space="preserve">Lock Out – Tag Out protocol, for the first-arriving fire department units at </w:t>
      </w:r>
      <w:proofErr w:type="gramStart"/>
      <w:r w:rsidR="008E4634">
        <w:t>an</w:t>
      </w:r>
      <w:proofErr w:type="gramEnd"/>
      <w:r w:rsidR="008E4634">
        <w:t xml:space="preserve"> </w:t>
      </w:r>
      <w:proofErr w:type="spellStart"/>
      <w:r w:rsidR="008E4634">
        <w:t>xEV</w:t>
      </w:r>
      <w:proofErr w:type="spellEnd"/>
      <w:r>
        <w:t xml:space="preserve"> emergency incident.  </w:t>
      </w:r>
      <w:r w:rsidR="00AD2EB3">
        <w:t>Fire suppression actions shall be initiated at a vehicle fire incident following standard operating procedures. During the size-up phase of the incident, the OIC shall complete the following benchmarks</w:t>
      </w:r>
      <w:proofErr w:type="gramStart"/>
      <w:r>
        <w:t>;</w:t>
      </w:r>
      <w:proofErr w:type="gramEnd"/>
      <w:r>
        <w:t xml:space="preserve">  </w:t>
      </w:r>
    </w:p>
    <w:p w14:paraId="65B93CFE" w14:textId="048EB874" w:rsidR="009628A9" w:rsidRDefault="00401ACD" w:rsidP="00C56424">
      <w:pPr>
        <w:pStyle w:val="ListParagraph"/>
        <w:numPr>
          <w:ilvl w:val="0"/>
          <w:numId w:val="2"/>
        </w:numPr>
        <w:spacing w:line="276" w:lineRule="auto"/>
      </w:pPr>
      <w:r>
        <w:t>I</w:t>
      </w:r>
      <w:r w:rsidR="009628A9">
        <w:t xml:space="preserve">dentify vehicle as </w:t>
      </w:r>
      <w:r w:rsidR="008E4634">
        <w:t xml:space="preserve">an </w:t>
      </w:r>
      <w:proofErr w:type="spellStart"/>
      <w:r w:rsidR="008E4634">
        <w:t>xEV</w:t>
      </w:r>
      <w:proofErr w:type="spellEnd"/>
      <w:r w:rsidR="008E4634">
        <w:t xml:space="preserve"> (</w:t>
      </w:r>
      <w:r w:rsidR="009628A9">
        <w:t>hybrid</w:t>
      </w:r>
      <w:r w:rsidR="00C56424">
        <w:t xml:space="preserve">, plug-in hybrid, </w:t>
      </w:r>
      <w:r>
        <w:t>electric plug-</w:t>
      </w:r>
      <w:proofErr w:type="gramStart"/>
      <w:r>
        <w:t xml:space="preserve">in </w:t>
      </w:r>
      <w:r w:rsidR="00C56424">
        <w:t>,</w:t>
      </w:r>
      <w:proofErr w:type="gramEnd"/>
      <w:r w:rsidR="00C56424">
        <w:t xml:space="preserve"> </w:t>
      </w:r>
      <w:proofErr w:type="spellStart"/>
      <w:r w:rsidR="00C56424">
        <w:t>etc</w:t>
      </w:r>
      <w:proofErr w:type="spellEnd"/>
      <w:r w:rsidR="00C56424">
        <w:t>)</w:t>
      </w:r>
    </w:p>
    <w:p w14:paraId="0E65C15B" w14:textId="77777777" w:rsidR="009628A9" w:rsidRDefault="009628A9" w:rsidP="00C56424">
      <w:pPr>
        <w:pStyle w:val="ListParagraph"/>
        <w:numPr>
          <w:ilvl w:val="0"/>
          <w:numId w:val="2"/>
        </w:numPr>
        <w:spacing w:line="276" w:lineRule="auto"/>
      </w:pPr>
      <w:r>
        <w:t>Stabilize</w:t>
      </w:r>
      <w:r w:rsidR="00401ACD">
        <w:t>/chock/block drive wheels to prevent</w:t>
      </w:r>
      <w:r>
        <w:t xml:space="preserve"> vehicle</w:t>
      </w:r>
      <w:r w:rsidR="00401ACD">
        <w:t xml:space="preserve"> movement </w:t>
      </w:r>
      <w:r>
        <w:t>. . .</w:t>
      </w:r>
    </w:p>
    <w:p w14:paraId="70B774CE" w14:textId="77777777" w:rsidR="009628A9" w:rsidRDefault="009628A9" w:rsidP="00C56424">
      <w:pPr>
        <w:pStyle w:val="ListParagraph"/>
        <w:numPr>
          <w:ilvl w:val="0"/>
          <w:numId w:val="2"/>
        </w:numPr>
        <w:spacing w:line="276" w:lineRule="auto"/>
      </w:pPr>
      <w:r>
        <w:t>Access passenger compartment . . .</w:t>
      </w:r>
    </w:p>
    <w:p w14:paraId="4908FE3E" w14:textId="77777777" w:rsidR="009628A9" w:rsidRDefault="009628A9" w:rsidP="00C56424">
      <w:pPr>
        <w:pStyle w:val="ListParagraph"/>
        <w:numPr>
          <w:ilvl w:val="0"/>
          <w:numId w:val="2"/>
        </w:numPr>
        <w:spacing w:line="276" w:lineRule="auto"/>
      </w:pPr>
      <w:r>
        <w:t>Shift gear selector</w:t>
      </w:r>
      <w:r w:rsidR="00401ACD">
        <w:t xml:space="preserve"> to Park/ Set Parking B</w:t>
      </w:r>
      <w:r>
        <w:t>rake lever</w:t>
      </w:r>
      <w:r w:rsidR="00401ACD">
        <w:t xml:space="preserve"> or button</w:t>
      </w:r>
      <w:r>
        <w:t>…</w:t>
      </w:r>
    </w:p>
    <w:p w14:paraId="790E70A7" w14:textId="77777777" w:rsidR="009628A9" w:rsidRPr="00C56424" w:rsidRDefault="009628A9" w:rsidP="00C56424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C56424">
        <w:rPr>
          <w:b/>
        </w:rPr>
        <w:t>Turn ignition OFF…</w:t>
      </w:r>
    </w:p>
    <w:p w14:paraId="3A04B898" w14:textId="54B98F8F" w:rsidR="009628A9" w:rsidRDefault="009628A9" w:rsidP="00C56424">
      <w:pPr>
        <w:pStyle w:val="ListParagraph"/>
        <w:numPr>
          <w:ilvl w:val="0"/>
          <w:numId w:val="2"/>
        </w:numPr>
        <w:spacing w:line="276" w:lineRule="auto"/>
      </w:pPr>
      <w:r>
        <w:t xml:space="preserve">Check that </w:t>
      </w:r>
      <w:r w:rsidR="00057C58">
        <w:t xml:space="preserve">the specific </w:t>
      </w:r>
      <w:proofErr w:type="spellStart"/>
      <w:r w:rsidR="00057C58">
        <w:t>xEV</w:t>
      </w:r>
      <w:proofErr w:type="spellEnd"/>
      <w:r w:rsidR="00057C58">
        <w:t xml:space="preserve"> </w:t>
      </w:r>
      <w:r>
        <w:t>dash indicator light</w:t>
      </w:r>
      <w:r w:rsidR="00401ACD">
        <w:t>s</w:t>
      </w:r>
      <w:r>
        <w:t>/gauge</w:t>
      </w:r>
      <w:r w:rsidR="00401ACD">
        <w:t xml:space="preserve">s </w:t>
      </w:r>
      <w:r>
        <w:t>shut down…</w:t>
      </w:r>
    </w:p>
    <w:p w14:paraId="622A77DB" w14:textId="77777777" w:rsidR="009628A9" w:rsidRPr="00C56424" w:rsidRDefault="009628A9" w:rsidP="00C56424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C56424">
        <w:rPr>
          <w:b/>
        </w:rPr>
        <w:t xml:space="preserve">Disconnect/shutdown 12v battery . . . </w:t>
      </w:r>
    </w:p>
    <w:p w14:paraId="12450832" w14:textId="77777777" w:rsidR="009628A9" w:rsidRDefault="009628A9" w:rsidP="009628A9"/>
    <w:p w14:paraId="7D580E66" w14:textId="77777777" w:rsidR="009628A9" w:rsidRPr="009628A9" w:rsidRDefault="009628A9" w:rsidP="009628A9">
      <w:pPr>
        <w:rPr>
          <w:b/>
        </w:rPr>
      </w:pPr>
      <w:r w:rsidRPr="009628A9">
        <w:rPr>
          <w:b/>
        </w:rPr>
        <w:t>III.  Incident Command Benchmarks</w:t>
      </w:r>
    </w:p>
    <w:p w14:paraId="362D4DA6" w14:textId="45024B4F" w:rsidR="009628A9" w:rsidRDefault="009628A9" w:rsidP="009628A9">
      <w:r>
        <w:t xml:space="preserve">The initial-arriving FD officer and/or the Incident Commander </w:t>
      </w:r>
      <w:r w:rsidR="00057C58">
        <w:t>should</w:t>
      </w:r>
      <w:r>
        <w:t xml:space="preserve"> assure that efforts to complete the seven (7) essential “Lock Out – Tag Out” benchmarks are initiated in </w:t>
      </w:r>
      <w:r>
        <w:lastRenderedPageBreak/>
        <w:t>addition to assigning personnel to accomplish actions necessary to effectively contain and control any additional challenge at the vehicle-related crash or fire incident.</w:t>
      </w:r>
    </w:p>
    <w:p w14:paraId="0308B70B" w14:textId="77777777" w:rsidR="009628A9" w:rsidRDefault="009628A9" w:rsidP="009628A9">
      <w:r>
        <w:t>Unless delegated to another responder, the initial company officer and/or Incident Commander shall serve as the Incident Safety Officer.</w:t>
      </w:r>
    </w:p>
    <w:p w14:paraId="0062DD64" w14:textId="77777777" w:rsidR="00476382" w:rsidRDefault="00476382" w:rsidP="009628A9"/>
    <w:p w14:paraId="1A8C94BF" w14:textId="049863D4" w:rsidR="006A134A" w:rsidRDefault="006A134A" w:rsidP="00476382">
      <w:pPr>
        <w:rPr>
          <w:b/>
        </w:rPr>
      </w:pPr>
      <w:r w:rsidRPr="006A134A">
        <w:rPr>
          <w:b/>
        </w:rPr>
        <w:t xml:space="preserve">IV.  </w:t>
      </w:r>
      <w:proofErr w:type="spellStart"/>
      <w:proofErr w:type="gramStart"/>
      <w:r w:rsidR="00BC0C9B">
        <w:rPr>
          <w:b/>
        </w:rPr>
        <w:t>xEV</w:t>
      </w:r>
      <w:proofErr w:type="spellEnd"/>
      <w:proofErr w:type="gramEnd"/>
      <w:r w:rsidR="00BC0C9B">
        <w:rPr>
          <w:b/>
        </w:rPr>
        <w:t xml:space="preserve"> </w:t>
      </w:r>
      <w:r w:rsidRPr="006A134A">
        <w:rPr>
          <w:b/>
        </w:rPr>
        <w:t>CRASH INCIDENT</w:t>
      </w:r>
    </w:p>
    <w:p w14:paraId="4AA40957" w14:textId="7403402E" w:rsidR="00493DE2" w:rsidRDefault="00493DE2" w:rsidP="00476382">
      <w:r>
        <w:t>It is the intent of this Standard Operating Guideline that actions taken by fire department personnel shall be in conformance with the Interim Guidelines issued by the National Highway Traf</w:t>
      </w:r>
      <w:r w:rsidR="00057C58">
        <w:t>fic Safety Administration</w:t>
      </w:r>
      <w:r>
        <w:t xml:space="preserve">.  </w:t>
      </w:r>
    </w:p>
    <w:p w14:paraId="38D261A3" w14:textId="77777777" w:rsidR="00493DE2" w:rsidRPr="006A134A" w:rsidRDefault="00493DE2" w:rsidP="00476382">
      <w:pPr>
        <w:rPr>
          <w:b/>
        </w:rPr>
      </w:pPr>
    </w:p>
    <w:p w14:paraId="5BFB77E0" w14:textId="1F4BD692" w:rsidR="006A134A" w:rsidRDefault="006A134A" w:rsidP="006A134A">
      <w:r>
        <w:t xml:space="preserve">• </w:t>
      </w:r>
      <w:r w:rsidRPr="006A134A">
        <w:t>If you detect leaking fluids, sparks, smoke, flames, increased temperature, gurgling or bubbling sounds from the H</w:t>
      </w:r>
      <w:r w:rsidR="00057C58">
        <w:t>igh-</w:t>
      </w:r>
      <w:r w:rsidRPr="006A134A">
        <w:t>V</w:t>
      </w:r>
      <w:r w:rsidR="00057C58">
        <w:t>oltage</w:t>
      </w:r>
      <w:r w:rsidRPr="006A134A">
        <w:t xml:space="preserve"> battery compartment, assume there is a battery fire and ventilate the passenger area (i.e., roll down windows, or open doors). </w:t>
      </w:r>
    </w:p>
    <w:p w14:paraId="56F55091" w14:textId="77777777" w:rsidR="006A134A" w:rsidRPr="006A134A" w:rsidRDefault="006A134A" w:rsidP="006A134A"/>
    <w:p w14:paraId="1C20A019" w14:textId="4E651EAA" w:rsidR="006A134A" w:rsidRDefault="006A134A" w:rsidP="006A134A">
      <w:r>
        <w:t xml:space="preserve">• </w:t>
      </w:r>
      <w:r w:rsidRPr="006A134A">
        <w:t xml:space="preserve">Request Emergency Medical Services if there are injuries as a result of the crash. </w:t>
      </w:r>
    </w:p>
    <w:p w14:paraId="6B4CCC24" w14:textId="77777777" w:rsidR="006A134A" w:rsidRPr="006A134A" w:rsidRDefault="006A134A" w:rsidP="006A134A"/>
    <w:p w14:paraId="2AAA9542" w14:textId="0ECF2887" w:rsidR="006A134A" w:rsidRPr="006A134A" w:rsidRDefault="006A134A" w:rsidP="006A134A">
      <w:proofErr w:type="gramStart"/>
      <w:r>
        <w:t xml:space="preserve">• </w:t>
      </w:r>
      <w:r w:rsidRPr="006A134A">
        <w:t xml:space="preserve">Request law enforcement </w:t>
      </w:r>
      <w:r w:rsidR="008951C7">
        <w:t>to assist</w:t>
      </w:r>
      <w:r w:rsidRPr="006A134A">
        <w:t xml:space="preserve"> with traffic control </w:t>
      </w:r>
      <w:r w:rsidR="008951C7">
        <w:t>and/</w:t>
      </w:r>
      <w:r w:rsidRPr="006A134A">
        <w:t>or scene safety.</w:t>
      </w:r>
      <w:proofErr w:type="gramEnd"/>
      <w:r w:rsidRPr="006A134A">
        <w:t xml:space="preserve"> </w:t>
      </w:r>
    </w:p>
    <w:p w14:paraId="2CEE1574" w14:textId="77777777" w:rsidR="006A134A" w:rsidRDefault="006A134A" w:rsidP="006A134A"/>
    <w:p w14:paraId="6D2CC4F7" w14:textId="0C2BA62F" w:rsidR="006A134A" w:rsidRPr="006A134A" w:rsidRDefault="006A134A" w:rsidP="006A134A">
      <w:r>
        <w:t xml:space="preserve">• </w:t>
      </w:r>
      <w:r w:rsidR="008951C7">
        <w:t>In non-fire situations</w:t>
      </w:r>
      <w:r w:rsidR="004624D1">
        <w:t xml:space="preserve"> when conditions such as leaking fluids, smoke, </w:t>
      </w:r>
      <w:r w:rsidR="004624D1" w:rsidRPr="006A134A">
        <w:t>gurgling or bubbling sounds</w:t>
      </w:r>
      <w:r w:rsidR="004624D1">
        <w:t xml:space="preserve"> are detected</w:t>
      </w:r>
      <w:r w:rsidR="008951C7">
        <w:t xml:space="preserve">, </w:t>
      </w:r>
      <w:r w:rsidR="004624D1">
        <w:t xml:space="preserve">have responder personnel </w:t>
      </w:r>
      <w:r w:rsidR="008951C7">
        <w:t>m</w:t>
      </w:r>
      <w:r w:rsidRPr="006A134A">
        <w:t xml:space="preserve">ove away from the </w:t>
      </w:r>
      <w:proofErr w:type="spellStart"/>
      <w:r w:rsidR="008951C7">
        <w:t>xEV</w:t>
      </w:r>
      <w:proofErr w:type="spellEnd"/>
      <w:r w:rsidRPr="006A134A">
        <w:t xml:space="preserve"> and evacuate</w:t>
      </w:r>
      <w:r w:rsidR="000F3B4E">
        <w:t xml:space="preserve"> others from the immediate area.  Be alert if responders</w:t>
      </w:r>
      <w:r w:rsidRPr="006A134A">
        <w:t xml:space="preserve"> detect any unusual odors or experience eye, nose, or throat irritation. Wear full Personal Protective Equipment (PPE) and Self-Contained Breathing Apparatus (SCBA) if rapid extrication is necessary for injured or trapped occupants. </w:t>
      </w:r>
    </w:p>
    <w:p w14:paraId="2F2F8CBC" w14:textId="77777777" w:rsidR="006A134A" w:rsidRDefault="006A134A" w:rsidP="006A134A"/>
    <w:p w14:paraId="698D1636" w14:textId="5078F9D0" w:rsidR="006A134A" w:rsidRPr="006A134A" w:rsidRDefault="006A134A" w:rsidP="006A134A">
      <w:r>
        <w:t xml:space="preserve">• </w:t>
      </w:r>
      <w:proofErr w:type="gramStart"/>
      <w:r w:rsidRPr="006A134A">
        <w:t>Be</w:t>
      </w:r>
      <w:proofErr w:type="gramEnd"/>
      <w:r w:rsidRPr="006A134A">
        <w:t xml:space="preserve"> alert. There is a potential for delayed fire with damaged lithium-ion batteries</w:t>
      </w:r>
      <w:r w:rsidR="008951C7">
        <w:t xml:space="preserve"> inside or beneath </w:t>
      </w:r>
      <w:proofErr w:type="gramStart"/>
      <w:r w:rsidR="008951C7">
        <w:t>an</w:t>
      </w:r>
      <w:proofErr w:type="gramEnd"/>
      <w:r w:rsidR="008951C7">
        <w:t xml:space="preserve"> </w:t>
      </w:r>
      <w:proofErr w:type="spellStart"/>
      <w:r w:rsidR="008951C7">
        <w:t>xEV</w:t>
      </w:r>
      <w:proofErr w:type="spellEnd"/>
      <w:r w:rsidRPr="006A134A">
        <w:t xml:space="preserve">. </w:t>
      </w:r>
    </w:p>
    <w:p w14:paraId="2D78FA7D" w14:textId="77777777" w:rsidR="006A134A" w:rsidRDefault="006A134A" w:rsidP="00476382"/>
    <w:p w14:paraId="152E49E1" w14:textId="78DE1BBE" w:rsidR="006A134A" w:rsidRPr="006A134A" w:rsidRDefault="006A134A" w:rsidP="00476382">
      <w:pPr>
        <w:rPr>
          <w:b/>
        </w:rPr>
      </w:pPr>
      <w:r w:rsidRPr="006A134A">
        <w:rPr>
          <w:b/>
        </w:rPr>
        <w:t xml:space="preserve">V. </w:t>
      </w:r>
      <w:proofErr w:type="spellStart"/>
      <w:proofErr w:type="gramStart"/>
      <w:r w:rsidR="0039104C">
        <w:rPr>
          <w:b/>
        </w:rPr>
        <w:t>xEV</w:t>
      </w:r>
      <w:proofErr w:type="spellEnd"/>
      <w:proofErr w:type="gramEnd"/>
      <w:r w:rsidR="0039104C">
        <w:rPr>
          <w:b/>
        </w:rPr>
        <w:t xml:space="preserve"> </w:t>
      </w:r>
      <w:r w:rsidRPr="006A134A">
        <w:rPr>
          <w:b/>
        </w:rPr>
        <w:t>FIRE INCIDENT</w:t>
      </w:r>
    </w:p>
    <w:p w14:paraId="445897FF" w14:textId="79D39A79" w:rsidR="00F27516" w:rsidRDefault="000F3B4E" w:rsidP="006A134A">
      <w:r>
        <w:t xml:space="preserve">There are vehicle fires and there are lithium ion battery fires.  These are two separate </w:t>
      </w:r>
      <w:r w:rsidR="00F27516">
        <w:t xml:space="preserve">situations </w:t>
      </w:r>
      <w:r w:rsidR="008637BA">
        <w:t xml:space="preserve">or conditions </w:t>
      </w:r>
      <w:r w:rsidR="00F27516">
        <w:t xml:space="preserve">that may take place individually or may be taking place at the same time within the same vehicle.  </w:t>
      </w:r>
      <w:r w:rsidR="008637BA">
        <w:t xml:space="preserve">These fires are </w:t>
      </w:r>
      <w:r w:rsidR="00F27516">
        <w:t>unique in that the techniques for dealing with each require specific tactics and procedures.</w:t>
      </w:r>
    </w:p>
    <w:p w14:paraId="4918AFE2" w14:textId="77777777" w:rsidR="00F27516" w:rsidRDefault="00F27516" w:rsidP="006A134A"/>
    <w:p w14:paraId="3C755450" w14:textId="77777777" w:rsidR="0035545C" w:rsidRDefault="001F18EA" w:rsidP="006A134A">
      <w:r>
        <w:t>A vehicle</w:t>
      </w:r>
      <w:r w:rsidR="006A134A" w:rsidRPr="006A134A">
        <w:t xml:space="preserve"> fire </w:t>
      </w:r>
      <w:r>
        <w:t xml:space="preserve">is considered a condition that </w:t>
      </w:r>
      <w:r w:rsidR="006A134A" w:rsidRPr="006A134A">
        <w:t xml:space="preserve">involves </w:t>
      </w:r>
      <w:r>
        <w:t xml:space="preserve">burning of </w:t>
      </w:r>
      <w:r w:rsidR="008951C7">
        <w:t>the combu</w:t>
      </w:r>
      <w:r>
        <w:t>stible materials of the vehicle</w:t>
      </w:r>
      <w:proofErr w:type="gramStart"/>
      <w:r w:rsidR="008637BA">
        <w:t>;</w:t>
      </w:r>
      <w:proofErr w:type="gramEnd"/>
      <w:r w:rsidR="008637BA">
        <w:t xml:space="preserve"> seats, instrument panel, etc</w:t>
      </w:r>
      <w:r>
        <w:t xml:space="preserve">.  A lithium ion HV battery fire is different.  It </w:t>
      </w:r>
      <w:r w:rsidR="008951C7">
        <w:t>involve</w:t>
      </w:r>
      <w:r w:rsidR="0039104C">
        <w:t>s</w:t>
      </w:r>
      <w:r w:rsidR="008951C7">
        <w:t xml:space="preserve"> </w:t>
      </w:r>
      <w:r w:rsidR="0039104C">
        <w:t>a fire within the</w:t>
      </w:r>
      <w:r w:rsidR="006A134A" w:rsidRPr="006A134A">
        <w:t xml:space="preserve"> lithium-ion battery</w:t>
      </w:r>
      <w:r w:rsidR="0039104C">
        <w:t xml:space="preserve"> </w:t>
      </w:r>
      <w:r w:rsidR="008637BA">
        <w:t>or battery cells/modules that is typic</w:t>
      </w:r>
      <w:r w:rsidR="0035545C">
        <w:t>ally contained within a steel structure</w:t>
      </w:r>
      <w:proofErr w:type="gramStart"/>
      <w:r w:rsidR="0035545C">
        <w:t>;</w:t>
      </w:r>
      <w:proofErr w:type="gramEnd"/>
      <w:r w:rsidR="0035545C">
        <w:t xml:space="preserve"> box-like enclosure</w:t>
      </w:r>
      <w:r>
        <w:t xml:space="preserve">.  </w:t>
      </w:r>
    </w:p>
    <w:p w14:paraId="639DFE4C" w14:textId="77777777" w:rsidR="0035545C" w:rsidRDefault="0035545C" w:rsidP="006A134A"/>
    <w:p w14:paraId="3AE3356B" w14:textId="15A1339A" w:rsidR="001F18EA" w:rsidRDefault="0035545C" w:rsidP="006A134A">
      <w:r>
        <w:t>Lithium ion b</w:t>
      </w:r>
      <w:r w:rsidR="0039104C">
        <w:t xml:space="preserve">attery fire </w:t>
      </w:r>
      <w:r w:rsidR="008951C7">
        <w:t>suppression</w:t>
      </w:r>
      <w:r w:rsidR="006A134A" w:rsidRPr="006A134A">
        <w:t xml:space="preserve"> </w:t>
      </w:r>
      <w:r w:rsidR="0039104C">
        <w:t xml:space="preserve">efforts </w:t>
      </w:r>
      <w:r w:rsidR="006A134A" w:rsidRPr="006A134A">
        <w:t>will require large, sustained volu</w:t>
      </w:r>
      <w:r>
        <w:t>mes of water for extinguishment; referred to as copious amounts of water.  B</w:t>
      </w:r>
      <w:r w:rsidR="001F18EA">
        <w:t>urning combustibles of a</w:t>
      </w:r>
      <w:r>
        <w:t xml:space="preserve"> typical </w:t>
      </w:r>
      <w:r w:rsidR="001F18EA">
        <w:t xml:space="preserve">vehicle </w:t>
      </w:r>
      <w:r>
        <w:t xml:space="preserve">fire incident </w:t>
      </w:r>
      <w:r w:rsidR="001F18EA">
        <w:t>can generally be completely extinguished with 500 gallons of water or less.  Even a portable fire extinguisher may be able to extinguish a vehicle fire.</w:t>
      </w:r>
    </w:p>
    <w:p w14:paraId="3FE67AC3" w14:textId="77777777" w:rsidR="001F18EA" w:rsidRDefault="001F18EA" w:rsidP="006A134A"/>
    <w:p w14:paraId="63B46E87" w14:textId="644548CD" w:rsidR="006A134A" w:rsidRDefault="006A134A" w:rsidP="006A134A">
      <w:r w:rsidRPr="006A134A">
        <w:lastRenderedPageBreak/>
        <w:t xml:space="preserve">If </w:t>
      </w:r>
      <w:r w:rsidR="001F18EA">
        <w:t>the lithium ion HV battery is what is actually burning</w:t>
      </w:r>
      <w:r w:rsidR="008637BA">
        <w:t>, copi</w:t>
      </w:r>
      <w:r w:rsidR="0035545C">
        <w:t>o</w:t>
      </w:r>
      <w:r w:rsidR="008637BA">
        <w:t xml:space="preserve">us amounts of water will be required to extinguish.  If </w:t>
      </w:r>
      <w:r w:rsidRPr="006A134A">
        <w:t xml:space="preserve">there is no immediate threat to life or property, consider defensive tactics and allow </w:t>
      </w:r>
      <w:r w:rsidR="00BC0C9B">
        <w:t xml:space="preserve">the </w:t>
      </w:r>
      <w:proofErr w:type="spellStart"/>
      <w:r w:rsidR="00BC0C9B">
        <w:t>xEV</w:t>
      </w:r>
      <w:proofErr w:type="spellEnd"/>
      <w:r w:rsidR="00BC0C9B">
        <w:t xml:space="preserve"> battery</w:t>
      </w:r>
      <w:r w:rsidR="008637BA">
        <w:t xml:space="preserve"> cell </w:t>
      </w:r>
      <w:r w:rsidRPr="006A134A">
        <w:t xml:space="preserve">fire to burn out. </w:t>
      </w:r>
    </w:p>
    <w:p w14:paraId="3BF2394B" w14:textId="77777777" w:rsidR="00493DE2" w:rsidRPr="006A134A" w:rsidRDefault="00493DE2" w:rsidP="006A134A"/>
    <w:p w14:paraId="1C012E40" w14:textId="2C74A481" w:rsidR="006A134A" w:rsidRPr="006A134A" w:rsidRDefault="006A134A" w:rsidP="006A134A">
      <w:r>
        <w:t xml:space="preserve">• </w:t>
      </w:r>
      <w:proofErr w:type="gramStart"/>
      <w:r w:rsidR="0035545C">
        <w:t>If</w:t>
      </w:r>
      <w:proofErr w:type="gramEnd"/>
      <w:r w:rsidR="0035545C">
        <w:t xml:space="preserve"> there is active vehicle or battery f</w:t>
      </w:r>
      <w:r w:rsidRPr="006A134A">
        <w:t xml:space="preserve">ire, follow </w:t>
      </w:r>
      <w:r w:rsidR="00493DE2">
        <w:t>departmental SOG</w:t>
      </w:r>
      <w:r w:rsidRPr="006A134A">
        <w:t xml:space="preserve"> for vehicle fire</w:t>
      </w:r>
      <w:r w:rsidR="00493DE2">
        <w:t xml:space="preserve"> </w:t>
      </w:r>
      <w:r w:rsidRPr="006A134A">
        <w:t>s</w:t>
      </w:r>
      <w:r w:rsidR="00E76CB1">
        <w:t>uppre</w:t>
      </w:r>
      <w:r w:rsidR="00493DE2">
        <w:t>s</w:t>
      </w:r>
      <w:r w:rsidR="00E76CB1">
        <w:t>s</w:t>
      </w:r>
      <w:r w:rsidR="00493DE2">
        <w:t>ion</w:t>
      </w:r>
      <w:r w:rsidRPr="006A134A">
        <w:t>. Wear appropriate</w:t>
      </w:r>
      <w:r w:rsidR="00BC0C9B">
        <w:t xml:space="preserve"> PPE and SCBA </w:t>
      </w:r>
      <w:r w:rsidRPr="006A134A">
        <w:t xml:space="preserve">at all times. </w:t>
      </w:r>
    </w:p>
    <w:p w14:paraId="14CBFD08" w14:textId="77777777" w:rsidR="006A134A" w:rsidRDefault="006A134A" w:rsidP="006A134A"/>
    <w:p w14:paraId="745814BB" w14:textId="0D3F2BD6" w:rsidR="006A134A" w:rsidRPr="006A134A" w:rsidRDefault="006A134A" w:rsidP="006A134A">
      <w:r>
        <w:t xml:space="preserve">• </w:t>
      </w:r>
      <w:proofErr w:type="gramStart"/>
      <w:r w:rsidRPr="006A134A">
        <w:t>If</w:t>
      </w:r>
      <w:proofErr w:type="gramEnd"/>
      <w:r w:rsidRPr="006A134A">
        <w:t xml:space="preserve"> occupants are still inside the vehicle or are trapped, </w:t>
      </w:r>
      <w:r w:rsidR="00493DE2">
        <w:t>consider using</w:t>
      </w:r>
      <w:r w:rsidRPr="006A134A">
        <w:t xml:space="preserve"> a fire extinguisher to protect the occupants until a hose line is available or until the occupants are removed. </w:t>
      </w:r>
    </w:p>
    <w:p w14:paraId="1DF94159" w14:textId="77777777" w:rsidR="006A134A" w:rsidRDefault="006A134A" w:rsidP="006A134A"/>
    <w:p w14:paraId="72202EB6" w14:textId="5D9405C6" w:rsidR="006A134A" w:rsidRPr="006A134A" w:rsidRDefault="006A134A" w:rsidP="006A134A">
      <w:r>
        <w:t xml:space="preserve">• </w:t>
      </w:r>
      <w:r w:rsidRPr="006A134A">
        <w:t xml:space="preserve">Establish a safe perimeter around the vehicle. </w:t>
      </w:r>
    </w:p>
    <w:p w14:paraId="12AE733F" w14:textId="77777777" w:rsidR="006A134A" w:rsidRDefault="006A134A" w:rsidP="006A134A"/>
    <w:p w14:paraId="57ACE1CB" w14:textId="7B3B4707" w:rsidR="006A134A" w:rsidRPr="006A134A" w:rsidRDefault="006A134A" w:rsidP="006A134A">
      <w:r>
        <w:t xml:space="preserve">• </w:t>
      </w:r>
      <w:r w:rsidR="00D71A8F">
        <w:t>When it is determined that there is a lithium ion battery fire, c</w:t>
      </w:r>
      <w:r w:rsidRPr="006A134A">
        <w:t xml:space="preserve">onsider establishing a </w:t>
      </w:r>
      <w:r w:rsidR="0039104C">
        <w:t xml:space="preserve">sustained </w:t>
      </w:r>
      <w:r w:rsidRPr="006A134A">
        <w:t xml:space="preserve">water supply to support long-term </w:t>
      </w:r>
      <w:r w:rsidR="00493DE2">
        <w:t xml:space="preserve">suppression </w:t>
      </w:r>
      <w:r w:rsidR="0039104C">
        <w:t>operation that may require approximately 2,000 to 3,000 gallons of water.</w:t>
      </w:r>
    </w:p>
    <w:p w14:paraId="272C45D5" w14:textId="77777777" w:rsidR="006A134A" w:rsidRDefault="006A134A" w:rsidP="006A134A"/>
    <w:p w14:paraId="1E5F1552" w14:textId="3E121508" w:rsidR="006A134A" w:rsidRPr="006A134A" w:rsidRDefault="006A134A" w:rsidP="006A134A">
      <w:r>
        <w:t xml:space="preserve">• </w:t>
      </w:r>
      <w:r w:rsidRPr="006A134A">
        <w:t xml:space="preserve">Use a hose line to apply water to extinguish the fire while continuing to cool the HV battery and its casing. </w:t>
      </w:r>
      <w:r w:rsidR="004649D7">
        <w:t>It is not recommended that fire department personnel</w:t>
      </w:r>
      <w:r w:rsidRPr="006A134A">
        <w:t xml:space="preserve"> attempt to penetrate the HV </w:t>
      </w:r>
      <w:r w:rsidR="004649D7">
        <w:t xml:space="preserve">lithium ion </w:t>
      </w:r>
      <w:r w:rsidRPr="006A134A">
        <w:t>battery or its casing to apply water</w:t>
      </w:r>
      <w:r w:rsidR="004649D7">
        <w:t xml:space="preserve"> due to the shock hazard</w:t>
      </w:r>
      <w:r w:rsidRPr="006A134A">
        <w:t xml:space="preserve">. </w:t>
      </w:r>
      <w:r w:rsidR="00D71A8F">
        <w:t xml:space="preserve">There is typically no port provided on the battery enclosure itself where </w:t>
      </w:r>
      <w:proofErr w:type="spellStart"/>
      <w:r w:rsidR="00D71A8F">
        <w:t>reponders</w:t>
      </w:r>
      <w:proofErr w:type="spellEnd"/>
      <w:r w:rsidR="00D71A8F">
        <w:t xml:space="preserve"> could directly apply water into the battery enclosure and directly onto the burning lithium ion cells.</w:t>
      </w:r>
    </w:p>
    <w:p w14:paraId="687FCC2D" w14:textId="77777777" w:rsidR="006A134A" w:rsidRDefault="006A134A" w:rsidP="006A134A"/>
    <w:p w14:paraId="40C1A5D5" w14:textId="2AFD705D" w:rsidR="006A134A" w:rsidRPr="006A134A" w:rsidRDefault="006A134A" w:rsidP="006A134A">
      <w:r>
        <w:t xml:space="preserve">• </w:t>
      </w:r>
      <w:r w:rsidR="004649D7">
        <w:t>During the fire suppression efforts, a</w:t>
      </w:r>
      <w:r w:rsidRPr="006A134A">
        <w:t>void contact with orange high voltage cabling and areas identified as high</w:t>
      </w:r>
      <w:r w:rsidR="00BD45C7">
        <w:t xml:space="preserve"> voltage risk by warning labels;</w:t>
      </w:r>
      <w:r w:rsidRPr="006A134A">
        <w:t xml:space="preserve"> </w:t>
      </w:r>
      <w:r w:rsidR="00BD45C7">
        <w:t xml:space="preserve">SAE requirements for orange color on electrical components with &gt;60DC current. </w:t>
      </w:r>
    </w:p>
    <w:p w14:paraId="363E2F86" w14:textId="77777777" w:rsidR="006A134A" w:rsidRDefault="006A134A" w:rsidP="006A134A"/>
    <w:p w14:paraId="6003BB50" w14:textId="244C940C" w:rsidR="006A134A" w:rsidRDefault="006A134A" w:rsidP="006A134A">
      <w:r>
        <w:t xml:space="preserve">• </w:t>
      </w:r>
      <w:proofErr w:type="gramStart"/>
      <w:r w:rsidRPr="006A134A">
        <w:t>Be</w:t>
      </w:r>
      <w:proofErr w:type="gramEnd"/>
      <w:r w:rsidRPr="006A134A">
        <w:t xml:space="preserve"> alert. There is a potential for delayed ignition or </w:t>
      </w:r>
      <w:r w:rsidR="004649D7">
        <w:t>rekindle/</w:t>
      </w:r>
      <w:r w:rsidRPr="006A134A">
        <w:t xml:space="preserve">re-ignition of a lithium-ion battery fire even after it </w:t>
      </w:r>
      <w:proofErr w:type="gramStart"/>
      <w:r w:rsidRPr="006A134A">
        <w:t xml:space="preserve">is believed to be </w:t>
      </w:r>
      <w:r w:rsidR="00BD45C7">
        <w:t xml:space="preserve">completely </w:t>
      </w:r>
      <w:r w:rsidRPr="006A134A">
        <w:t>extinguished</w:t>
      </w:r>
      <w:proofErr w:type="gramEnd"/>
      <w:r w:rsidRPr="006A134A">
        <w:t xml:space="preserve">. This may remain an issue until </w:t>
      </w:r>
      <w:proofErr w:type="gramStart"/>
      <w:r w:rsidRPr="006A134A">
        <w:t xml:space="preserve">the </w:t>
      </w:r>
      <w:r w:rsidR="004649D7">
        <w:t xml:space="preserve">electrical energy within the </w:t>
      </w:r>
      <w:r w:rsidRPr="006A134A">
        <w:t xml:space="preserve">lithium-ion </w:t>
      </w:r>
      <w:r w:rsidR="004649D7">
        <w:t>battery is properly discharged by a vehicle service technician</w:t>
      </w:r>
      <w:proofErr w:type="gramEnd"/>
      <w:r w:rsidR="004649D7">
        <w:t>.</w:t>
      </w:r>
      <w:r w:rsidR="00BD45C7">
        <w:t xml:space="preserve"> Draining of the stranded energy inside a lithium ion battery is not a reali</w:t>
      </w:r>
      <w:r w:rsidR="00133517">
        <w:t>stic or practical activity to requested or</w:t>
      </w:r>
      <w:r w:rsidR="00BD45C7">
        <w:t xml:space="preserve"> completed at an emergency incident scene.</w:t>
      </w:r>
    </w:p>
    <w:p w14:paraId="568CBAC7" w14:textId="77777777" w:rsidR="00493DE2" w:rsidRPr="006A134A" w:rsidRDefault="00493DE2" w:rsidP="006A134A"/>
    <w:p w14:paraId="0A35CB3A" w14:textId="55BE5474" w:rsidR="006A134A" w:rsidRPr="006A134A" w:rsidRDefault="00493DE2" w:rsidP="006A134A">
      <w:r>
        <w:t xml:space="preserve">• </w:t>
      </w:r>
      <w:proofErr w:type="gramStart"/>
      <w:r w:rsidR="006A134A" w:rsidRPr="006A134A">
        <w:t>As</w:t>
      </w:r>
      <w:proofErr w:type="gramEnd"/>
      <w:r w:rsidR="006A134A" w:rsidRPr="006A134A">
        <w:t xml:space="preserve"> with any vehicle fire, the by</w:t>
      </w:r>
      <w:r w:rsidR="001E2EA9">
        <w:t>-</w:t>
      </w:r>
      <w:r w:rsidR="006A134A" w:rsidRPr="006A134A">
        <w:t xml:space="preserve">products </w:t>
      </w:r>
      <w:r w:rsidR="00133517">
        <w:t>of combustion can be toxic.  A</w:t>
      </w:r>
      <w:r w:rsidR="006A134A" w:rsidRPr="006A134A">
        <w:t xml:space="preserve">ll individuals not properly trained, </w:t>
      </w:r>
      <w:r w:rsidR="001E2EA9">
        <w:t>properly protected with appropriate PPE</w:t>
      </w:r>
      <w:r w:rsidR="00133517">
        <w:t xml:space="preserve">, or assigned to combat the </w:t>
      </w:r>
      <w:proofErr w:type="spellStart"/>
      <w:r w:rsidR="001E2EA9">
        <w:t>xEV</w:t>
      </w:r>
      <w:proofErr w:type="spellEnd"/>
      <w:r w:rsidR="006A134A" w:rsidRPr="006A134A">
        <w:t xml:space="preserve"> fire</w:t>
      </w:r>
      <w:r w:rsidR="00133517">
        <w:t xml:space="preserve">, </w:t>
      </w:r>
      <w:r w:rsidR="006A134A" w:rsidRPr="006A134A">
        <w:t xml:space="preserve">should be directed </w:t>
      </w:r>
      <w:r w:rsidR="001E2EA9">
        <w:t xml:space="preserve">to </w:t>
      </w:r>
      <w:r w:rsidR="006A134A" w:rsidRPr="006A134A">
        <w:t xml:space="preserve">a </w:t>
      </w:r>
      <w:r w:rsidR="00133517">
        <w:t xml:space="preserve">location that is a </w:t>
      </w:r>
      <w:r w:rsidR="006A134A" w:rsidRPr="006A134A">
        <w:t xml:space="preserve">safe distance upwind and uphill from the </w:t>
      </w:r>
      <w:r w:rsidR="00FE556F">
        <w:t xml:space="preserve">burning vehicle </w:t>
      </w:r>
      <w:r w:rsidR="006A134A" w:rsidRPr="006A134A">
        <w:t xml:space="preserve">and out of the way of oncoming traffic. </w:t>
      </w:r>
    </w:p>
    <w:p w14:paraId="266BB8FC" w14:textId="77777777" w:rsidR="006A134A" w:rsidRDefault="006A134A" w:rsidP="00476382"/>
    <w:p w14:paraId="75D6A12B" w14:textId="77777777" w:rsidR="00FE556F" w:rsidRDefault="00FE556F">
      <w:pPr>
        <w:rPr>
          <w:b/>
        </w:rPr>
      </w:pPr>
      <w:r>
        <w:rPr>
          <w:b/>
        </w:rPr>
        <w:br w:type="page"/>
      </w:r>
    </w:p>
    <w:p w14:paraId="6BD4083D" w14:textId="01BAC9A6" w:rsidR="00476382" w:rsidRPr="006A134A" w:rsidRDefault="00476382" w:rsidP="00476382">
      <w:pPr>
        <w:rPr>
          <w:b/>
        </w:rPr>
      </w:pPr>
      <w:r w:rsidRPr="006A134A">
        <w:rPr>
          <w:b/>
        </w:rPr>
        <w:lastRenderedPageBreak/>
        <w:t>V</w:t>
      </w:r>
      <w:r w:rsidR="006A134A" w:rsidRPr="006A134A">
        <w:rPr>
          <w:b/>
        </w:rPr>
        <w:t>I</w:t>
      </w:r>
      <w:r w:rsidRPr="006A134A">
        <w:rPr>
          <w:b/>
        </w:rPr>
        <w:t xml:space="preserve">.  </w:t>
      </w:r>
      <w:r w:rsidRPr="006A134A">
        <w:rPr>
          <w:b/>
          <w:bCs/>
        </w:rPr>
        <w:t xml:space="preserve">POST-INCIDENT </w:t>
      </w:r>
    </w:p>
    <w:p w14:paraId="404D04DD" w14:textId="45F1F3D9" w:rsidR="00476382" w:rsidRDefault="00476382" w:rsidP="00476382">
      <w:r>
        <w:t xml:space="preserve">Post-incident actions by fire department personnel </w:t>
      </w:r>
      <w:r w:rsidR="00014010">
        <w:t>at i</w:t>
      </w:r>
      <w:r w:rsidR="001E2EA9">
        <w:t xml:space="preserve">ncidents involving </w:t>
      </w:r>
      <w:proofErr w:type="gramStart"/>
      <w:r w:rsidR="001E2EA9">
        <w:t>an</w:t>
      </w:r>
      <w:proofErr w:type="gramEnd"/>
      <w:r w:rsidR="001E2EA9">
        <w:t xml:space="preserve"> </w:t>
      </w:r>
      <w:proofErr w:type="spellStart"/>
      <w:r w:rsidR="001E2EA9">
        <w:t>xEV</w:t>
      </w:r>
      <w:proofErr w:type="spellEnd"/>
      <w:r w:rsidR="001E2EA9">
        <w:t xml:space="preserve"> </w:t>
      </w:r>
      <w:r>
        <w:t>shall address the following NHTSA recommendations</w:t>
      </w:r>
      <w:r w:rsidR="00FE556F">
        <w:t xml:space="preserve"> at a minimum</w:t>
      </w:r>
      <w:r>
        <w:t>;</w:t>
      </w:r>
    </w:p>
    <w:p w14:paraId="65C073EA" w14:textId="77777777" w:rsidR="00476382" w:rsidRDefault="00476382" w:rsidP="00476382"/>
    <w:p w14:paraId="232BCBD9" w14:textId="77777777" w:rsidR="00476382" w:rsidRDefault="00014010" w:rsidP="00476382">
      <w:r>
        <w:t xml:space="preserve">• </w:t>
      </w:r>
      <w:proofErr w:type="gramStart"/>
      <w:r w:rsidR="00476382" w:rsidRPr="00476382">
        <w:t>Always</w:t>
      </w:r>
      <w:proofErr w:type="gramEnd"/>
      <w:r w:rsidR="00476382" w:rsidRPr="00476382">
        <w:t xml:space="preserve"> assume the HV battery and associated components are energized and fully charged. </w:t>
      </w:r>
    </w:p>
    <w:p w14:paraId="623816A0" w14:textId="77777777" w:rsidR="00476382" w:rsidRPr="00476382" w:rsidRDefault="00476382" w:rsidP="00476382"/>
    <w:p w14:paraId="1CC8ED51" w14:textId="180537F8" w:rsidR="00476382" w:rsidRDefault="00014010" w:rsidP="00476382">
      <w:r>
        <w:t xml:space="preserve">• </w:t>
      </w:r>
      <w:r w:rsidR="00476382" w:rsidRPr="00476382">
        <w:t xml:space="preserve">Ensure that passenger and cargo compartments remain ventilated, i.e., open window, door or trunk if and when inside </w:t>
      </w:r>
      <w:proofErr w:type="gramStart"/>
      <w:r w:rsidR="00692F10">
        <w:t>an</w:t>
      </w:r>
      <w:proofErr w:type="gramEnd"/>
      <w:r w:rsidR="00692F10">
        <w:t xml:space="preserve"> </w:t>
      </w:r>
      <w:proofErr w:type="spellStart"/>
      <w:r w:rsidR="00692F10">
        <w:t>xEV</w:t>
      </w:r>
      <w:proofErr w:type="spellEnd"/>
      <w:r w:rsidR="00692F10">
        <w:t xml:space="preserve"> when </w:t>
      </w:r>
      <w:r w:rsidR="00476382" w:rsidRPr="00476382">
        <w:t xml:space="preserve">providing patient care. </w:t>
      </w:r>
    </w:p>
    <w:p w14:paraId="6344F332" w14:textId="77777777" w:rsidR="00476382" w:rsidRPr="00476382" w:rsidRDefault="00476382" w:rsidP="00476382"/>
    <w:p w14:paraId="6732BCE6" w14:textId="7C1521A1" w:rsidR="00476382" w:rsidRDefault="00014010" w:rsidP="00476382">
      <w:r>
        <w:t xml:space="preserve">• If the </w:t>
      </w:r>
      <w:r w:rsidR="00692F10">
        <w:t xml:space="preserve">lithium ion </w:t>
      </w:r>
      <w:r>
        <w:t>high-voltage battery is believed to be physically damaged from impact or thermal damage, request that the FD Communications Center</w:t>
      </w:r>
      <w:r w:rsidR="00FE556F">
        <w:t xml:space="preserve"> </w:t>
      </w:r>
      <w:r>
        <w:t>(Dispatch) notify</w:t>
      </w:r>
      <w:r w:rsidR="00476382" w:rsidRPr="00476382">
        <w:t xml:space="preserve"> an authorized service center or vehi</w:t>
      </w:r>
      <w:r>
        <w:t>cle manufacturer representative</w:t>
      </w:r>
      <w:r w:rsidR="00FE556F">
        <w:t xml:space="preserve"> </w:t>
      </w:r>
      <w:r w:rsidR="00476382" w:rsidRPr="00476382">
        <w:t>(</w:t>
      </w:r>
      <w:r w:rsidR="00FE556F">
        <w:t xml:space="preserve">auto </w:t>
      </w:r>
      <w:bookmarkStart w:id="0" w:name="_GoBack"/>
      <w:bookmarkEnd w:id="0"/>
      <w:r w:rsidR="00476382" w:rsidRPr="00476382">
        <w:t xml:space="preserve">dealer) as soon as possible as there may be additional steps they can take </w:t>
      </w:r>
      <w:r w:rsidR="00692F10">
        <w:t xml:space="preserve">at a later time and location </w:t>
      </w:r>
      <w:r w:rsidR="00476382" w:rsidRPr="00476382">
        <w:t xml:space="preserve">to secure and discharge the HV battery. </w:t>
      </w:r>
    </w:p>
    <w:p w14:paraId="2085A770" w14:textId="77777777" w:rsidR="00476382" w:rsidRPr="00476382" w:rsidRDefault="00476382" w:rsidP="00476382"/>
    <w:p w14:paraId="42752C09" w14:textId="432743B3" w:rsidR="00476382" w:rsidRDefault="00014010" w:rsidP="00476382">
      <w:r>
        <w:t xml:space="preserve">• Advise the towing/recovery agency removing the </w:t>
      </w:r>
      <w:proofErr w:type="spellStart"/>
      <w:r w:rsidR="00692F10">
        <w:t>xEV</w:t>
      </w:r>
      <w:proofErr w:type="spellEnd"/>
      <w:r>
        <w:t xml:space="preserve"> from the incident scene to </w:t>
      </w:r>
      <w:r w:rsidR="00476382" w:rsidRPr="00476382">
        <w:t xml:space="preserve">not store a severely damaged </w:t>
      </w:r>
      <w:proofErr w:type="spellStart"/>
      <w:r w:rsidR="00692F10">
        <w:t>xEV</w:t>
      </w:r>
      <w:proofErr w:type="spellEnd"/>
      <w:r w:rsidR="00476382" w:rsidRPr="00476382">
        <w:t xml:space="preserve"> with a </w:t>
      </w:r>
      <w:r w:rsidR="00692F10">
        <w:t xml:space="preserve">potentially damaged </w:t>
      </w:r>
      <w:r w:rsidR="00476382" w:rsidRPr="00476382">
        <w:t>lithium-ion battery inside a</w:t>
      </w:r>
      <w:r w:rsidR="00692F10">
        <w:t>ny</w:t>
      </w:r>
      <w:r w:rsidR="00476382" w:rsidRPr="00476382">
        <w:t xml:space="preserve"> structure or within 50 feet of any structure or vehicle. </w:t>
      </w:r>
    </w:p>
    <w:p w14:paraId="24271F87" w14:textId="77777777" w:rsidR="00476382" w:rsidRPr="00476382" w:rsidRDefault="00476382" w:rsidP="00476382"/>
    <w:p w14:paraId="0BF131BF" w14:textId="77777777" w:rsidR="00476382" w:rsidRPr="00476382" w:rsidRDefault="00014010" w:rsidP="00476382">
      <w:r>
        <w:t>• Advise the towing/recovery agency removing the vehicle from the incident scene that the v</w:t>
      </w:r>
      <w:r w:rsidR="00476382" w:rsidRPr="00476382">
        <w:t xml:space="preserve">ehicle should be monitored for leaking fluids, sparks, smoke, flames, gurgling or bubbling sounds from the HV battery, and if detected, assume the HV battery is burning and </w:t>
      </w:r>
      <w:r>
        <w:t>summon the fire department to the location</w:t>
      </w:r>
      <w:r w:rsidR="00476382" w:rsidRPr="00476382">
        <w:t xml:space="preserve"> to extinguish the fire. </w:t>
      </w:r>
    </w:p>
    <w:p w14:paraId="4119A72C" w14:textId="531A98D8" w:rsidR="00CE0AAD" w:rsidRPr="00CE0AAD" w:rsidRDefault="00CE0AAD" w:rsidP="00F34631">
      <w:pPr>
        <w:spacing w:line="480" w:lineRule="auto"/>
        <w:jc w:val="center"/>
        <w:rPr>
          <w:sz w:val="36"/>
          <w:szCs w:val="36"/>
        </w:rPr>
      </w:pPr>
      <w:r>
        <w:br w:type="page"/>
      </w:r>
      <w:r w:rsidRPr="00CE0AAD">
        <w:rPr>
          <w:b/>
          <w:bCs/>
          <w:sz w:val="36"/>
          <w:szCs w:val="36"/>
        </w:rPr>
        <w:lastRenderedPageBreak/>
        <w:t xml:space="preserve">Recommended </w:t>
      </w:r>
      <w:proofErr w:type="spellStart"/>
      <w:r w:rsidRPr="00CE0AAD">
        <w:rPr>
          <w:b/>
          <w:bCs/>
          <w:sz w:val="36"/>
          <w:szCs w:val="36"/>
        </w:rPr>
        <w:t>xEV</w:t>
      </w:r>
      <w:proofErr w:type="spellEnd"/>
      <w:r w:rsidRPr="00CE0AAD">
        <w:rPr>
          <w:b/>
          <w:bCs/>
          <w:sz w:val="36"/>
          <w:szCs w:val="36"/>
          <w:u w:val="single"/>
        </w:rPr>
        <w:t xml:space="preserve"> ‘Lock Out-Tag Out’</w:t>
      </w:r>
      <w:r w:rsidRPr="00CE0AAD">
        <w:rPr>
          <w:b/>
          <w:bCs/>
          <w:sz w:val="36"/>
          <w:szCs w:val="36"/>
        </w:rPr>
        <w:t xml:space="preserve"> P</w:t>
      </w:r>
      <w:r>
        <w:rPr>
          <w:b/>
          <w:bCs/>
          <w:sz w:val="36"/>
          <w:szCs w:val="36"/>
        </w:rPr>
        <w:t>rotocol</w:t>
      </w:r>
    </w:p>
    <w:p w14:paraId="102F1FAD" w14:textId="77777777" w:rsidR="00CE0AAD" w:rsidRPr="003D60F8" w:rsidRDefault="00CE0AAD" w:rsidP="00CE0AAD">
      <w:pPr>
        <w:spacing w:line="480" w:lineRule="auto"/>
      </w:pPr>
      <w:r w:rsidRPr="003D60F8">
        <w:rPr>
          <w:b/>
          <w:bCs/>
        </w:rPr>
        <w:t> </w:t>
      </w:r>
    </w:p>
    <w:p w14:paraId="34D8CADB" w14:textId="3A6C7A89" w:rsidR="00CE0AAD" w:rsidRPr="00D17D0F" w:rsidRDefault="00CE0AAD" w:rsidP="00CE0AAD">
      <w:pPr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3D60F8">
        <w:rPr>
          <w:b/>
          <w:bCs/>
        </w:rPr>
        <w:t xml:space="preserve"> </w:t>
      </w:r>
      <w:r w:rsidRPr="00D17D0F">
        <w:rPr>
          <w:b/>
          <w:bCs/>
          <w:sz w:val="36"/>
          <w:szCs w:val="36"/>
        </w:rPr>
        <w:t xml:space="preserve">Identify vehicle as an </w:t>
      </w:r>
      <w:proofErr w:type="spellStart"/>
      <w:r w:rsidRPr="00D17D0F">
        <w:rPr>
          <w:b/>
          <w:bCs/>
          <w:sz w:val="36"/>
          <w:szCs w:val="36"/>
        </w:rPr>
        <w:t>xEV</w:t>
      </w:r>
      <w:proofErr w:type="spellEnd"/>
      <w:r w:rsidRPr="00D17D0F">
        <w:rPr>
          <w:b/>
          <w:bCs/>
          <w:sz w:val="36"/>
          <w:szCs w:val="36"/>
        </w:rPr>
        <w:t xml:space="preserve"> </w:t>
      </w:r>
      <w:r w:rsidR="00F34631">
        <w:rPr>
          <w:b/>
          <w:bCs/>
          <w:sz w:val="36"/>
          <w:szCs w:val="36"/>
        </w:rPr>
        <w:t>…</w:t>
      </w:r>
    </w:p>
    <w:p w14:paraId="7ADED768" w14:textId="7BEAFD6F" w:rsidR="00CE0AAD" w:rsidRPr="003D60F8" w:rsidRDefault="00CE0AAD" w:rsidP="00CE0AAD">
      <w:pPr>
        <w:spacing w:line="480" w:lineRule="auto"/>
        <w:ind w:left="720"/>
      </w:pPr>
      <w:r>
        <w:rPr>
          <w:b/>
          <w:bCs/>
        </w:rPr>
        <w:t>(Hybrid, Plug-In Hybrid, Electric Plug-In, Extended Range Electric Plug-In)</w:t>
      </w:r>
    </w:p>
    <w:p w14:paraId="18DA8B81" w14:textId="77777777" w:rsidR="00CE0AAD" w:rsidRPr="003D60F8" w:rsidRDefault="00CE0AAD" w:rsidP="00CE0AAD">
      <w:pPr>
        <w:spacing w:line="480" w:lineRule="auto"/>
      </w:pPr>
    </w:p>
    <w:p w14:paraId="1752AAC7" w14:textId="76C0750C" w:rsidR="00D17D0F" w:rsidRPr="00D17D0F" w:rsidRDefault="00CE0AAD" w:rsidP="00CE0AAD">
      <w:pPr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b/>
          <w:bCs/>
        </w:rPr>
        <w:t xml:space="preserve"> </w:t>
      </w:r>
      <w:r w:rsidR="00D17D0F">
        <w:rPr>
          <w:b/>
          <w:bCs/>
          <w:sz w:val="36"/>
          <w:szCs w:val="36"/>
        </w:rPr>
        <w:t>Stabilize vehicle</w:t>
      </w:r>
      <w:r w:rsidR="00F34631">
        <w:rPr>
          <w:b/>
          <w:bCs/>
          <w:sz w:val="36"/>
          <w:szCs w:val="36"/>
        </w:rPr>
        <w:t>…</w:t>
      </w:r>
    </w:p>
    <w:p w14:paraId="132693DB" w14:textId="13D4A4A8" w:rsidR="00CE0AAD" w:rsidRPr="00D17D0F" w:rsidRDefault="00D17D0F" w:rsidP="00D17D0F">
      <w:pPr>
        <w:spacing w:line="480" w:lineRule="auto"/>
        <w:ind w:left="720"/>
      </w:pPr>
      <w:r>
        <w:rPr>
          <w:b/>
          <w:bCs/>
        </w:rPr>
        <w:t>(C</w:t>
      </w:r>
      <w:r w:rsidR="00F34631">
        <w:rPr>
          <w:b/>
          <w:bCs/>
        </w:rPr>
        <w:t>hock or block</w:t>
      </w:r>
      <w:r w:rsidR="00CE0AAD" w:rsidRPr="00D17D0F">
        <w:rPr>
          <w:b/>
          <w:bCs/>
        </w:rPr>
        <w:t xml:space="preserve"> front &amp; rear of </w:t>
      </w:r>
      <w:r w:rsidR="00F34631">
        <w:rPr>
          <w:b/>
          <w:bCs/>
        </w:rPr>
        <w:t xml:space="preserve">at least one </w:t>
      </w:r>
      <w:r w:rsidR="00CE0AAD" w:rsidRPr="00D17D0F">
        <w:rPr>
          <w:b/>
          <w:bCs/>
        </w:rPr>
        <w:t xml:space="preserve">drive </w:t>
      </w:r>
      <w:r w:rsidR="00F34631">
        <w:rPr>
          <w:b/>
          <w:bCs/>
        </w:rPr>
        <w:t xml:space="preserve">axle </w:t>
      </w:r>
      <w:r w:rsidR="00CE0AAD" w:rsidRPr="00D17D0F">
        <w:rPr>
          <w:b/>
          <w:bCs/>
        </w:rPr>
        <w:t>wheel</w:t>
      </w:r>
      <w:r w:rsidR="00F34631">
        <w:rPr>
          <w:b/>
          <w:bCs/>
        </w:rPr>
        <w:t xml:space="preserve">/tire) </w:t>
      </w:r>
    </w:p>
    <w:p w14:paraId="6DD81EEC" w14:textId="77777777" w:rsidR="00CE0AAD" w:rsidRPr="003D60F8" w:rsidRDefault="00CE0AAD" w:rsidP="00D17D0F">
      <w:pPr>
        <w:spacing w:line="480" w:lineRule="auto"/>
      </w:pPr>
    </w:p>
    <w:p w14:paraId="17272A2A" w14:textId="77777777" w:rsidR="00CE0AAD" w:rsidRPr="00D17D0F" w:rsidRDefault="00CE0AAD" w:rsidP="00CE0AAD">
      <w:pPr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3D60F8">
        <w:rPr>
          <w:b/>
          <w:bCs/>
        </w:rPr>
        <w:t xml:space="preserve"> </w:t>
      </w:r>
      <w:r w:rsidRPr="00D17D0F">
        <w:rPr>
          <w:b/>
          <w:bCs/>
          <w:sz w:val="36"/>
          <w:szCs w:val="36"/>
        </w:rPr>
        <w:t>Access passenger compartment . . .</w:t>
      </w:r>
    </w:p>
    <w:p w14:paraId="3245A9CC" w14:textId="77777777" w:rsidR="00CE0AAD" w:rsidRPr="003D60F8" w:rsidRDefault="00CE0AAD" w:rsidP="00D17D0F">
      <w:pPr>
        <w:spacing w:line="480" w:lineRule="auto"/>
      </w:pPr>
    </w:p>
    <w:p w14:paraId="64E33EE7" w14:textId="1CC0B2CD" w:rsidR="00CE0AAD" w:rsidRPr="00D17D0F" w:rsidRDefault="00CE0AAD" w:rsidP="00D17D0F">
      <w:pPr>
        <w:numPr>
          <w:ilvl w:val="0"/>
          <w:numId w:val="1"/>
        </w:numPr>
        <w:spacing w:line="480" w:lineRule="auto"/>
        <w:rPr>
          <w:sz w:val="36"/>
          <w:szCs w:val="36"/>
        </w:rPr>
      </w:pPr>
      <w:r>
        <w:rPr>
          <w:b/>
          <w:bCs/>
        </w:rPr>
        <w:t xml:space="preserve"> </w:t>
      </w:r>
      <w:r w:rsidRPr="00D17D0F">
        <w:rPr>
          <w:b/>
          <w:bCs/>
          <w:sz w:val="36"/>
          <w:szCs w:val="36"/>
        </w:rPr>
        <w:t>Shift gear selector</w:t>
      </w:r>
      <w:r w:rsidR="00D17D0F" w:rsidRPr="00D17D0F">
        <w:rPr>
          <w:b/>
          <w:bCs/>
          <w:sz w:val="36"/>
          <w:szCs w:val="36"/>
        </w:rPr>
        <w:t xml:space="preserve"> to Park/ S</w:t>
      </w:r>
      <w:r w:rsidRPr="00D17D0F">
        <w:rPr>
          <w:b/>
          <w:bCs/>
          <w:sz w:val="36"/>
          <w:szCs w:val="36"/>
        </w:rPr>
        <w:t xml:space="preserve">et Parking </w:t>
      </w:r>
      <w:proofErr w:type="gramStart"/>
      <w:r w:rsidRPr="00D17D0F">
        <w:rPr>
          <w:b/>
          <w:bCs/>
          <w:sz w:val="36"/>
          <w:szCs w:val="36"/>
        </w:rPr>
        <w:t>Brake.</w:t>
      </w:r>
      <w:proofErr w:type="gramEnd"/>
      <w:r w:rsidRPr="00D17D0F">
        <w:rPr>
          <w:b/>
          <w:bCs/>
          <w:sz w:val="36"/>
          <w:szCs w:val="36"/>
        </w:rPr>
        <w:t xml:space="preserve"> . .</w:t>
      </w:r>
    </w:p>
    <w:p w14:paraId="7CF109BE" w14:textId="77777777" w:rsidR="00CE0AAD" w:rsidRPr="003D60F8" w:rsidRDefault="00CE0AAD" w:rsidP="00CE0AAD">
      <w:pPr>
        <w:spacing w:line="480" w:lineRule="auto"/>
        <w:ind w:left="720"/>
      </w:pPr>
    </w:p>
    <w:p w14:paraId="460FB875" w14:textId="77777777" w:rsidR="00CE0AAD" w:rsidRPr="00D17D0F" w:rsidRDefault="00CE0AAD" w:rsidP="00CE0AAD">
      <w:pPr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D17D0F">
        <w:rPr>
          <w:b/>
          <w:bCs/>
          <w:sz w:val="36"/>
          <w:szCs w:val="36"/>
        </w:rPr>
        <w:t xml:space="preserve"> Turn ignition</w:t>
      </w:r>
      <w:r w:rsidRPr="00D17D0F">
        <w:rPr>
          <w:sz w:val="36"/>
          <w:szCs w:val="36"/>
        </w:rPr>
        <w:t xml:space="preserve"> </w:t>
      </w:r>
      <w:r w:rsidRPr="00D17D0F">
        <w:rPr>
          <w:b/>
          <w:bCs/>
          <w:sz w:val="36"/>
          <w:szCs w:val="36"/>
        </w:rPr>
        <w:t>OFF…</w:t>
      </w:r>
    </w:p>
    <w:p w14:paraId="5BBFA092" w14:textId="77777777" w:rsidR="00CE0AAD" w:rsidRPr="003D60F8" w:rsidRDefault="00CE0AAD" w:rsidP="00D17D0F">
      <w:pPr>
        <w:spacing w:line="480" w:lineRule="auto"/>
      </w:pPr>
    </w:p>
    <w:p w14:paraId="052FCB0C" w14:textId="39FD783A" w:rsidR="00CE0AAD" w:rsidRPr="00D17D0F" w:rsidRDefault="00CE0AAD" w:rsidP="00D17D0F">
      <w:pPr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3D60F8">
        <w:rPr>
          <w:b/>
          <w:bCs/>
        </w:rPr>
        <w:t xml:space="preserve"> </w:t>
      </w:r>
      <w:r w:rsidR="00F34631">
        <w:rPr>
          <w:b/>
          <w:bCs/>
          <w:sz w:val="36"/>
          <w:szCs w:val="36"/>
        </w:rPr>
        <w:t xml:space="preserve">Check that any </w:t>
      </w:r>
      <w:proofErr w:type="spellStart"/>
      <w:r w:rsidR="00F34631">
        <w:rPr>
          <w:b/>
          <w:bCs/>
          <w:sz w:val="36"/>
          <w:szCs w:val="36"/>
        </w:rPr>
        <w:t>xEV</w:t>
      </w:r>
      <w:proofErr w:type="spellEnd"/>
      <w:r w:rsidR="00F34631">
        <w:rPr>
          <w:b/>
          <w:bCs/>
          <w:sz w:val="36"/>
          <w:szCs w:val="36"/>
        </w:rPr>
        <w:t xml:space="preserve"> </w:t>
      </w:r>
      <w:r w:rsidRPr="00D17D0F">
        <w:rPr>
          <w:b/>
          <w:bCs/>
          <w:sz w:val="36"/>
          <w:szCs w:val="36"/>
        </w:rPr>
        <w:t>dash indicator shut</w:t>
      </w:r>
      <w:r w:rsidR="00F34631">
        <w:rPr>
          <w:b/>
          <w:bCs/>
          <w:sz w:val="36"/>
          <w:szCs w:val="36"/>
        </w:rPr>
        <w:t xml:space="preserve">s </w:t>
      </w:r>
      <w:proofErr w:type="gramStart"/>
      <w:r w:rsidRPr="00D17D0F">
        <w:rPr>
          <w:b/>
          <w:bCs/>
          <w:sz w:val="36"/>
          <w:szCs w:val="36"/>
        </w:rPr>
        <w:t>down .</w:t>
      </w:r>
      <w:proofErr w:type="gramEnd"/>
      <w:r w:rsidRPr="00D17D0F">
        <w:rPr>
          <w:b/>
          <w:bCs/>
          <w:sz w:val="36"/>
          <w:szCs w:val="36"/>
        </w:rPr>
        <w:t xml:space="preserve"> . </w:t>
      </w:r>
    </w:p>
    <w:p w14:paraId="158D37A5" w14:textId="77777777" w:rsidR="00CE0AAD" w:rsidRPr="003D60F8" w:rsidRDefault="00CE0AAD" w:rsidP="00CE0AAD">
      <w:pPr>
        <w:spacing w:line="480" w:lineRule="auto"/>
        <w:ind w:left="720"/>
      </w:pPr>
    </w:p>
    <w:p w14:paraId="659C75D4" w14:textId="77777777" w:rsidR="00CE0AAD" w:rsidRPr="00D17D0F" w:rsidRDefault="00CE0AAD" w:rsidP="00CE0AAD">
      <w:pPr>
        <w:numPr>
          <w:ilvl w:val="0"/>
          <w:numId w:val="1"/>
        </w:numPr>
        <w:spacing w:line="480" w:lineRule="auto"/>
        <w:rPr>
          <w:sz w:val="36"/>
          <w:szCs w:val="36"/>
        </w:rPr>
      </w:pPr>
      <w:r w:rsidRPr="003D60F8">
        <w:rPr>
          <w:b/>
          <w:bCs/>
        </w:rPr>
        <w:t xml:space="preserve"> </w:t>
      </w:r>
      <w:r w:rsidRPr="00D17D0F">
        <w:rPr>
          <w:b/>
          <w:bCs/>
          <w:sz w:val="36"/>
          <w:szCs w:val="36"/>
        </w:rPr>
        <w:t xml:space="preserve">Disconnect/shutdown 12v battery or </w:t>
      </w:r>
      <w:proofErr w:type="gramStart"/>
      <w:r w:rsidRPr="00D17D0F">
        <w:rPr>
          <w:b/>
          <w:bCs/>
          <w:sz w:val="36"/>
          <w:szCs w:val="36"/>
        </w:rPr>
        <w:t>batteries.</w:t>
      </w:r>
      <w:proofErr w:type="gramEnd"/>
      <w:r w:rsidRPr="00D17D0F">
        <w:rPr>
          <w:b/>
          <w:bCs/>
          <w:sz w:val="36"/>
          <w:szCs w:val="36"/>
        </w:rPr>
        <w:t xml:space="preserve"> . . </w:t>
      </w:r>
    </w:p>
    <w:p w14:paraId="3E612B65" w14:textId="77777777" w:rsidR="00CE0AAD" w:rsidRDefault="00CE0AAD" w:rsidP="00CE0AAD"/>
    <w:p w14:paraId="3F0E2C9A" w14:textId="2F4D3C93" w:rsidR="00476382" w:rsidRDefault="00476382" w:rsidP="009628A9"/>
    <w:sectPr w:rsidR="004763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2867"/>
    <w:multiLevelType w:val="hybridMultilevel"/>
    <w:tmpl w:val="74A42D9C"/>
    <w:lvl w:ilvl="0" w:tplc="BCEAD53A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4D17D5"/>
    <w:multiLevelType w:val="hybridMultilevel"/>
    <w:tmpl w:val="E21AB9F6"/>
    <w:lvl w:ilvl="0" w:tplc="BBD453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FA3F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9AAD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86E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FA9E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98D6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264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A6B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0822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A9"/>
    <w:rsid w:val="00014010"/>
    <w:rsid w:val="00057C58"/>
    <w:rsid w:val="000F3B4E"/>
    <w:rsid w:val="00133517"/>
    <w:rsid w:val="001E2EA9"/>
    <w:rsid w:val="001F18EA"/>
    <w:rsid w:val="0035545C"/>
    <w:rsid w:val="0037733B"/>
    <w:rsid w:val="0039104C"/>
    <w:rsid w:val="00401ACD"/>
    <w:rsid w:val="004624D1"/>
    <w:rsid w:val="004649D7"/>
    <w:rsid w:val="00476382"/>
    <w:rsid w:val="00493DE2"/>
    <w:rsid w:val="00602BAA"/>
    <w:rsid w:val="00692F10"/>
    <w:rsid w:val="006A134A"/>
    <w:rsid w:val="008637BA"/>
    <w:rsid w:val="008951C7"/>
    <w:rsid w:val="008E4634"/>
    <w:rsid w:val="009628A9"/>
    <w:rsid w:val="00AD2EB3"/>
    <w:rsid w:val="00BC0C9B"/>
    <w:rsid w:val="00BD45C7"/>
    <w:rsid w:val="00C56424"/>
    <w:rsid w:val="00CE0AAD"/>
    <w:rsid w:val="00D17D0F"/>
    <w:rsid w:val="00D71A8F"/>
    <w:rsid w:val="00E76CB1"/>
    <w:rsid w:val="00F27516"/>
    <w:rsid w:val="00F34631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170B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1351</Words>
  <Characters>7707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Department Standard Operating Guideline</vt:lpstr>
    </vt:vector>
  </TitlesOfParts>
  <Company>RESQUE-1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Department Standard Operating Guideline</dc:title>
  <dc:subject/>
  <dc:creator>Ron Moore</dc:creator>
  <cp:keywords/>
  <dc:description/>
  <cp:lastModifiedBy>Ron Moore</cp:lastModifiedBy>
  <cp:revision>3</cp:revision>
  <dcterms:created xsi:type="dcterms:W3CDTF">2014-07-20T15:04:00Z</dcterms:created>
  <dcterms:modified xsi:type="dcterms:W3CDTF">2018-02-07T15:54:00Z</dcterms:modified>
</cp:coreProperties>
</file>