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3992"/>
        <w:gridCol w:w="3235"/>
      </w:tblGrid>
      <w:tr w:rsidR="00197798" w:rsidRPr="00765C0C" w14:paraId="3A7DCC9D" w14:textId="77777777" w:rsidTr="00C94D3C">
        <w:trPr>
          <w:trHeight w:val="980"/>
        </w:trPr>
        <w:tc>
          <w:tcPr>
            <w:tcW w:w="1135" w:type="pct"/>
          </w:tcPr>
          <w:p w14:paraId="0F29B398" w14:textId="77777777" w:rsidR="007C6FA8" w:rsidRDefault="00D12CD0" w:rsidP="003F6B14">
            <w:pPr>
              <w:pStyle w:val="Heading1"/>
              <w:spacing w:before="100" w:beforeAutospacing="1" w:after="100" w:afterAutospacing="1"/>
              <w:rPr>
                <w:noProof/>
                <w:sz w:val="28"/>
                <w:szCs w:val="28"/>
              </w:rPr>
            </w:pPr>
            <w:bookmarkStart w:id="0" w:name="_GoBack"/>
            <w:bookmarkEnd w:id="0"/>
            <w:r>
              <w:rPr>
                <w:rFonts w:ascii="Arial" w:hAnsi="Arial" w:cs="Arial"/>
                <w:b w:val="0"/>
                <w:noProof/>
                <w:color w:val="000000"/>
                <w:sz w:val="72"/>
                <w:szCs w:val="72"/>
              </w:rPr>
              <w:drawing>
                <wp:inline distT="0" distB="0" distL="0" distR="0" wp14:anchorId="6E8FD3E6" wp14:editId="1EC10B81">
                  <wp:extent cx="914400" cy="914400"/>
                  <wp:effectExtent l="0" t="0" r="0" b="0"/>
                  <wp:docPr id="1" name="Picture 1" descr="Description: Macintosh HD:Users:davesavage:Desktop:Logo 0601016.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davesavage:Desktop:Logo 0601016.tif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135" w:type="pct"/>
            <w:vAlign w:val="center"/>
          </w:tcPr>
          <w:p w14:paraId="4DDB98C6" w14:textId="77777777" w:rsidR="007C6FA8" w:rsidRPr="007C6FA8" w:rsidRDefault="00451931" w:rsidP="00451931">
            <w:pPr>
              <w:pStyle w:val="Heading1"/>
              <w:rPr>
                <w:noProof/>
                <w:sz w:val="28"/>
                <w:szCs w:val="28"/>
              </w:rPr>
            </w:pPr>
            <w:r>
              <w:rPr>
                <w:noProof/>
                <w:sz w:val="28"/>
                <w:szCs w:val="28"/>
              </w:rPr>
              <w:t>Use of</w:t>
            </w:r>
            <w:r w:rsidR="009122E3">
              <w:rPr>
                <w:noProof/>
                <w:sz w:val="28"/>
                <w:szCs w:val="28"/>
              </w:rPr>
              <w:t xml:space="preserve"> </w:t>
            </w:r>
            <w:r w:rsidR="00651D88">
              <w:rPr>
                <w:noProof/>
                <w:sz w:val="28"/>
                <w:szCs w:val="28"/>
              </w:rPr>
              <w:t>ISO</w:t>
            </w:r>
            <w:r w:rsidR="0032283C">
              <w:rPr>
                <w:noProof/>
                <w:sz w:val="28"/>
                <w:szCs w:val="28"/>
              </w:rPr>
              <w:t>/IEC</w:t>
            </w:r>
            <w:r>
              <w:rPr>
                <w:noProof/>
                <w:sz w:val="28"/>
                <w:szCs w:val="28"/>
              </w:rPr>
              <w:t xml:space="preserve"> 17025 Calibration</w:t>
            </w:r>
            <w:r w:rsidR="004C3F74">
              <w:rPr>
                <w:noProof/>
                <w:sz w:val="28"/>
                <w:szCs w:val="28"/>
              </w:rPr>
              <w:t xml:space="preserve"> </w:t>
            </w:r>
            <w:r>
              <w:rPr>
                <w:noProof/>
                <w:sz w:val="28"/>
                <w:szCs w:val="28"/>
              </w:rPr>
              <w:t>Agencies</w:t>
            </w:r>
          </w:p>
        </w:tc>
        <w:tc>
          <w:tcPr>
            <w:tcW w:w="1730" w:type="pct"/>
          </w:tcPr>
          <w:p w14:paraId="7C80B380" w14:textId="77777777" w:rsidR="00C94D3C" w:rsidRDefault="00C94D3C" w:rsidP="00C94D3C">
            <w:pPr>
              <w:pStyle w:val="Heading1"/>
              <w:rPr>
                <w:rFonts w:ascii="Arial" w:hAnsi="Arial" w:cs="Arial"/>
                <w:b w:val="0"/>
                <w:i w:val="0"/>
                <w:noProof/>
                <w:sz w:val="20"/>
                <w:szCs w:val="20"/>
              </w:rPr>
            </w:pPr>
          </w:p>
          <w:p w14:paraId="707331F4" w14:textId="77777777" w:rsidR="00C94D3C" w:rsidRDefault="00C94D3C" w:rsidP="00C94D3C">
            <w:pPr>
              <w:pStyle w:val="Heading1"/>
              <w:rPr>
                <w:rFonts w:ascii="Arial" w:hAnsi="Arial" w:cs="Arial"/>
                <w:b w:val="0"/>
                <w:i w:val="0"/>
                <w:noProof/>
                <w:sz w:val="20"/>
                <w:szCs w:val="20"/>
              </w:rPr>
            </w:pPr>
          </w:p>
          <w:p w14:paraId="0E50529B" w14:textId="77777777" w:rsidR="007C6FA8" w:rsidRPr="00C94D3C" w:rsidRDefault="00C94D3C" w:rsidP="00C94D3C">
            <w:pPr>
              <w:pStyle w:val="Heading1"/>
              <w:rPr>
                <w:rFonts w:ascii="Arial" w:hAnsi="Arial" w:cs="Arial"/>
                <w:b w:val="0"/>
                <w:i w:val="0"/>
                <w:noProof/>
              </w:rPr>
            </w:pPr>
            <w:r w:rsidRPr="00C94D3C">
              <w:rPr>
                <w:rFonts w:ascii="Arial" w:hAnsi="Arial" w:cs="Arial"/>
                <w:b w:val="0"/>
                <w:i w:val="0"/>
                <w:noProof/>
              </w:rPr>
              <w:t>Policy 00</w:t>
            </w:r>
            <w:r w:rsidR="00451931">
              <w:rPr>
                <w:rFonts w:ascii="Arial" w:hAnsi="Arial" w:cs="Arial"/>
                <w:b w:val="0"/>
                <w:i w:val="0"/>
                <w:noProof/>
              </w:rPr>
              <w:t>5</w:t>
            </w:r>
          </w:p>
        </w:tc>
      </w:tr>
      <w:tr w:rsidR="00197798" w14:paraId="0A7D1085" w14:textId="77777777" w:rsidTr="000C36BA">
        <w:trPr>
          <w:trHeight w:val="602"/>
        </w:trPr>
        <w:tc>
          <w:tcPr>
            <w:tcW w:w="1135" w:type="pct"/>
            <w:vAlign w:val="center"/>
          </w:tcPr>
          <w:p w14:paraId="071F87BE" w14:textId="77777777" w:rsidR="007C6FA8" w:rsidRDefault="007C6FA8" w:rsidP="003F6B14">
            <w:pPr>
              <w:pStyle w:val="Header"/>
              <w:jc w:val="center"/>
              <w:rPr>
                <w:rFonts w:ascii="Arial" w:hAnsi="Arial" w:cs="Arial"/>
              </w:rPr>
            </w:pPr>
            <w:r>
              <w:rPr>
                <w:rFonts w:ascii="Arial" w:hAnsi="Arial" w:cs="Arial"/>
              </w:rPr>
              <w:t>Written by:</w:t>
            </w:r>
          </w:p>
          <w:p w14:paraId="5FA73C4B" w14:textId="77777777" w:rsidR="007C6FA8" w:rsidRDefault="007C6FA8" w:rsidP="003F6B14">
            <w:pPr>
              <w:pStyle w:val="Header"/>
              <w:jc w:val="center"/>
              <w:rPr>
                <w:rFonts w:ascii="Arial" w:hAnsi="Arial" w:cs="Arial"/>
              </w:rPr>
            </w:pPr>
            <w:r>
              <w:rPr>
                <w:rFonts w:ascii="Arial" w:hAnsi="Arial" w:cs="Arial"/>
              </w:rPr>
              <w:t>Dave Savage</w:t>
            </w:r>
          </w:p>
        </w:tc>
        <w:tc>
          <w:tcPr>
            <w:tcW w:w="2135" w:type="pct"/>
            <w:vAlign w:val="center"/>
          </w:tcPr>
          <w:p w14:paraId="2DC0F2E5" w14:textId="77777777" w:rsidR="00C94D3C" w:rsidRDefault="00451931" w:rsidP="000C36BA">
            <w:pPr>
              <w:pStyle w:val="Header"/>
              <w:jc w:val="center"/>
              <w:rPr>
                <w:rFonts w:ascii="Arial" w:hAnsi="Arial" w:cs="Arial"/>
              </w:rPr>
            </w:pPr>
            <w:r>
              <w:rPr>
                <w:rFonts w:ascii="Arial" w:hAnsi="Arial" w:cs="Arial"/>
              </w:rPr>
              <w:t>Revision A</w:t>
            </w:r>
          </w:p>
          <w:p w14:paraId="5E331960" w14:textId="77777777" w:rsidR="007C6FA8" w:rsidRDefault="00F64A69" w:rsidP="00451931">
            <w:pPr>
              <w:pStyle w:val="Header"/>
              <w:jc w:val="center"/>
              <w:rPr>
                <w:rFonts w:ascii="Arial" w:hAnsi="Arial" w:cs="Arial"/>
              </w:rPr>
            </w:pPr>
            <w:r>
              <w:rPr>
                <w:rFonts w:ascii="Arial" w:hAnsi="Arial" w:cs="Arial"/>
              </w:rPr>
              <w:t xml:space="preserve">Date:  </w:t>
            </w:r>
            <w:r w:rsidR="00451931">
              <w:rPr>
                <w:rFonts w:ascii="Arial" w:hAnsi="Arial" w:cs="Arial"/>
              </w:rPr>
              <w:t>10/07/2016</w:t>
            </w:r>
          </w:p>
        </w:tc>
        <w:tc>
          <w:tcPr>
            <w:tcW w:w="1730" w:type="pct"/>
          </w:tcPr>
          <w:p w14:paraId="69615E13" w14:textId="77777777" w:rsidR="007C6FA8" w:rsidRDefault="007C6FA8" w:rsidP="007C6FA8">
            <w:pPr>
              <w:pStyle w:val="Header"/>
              <w:jc w:val="center"/>
              <w:rPr>
                <w:rFonts w:ascii="Arial" w:hAnsi="Arial" w:cs="Arial"/>
              </w:rPr>
            </w:pPr>
          </w:p>
          <w:p w14:paraId="5762F5D0" w14:textId="77777777" w:rsidR="007C6FA8" w:rsidRDefault="007C6FA8" w:rsidP="007C6FA8">
            <w:pPr>
              <w:pStyle w:val="Header"/>
              <w:jc w:val="center"/>
              <w:rPr>
                <w:rFonts w:ascii="Arial" w:hAnsi="Arial" w:cs="Arial"/>
              </w:rPr>
            </w:pPr>
            <w:r>
              <w:rPr>
                <w:rFonts w:ascii="Arial" w:hAnsi="Arial" w:cs="Arial"/>
              </w:rPr>
              <w:t xml:space="preserve">Page 1 of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3F6B14">
              <w:rPr>
                <w:rFonts w:ascii="Arial" w:hAnsi="Arial" w:cs="Arial"/>
                <w:noProof/>
              </w:rPr>
              <w:t>1</w:t>
            </w:r>
            <w:r>
              <w:rPr>
                <w:rFonts w:ascii="Arial" w:hAnsi="Arial" w:cs="Arial"/>
              </w:rPr>
              <w:fldChar w:fldCharType="end"/>
            </w:r>
          </w:p>
        </w:tc>
      </w:tr>
    </w:tbl>
    <w:p w14:paraId="7AEF7DA1" w14:textId="77777777" w:rsidR="0063531B" w:rsidRDefault="0063531B"/>
    <w:p w14:paraId="50B375FC" w14:textId="77777777" w:rsidR="007C6FA8" w:rsidRDefault="007C6FA8"/>
    <w:p w14:paraId="0FC21EFD" w14:textId="77777777" w:rsidR="007A22C0" w:rsidRDefault="007A22C0" w:rsidP="007A22C0">
      <w:pPr>
        <w:numPr>
          <w:ilvl w:val="0"/>
          <w:numId w:val="4"/>
        </w:numPr>
        <w:ind w:left="360" w:hanging="450"/>
        <w:jc w:val="both"/>
        <w:rPr>
          <w:rFonts w:ascii="Arial" w:hAnsi="Arial" w:cs="Arial"/>
        </w:rPr>
      </w:pPr>
      <w:r>
        <w:rPr>
          <w:rFonts w:ascii="Arial" w:hAnsi="Arial" w:cs="Arial"/>
        </w:rPr>
        <w:t>Purpose</w:t>
      </w:r>
    </w:p>
    <w:p w14:paraId="252B8C9B" w14:textId="77777777" w:rsidR="007A22C0" w:rsidRDefault="007A22C0" w:rsidP="007A22C0">
      <w:pPr>
        <w:ind w:left="1080"/>
        <w:jc w:val="both"/>
        <w:rPr>
          <w:rFonts w:ascii="Arial" w:hAnsi="Arial" w:cs="Arial"/>
        </w:rPr>
      </w:pPr>
    </w:p>
    <w:p w14:paraId="12BDCEBC" w14:textId="77777777" w:rsidR="009B7614" w:rsidRDefault="007A22C0" w:rsidP="00D66572">
      <w:pPr>
        <w:ind w:left="720" w:hanging="360"/>
        <w:jc w:val="both"/>
        <w:rPr>
          <w:rFonts w:ascii="Arial" w:hAnsi="Arial" w:cs="Arial"/>
        </w:rPr>
      </w:pPr>
      <w:r>
        <w:rPr>
          <w:rFonts w:ascii="Arial" w:hAnsi="Arial" w:cs="Arial"/>
        </w:rPr>
        <w:t>1.1</w:t>
      </w:r>
      <w:r>
        <w:rPr>
          <w:rFonts w:ascii="Arial" w:hAnsi="Arial" w:cs="Arial"/>
        </w:rPr>
        <w:tab/>
      </w:r>
      <w:r w:rsidR="006E403C">
        <w:rPr>
          <w:rFonts w:ascii="Arial" w:hAnsi="Arial" w:cs="Arial"/>
        </w:rPr>
        <w:t xml:space="preserve">This policy describes the use of calibration agencies.  </w:t>
      </w:r>
      <w:r w:rsidR="00232306" w:rsidRPr="007E520C">
        <w:rPr>
          <w:rFonts w:ascii="Arial" w:hAnsi="Arial" w:cs="Arial"/>
        </w:rPr>
        <w:t>All measuring and test equipment (M&amp;TE) and reference standards having a significant effect on the accuracy or validity of the result of the accredited test, calibration or sampling shall be calibrated</w:t>
      </w:r>
      <w:r w:rsidR="006E403C">
        <w:rPr>
          <w:rFonts w:ascii="Arial" w:hAnsi="Arial" w:cs="Arial"/>
        </w:rPr>
        <w:t xml:space="preserve"> </w:t>
      </w:r>
      <w:r w:rsidR="00232306" w:rsidRPr="007E520C">
        <w:rPr>
          <w:rFonts w:ascii="Arial" w:hAnsi="Arial" w:cs="Arial"/>
        </w:rPr>
        <w:t>by</w:t>
      </w:r>
      <w:r w:rsidR="006E403C">
        <w:rPr>
          <w:rFonts w:ascii="Arial" w:hAnsi="Arial" w:cs="Arial"/>
        </w:rPr>
        <w:t xml:space="preserve"> a</w:t>
      </w:r>
      <w:r w:rsidR="00232306" w:rsidRPr="007E520C">
        <w:rPr>
          <w:rFonts w:ascii="Arial" w:hAnsi="Arial" w:cs="Arial"/>
        </w:rPr>
        <w:t xml:space="preserve"> calibration </w:t>
      </w:r>
      <w:r w:rsidR="006E403C">
        <w:rPr>
          <w:rFonts w:ascii="Arial" w:hAnsi="Arial" w:cs="Arial"/>
        </w:rPr>
        <w:t>agency</w:t>
      </w:r>
      <w:r w:rsidR="00232306" w:rsidRPr="007E520C">
        <w:rPr>
          <w:rFonts w:ascii="Arial" w:hAnsi="Arial" w:cs="Arial"/>
        </w:rPr>
        <w:t xml:space="preserve"> accredited to ISO/IEC 17025</w:t>
      </w:r>
      <w:r w:rsidR="006E403C">
        <w:rPr>
          <w:rFonts w:ascii="Arial" w:hAnsi="Arial" w:cs="Arial"/>
        </w:rPr>
        <w:t>.</w:t>
      </w:r>
      <w:r w:rsidR="00067871">
        <w:rPr>
          <w:rFonts w:ascii="Arial" w:hAnsi="Arial" w:cs="Arial"/>
        </w:rPr>
        <w:t xml:space="preserve">  This includes calibration agencies performing calibrations of equipment within your laboratory (</w:t>
      </w:r>
      <w:proofErr w:type="spellStart"/>
      <w:r w:rsidR="00067871">
        <w:rPr>
          <w:rFonts w:ascii="Arial" w:hAnsi="Arial" w:cs="Arial"/>
        </w:rPr>
        <w:t>eg</w:t>
      </w:r>
      <w:proofErr w:type="spellEnd"/>
      <w:r w:rsidR="00067871">
        <w:rPr>
          <w:rFonts w:ascii="Arial" w:hAnsi="Arial" w:cs="Arial"/>
        </w:rPr>
        <w:t>: force, mass, temperature).</w:t>
      </w:r>
    </w:p>
    <w:p w14:paraId="16B0AD29" w14:textId="77777777" w:rsidR="007A22C0" w:rsidRDefault="007A22C0" w:rsidP="007A22C0">
      <w:pPr>
        <w:ind w:left="720" w:hanging="360"/>
        <w:jc w:val="both"/>
        <w:rPr>
          <w:rFonts w:ascii="Arial" w:hAnsi="Arial" w:cs="Arial"/>
        </w:rPr>
      </w:pPr>
    </w:p>
    <w:p w14:paraId="12EFAD7A" w14:textId="77777777" w:rsidR="007A22C0" w:rsidRDefault="007A22C0" w:rsidP="007A22C0">
      <w:pPr>
        <w:numPr>
          <w:ilvl w:val="0"/>
          <w:numId w:val="4"/>
        </w:numPr>
        <w:ind w:left="360" w:hanging="450"/>
        <w:jc w:val="both"/>
        <w:rPr>
          <w:rFonts w:ascii="Arial" w:hAnsi="Arial" w:cs="Arial"/>
        </w:rPr>
      </w:pPr>
      <w:r>
        <w:rPr>
          <w:rFonts w:ascii="Arial" w:hAnsi="Arial" w:cs="Arial"/>
        </w:rPr>
        <w:t>Scope</w:t>
      </w:r>
    </w:p>
    <w:p w14:paraId="0FDEE1E9" w14:textId="77777777" w:rsidR="007A22C0" w:rsidRDefault="007A22C0" w:rsidP="007A22C0">
      <w:pPr>
        <w:jc w:val="both"/>
        <w:rPr>
          <w:rFonts w:ascii="Arial" w:hAnsi="Arial" w:cs="Arial"/>
        </w:rPr>
      </w:pPr>
    </w:p>
    <w:p w14:paraId="748D7125" w14:textId="77777777" w:rsidR="007A22C0" w:rsidRDefault="007A22C0" w:rsidP="006E403C">
      <w:pPr>
        <w:ind w:left="720" w:hanging="360"/>
        <w:jc w:val="both"/>
        <w:rPr>
          <w:rFonts w:ascii="Arial" w:hAnsi="Arial" w:cs="Arial"/>
        </w:rPr>
      </w:pPr>
      <w:r>
        <w:rPr>
          <w:rFonts w:ascii="Arial" w:hAnsi="Arial" w:cs="Arial"/>
        </w:rPr>
        <w:t>2.1</w:t>
      </w:r>
      <w:r>
        <w:rPr>
          <w:rFonts w:ascii="Arial" w:hAnsi="Arial" w:cs="Arial"/>
        </w:rPr>
        <w:tab/>
        <w:t xml:space="preserve">This policy applies to Construction Materials Testing Laboratories.  It is the responsibility of all inspectors and assessors to evaluate compliance of the laboratories to this policy.  </w:t>
      </w:r>
    </w:p>
    <w:p w14:paraId="713A9FE9" w14:textId="77777777" w:rsidR="007A22C0" w:rsidRDefault="007A22C0" w:rsidP="007A22C0">
      <w:pPr>
        <w:ind w:left="360"/>
        <w:jc w:val="both"/>
        <w:rPr>
          <w:rFonts w:ascii="Arial" w:hAnsi="Arial" w:cs="Arial"/>
        </w:rPr>
      </w:pPr>
    </w:p>
    <w:p w14:paraId="71159711" w14:textId="77777777" w:rsidR="007A22C0" w:rsidRDefault="00366206" w:rsidP="007A22C0">
      <w:pPr>
        <w:numPr>
          <w:ilvl w:val="0"/>
          <w:numId w:val="4"/>
        </w:numPr>
        <w:ind w:left="360" w:hanging="450"/>
        <w:jc w:val="both"/>
        <w:rPr>
          <w:rFonts w:ascii="Arial" w:hAnsi="Arial" w:cs="Arial"/>
        </w:rPr>
      </w:pPr>
      <w:r>
        <w:rPr>
          <w:rFonts w:ascii="Arial" w:hAnsi="Arial" w:cs="Arial"/>
        </w:rPr>
        <w:t>Calibration Agencies</w:t>
      </w:r>
    </w:p>
    <w:p w14:paraId="645156E4" w14:textId="77777777" w:rsidR="009C0F1B" w:rsidRDefault="009C0F1B" w:rsidP="009C0F1B">
      <w:pPr>
        <w:tabs>
          <w:tab w:val="left" w:pos="810"/>
        </w:tabs>
        <w:jc w:val="both"/>
        <w:rPr>
          <w:rFonts w:ascii="Arial" w:hAnsi="Arial" w:cs="Arial"/>
        </w:rPr>
      </w:pPr>
    </w:p>
    <w:p w14:paraId="1F7F6270" w14:textId="77777777" w:rsidR="009C0F1B" w:rsidRDefault="00B45DA8" w:rsidP="009C0F1B">
      <w:pPr>
        <w:pStyle w:val="ListParagraph"/>
        <w:numPr>
          <w:ilvl w:val="1"/>
          <w:numId w:val="10"/>
        </w:numPr>
        <w:tabs>
          <w:tab w:val="left" w:pos="810"/>
        </w:tabs>
        <w:jc w:val="both"/>
        <w:rPr>
          <w:rFonts w:ascii="Arial" w:hAnsi="Arial" w:cs="Arial"/>
        </w:rPr>
      </w:pPr>
      <w:r w:rsidRPr="009C0F1B">
        <w:rPr>
          <w:rFonts w:ascii="Arial" w:hAnsi="Arial" w:cs="Arial"/>
        </w:rPr>
        <w:t>All measuring and test equipment having a significant effect on the accuracy and validity or the test results shall be calibrated by a calibration agency accredited to ISO</w:t>
      </w:r>
      <w:r w:rsidR="0032283C" w:rsidRPr="009C0F1B">
        <w:rPr>
          <w:rFonts w:ascii="Arial" w:hAnsi="Arial" w:cs="Arial"/>
        </w:rPr>
        <w:t>/IEC</w:t>
      </w:r>
      <w:r w:rsidRPr="009C0F1B">
        <w:rPr>
          <w:rFonts w:ascii="Arial" w:hAnsi="Arial" w:cs="Arial"/>
        </w:rPr>
        <w:t xml:space="preserve"> 17025.</w:t>
      </w:r>
    </w:p>
    <w:p w14:paraId="74F034F5" w14:textId="77777777" w:rsidR="009C0F1B" w:rsidRDefault="006E403C" w:rsidP="009C0F1B">
      <w:pPr>
        <w:pStyle w:val="ListParagraph"/>
        <w:numPr>
          <w:ilvl w:val="1"/>
          <w:numId w:val="10"/>
        </w:numPr>
        <w:tabs>
          <w:tab w:val="left" w:pos="810"/>
        </w:tabs>
        <w:jc w:val="both"/>
        <w:rPr>
          <w:rFonts w:ascii="Arial" w:hAnsi="Arial" w:cs="Arial"/>
        </w:rPr>
      </w:pPr>
      <w:r w:rsidRPr="009C0F1B">
        <w:rPr>
          <w:rFonts w:ascii="Arial" w:hAnsi="Arial" w:cs="Arial"/>
        </w:rPr>
        <w:t xml:space="preserve">Laboratories shall ensure that all testing and calibration results are traceable wherever possible, through NIST or another National Metrology Institute (NMI) to the International System of Units (SI units).  Calibration certificates shall, where applicable, provide indication of traceability, through the inclusion of the following information clearly visible on the certificate: </w:t>
      </w:r>
    </w:p>
    <w:p w14:paraId="3E2C85C7" w14:textId="77777777" w:rsidR="009C0F1B" w:rsidRDefault="006E403C" w:rsidP="009C0F1B">
      <w:pPr>
        <w:pStyle w:val="ListParagraph"/>
        <w:numPr>
          <w:ilvl w:val="2"/>
          <w:numId w:val="10"/>
        </w:numPr>
        <w:tabs>
          <w:tab w:val="left" w:pos="810"/>
        </w:tabs>
        <w:jc w:val="both"/>
        <w:rPr>
          <w:rFonts w:ascii="Arial" w:hAnsi="Arial" w:cs="Arial"/>
        </w:rPr>
      </w:pPr>
      <w:r w:rsidRPr="009C0F1B">
        <w:rPr>
          <w:rFonts w:ascii="Arial" w:hAnsi="Arial" w:cs="Arial"/>
        </w:rPr>
        <w:t>The uncertainty of measurement associated with a specified range of measurement for a specified measurement parameter (</w:t>
      </w:r>
      <w:proofErr w:type="spellStart"/>
      <w:r w:rsidRPr="009C0F1B">
        <w:rPr>
          <w:rFonts w:ascii="Arial" w:hAnsi="Arial" w:cs="Arial"/>
        </w:rPr>
        <w:t>eg</w:t>
      </w:r>
      <w:proofErr w:type="spellEnd"/>
      <w:r w:rsidRPr="009C0F1B">
        <w:rPr>
          <w:rFonts w:ascii="Arial" w:hAnsi="Arial" w:cs="Arial"/>
        </w:rPr>
        <w:t xml:space="preserve">: force, mass, temperature); </w:t>
      </w:r>
    </w:p>
    <w:p w14:paraId="4D14F6FD" w14:textId="77777777" w:rsidR="006E403C" w:rsidRPr="009C0F1B" w:rsidRDefault="006E403C" w:rsidP="009C0F1B">
      <w:pPr>
        <w:pStyle w:val="ListParagraph"/>
        <w:numPr>
          <w:ilvl w:val="2"/>
          <w:numId w:val="10"/>
        </w:numPr>
        <w:tabs>
          <w:tab w:val="left" w:pos="810"/>
        </w:tabs>
        <w:jc w:val="both"/>
        <w:rPr>
          <w:rFonts w:ascii="Arial" w:hAnsi="Arial" w:cs="Arial"/>
        </w:rPr>
      </w:pPr>
      <w:r w:rsidRPr="009C0F1B">
        <w:rPr>
          <w:rFonts w:ascii="Arial" w:hAnsi="Arial" w:cs="Arial"/>
        </w:rPr>
        <w:t xml:space="preserve">The symbol of an accreditation body that has recognized the competence of the </w:t>
      </w:r>
      <w:r w:rsidR="00366206" w:rsidRPr="009C0F1B">
        <w:rPr>
          <w:rFonts w:ascii="Arial" w:hAnsi="Arial" w:cs="Arial"/>
        </w:rPr>
        <w:t>calibration agency</w:t>
      </w:r>
      <w:r w:rsidRPr="009C0F1B">
        <w:rPr>
          <w:rFonts w:ascii="Arial" w:hAnsi="Arial" w:cs="Arial"/>
        </w:rPr>
        <w:t xml:space="preserve"> through accreditation, or equivalent.</w:t>
      </w:r>
    </w:p>
    <w:p w14:paraId="38541DA1" w14:textId="77777777" w:rsidR="00651D88" w:rsidRDefault="00651D88" w:rsidP="00366206">
      <w:pPr>
        <w:ind w:left="720" w:hanging="360"/>
        <w:jc w:val="both"/>
        <w:rPr>
          <w:rFonts w:ascii="Arial" w:hAnsi="Arial" w:cs="Arial"/>
        </w:rPr>
      </w:pPr>
    </w:p>
    <w:p w14:paraId="0E017B8A" w14:textId="77777777" w:rsidR="009C0F1B" w:rsidRDefault="00651D88" w:rsidP="009C0F1B">
      <w:pPr>
        <w:pStyle w:val="ListParagraph"/>
        <w:numPr>
          <w:ilvl w:val="0"/>
          <w:numId w:val="10"/>
        </w:numPr>
        <w:tabs>
          <w:tab w:val="left" w:pos="360"/>
          <w:tab w:val="left" w:pos="630"/>
        </w:tabs>
        <w:jc w:val="both"/>
        <w:rPr>
          <w:rFonts w:ascii="Arial" w:hAnsi="Arial" w:cs="Arial"/>
        </w:rPr>
      </w:pPr>
      <w:r w:rsidRPr="009C0F1B">
        <w:rPr>
          <w:rFonts w:ascii="Arial" w:hAnsi="Arial" w:cs="Arial"/>
        </w:rPr>
        <w:t xml:space="preserve">Conformance to this Policy </w:t>
      </w:r>
      <w:r w:rsidR="00366206" w:rsidRPr="009C0F1B">
        <w:rPr>
          <w:rFonts w:ascii="Arial" w:hAnsi="Arial" w:cs="Arial"/>
        </w:rPr>
        <w:t xml:space="preserve"> </w:t>
      </w:r>
    </w:p>
    <w:p w14:paraId="69ED0CA3" w14:textId="77777777" w:rsidR="009C0F1B" w:rsidRPr="009C0F1B" w:rsidRDefault="009C0F1B" w:rsidP="009C0F1B">
      <w:pPr>
        <w:tabs>
          <w:tab w:val="left" w:pos="360"/>
          <w:tab w:val="left" w:pos="630"/>
        </w:tabs>
        <w:jc w:val="both"/>
        <w:rPr>
          <w:rFonts w:ascii="Arial" w:hAnsi="Arial" w:cs="Arial"/>
        </w:rPr>
      </w:pPr>
    </w:p>
    <w:p w14:paraId="460AA933" w14:textId="77777777" w:rsidR="00366206" w:rsidRPr="009C0F1B" w:rsidRDefault="00366206" w:rsidP="009C0F1B">
      <w:pPr>
        <w:pStyle w:val="ListParagraph"/>
        <w:numPr>
          <w:ilvl w:val="1"/>
          <w:numId w:val="10"/>
        </w:numPr>
        <w:tabs>
          <w:tab w:val="left" w:pos="360"/>
          <w:tab w:val="left" w:pos="630"/>
        </w:tabs>
        <w:jc w:val="both"/>
        <w:rPr>
          <w:rFonts w:ascii="Arial" w:hAnsi="Arial" w:cs="Arial"/>
        </w:rPr>
      </w:pPr>
      <w:r w:rsidRPr="009C0F1B">
        <w:rPr>
          <w:rFonts w:ascii="Arial" w:hAnsi="Arial" w:cs="Arial"/>
        </w:rPr>
        <w:t xml:space="preserve">CMEC accredited laboratories </w:t>
      </w:r>
      <w:r w:rsidR="00B45DA8" w:rsidRPr="009C0F1B">
        <w:rPr>
          <w:rFonts w:ascii="Arial" w:hAnsi="Arial" w:cs="Arial"/>
        </w:rPr>
        <w:t>shall</w:t>
      </w:r>
      <w:r w:rsidR="00651D88" w:rsidRPr="009C0F1B">
        <w:rPr>
          <w:rFonts w:ascii="Arial" w:hAnsi="Arial" w:cs="Arial"/>
        </w:rPr>
        <w:t xml:space="preserve"> conform to the criteria for selecting and using calibration agencies that are accredited to ISO</w:t>
      </w:r>
      <w:r w:rsidR="0032283C" w:rsidRPr="009C0F1B">
        <w:rPr>
          <w:rFonts w:ascii="Arial" w:hAnsi="Arial" w:cs="Arial"/>
        </w:rPr>
        <w:t>/IEC</w:t>
      </w:r>
      <w:r w:rsidR="00651D88" w:rsidRPr="009C0F1B">
        <w:rPr>
          <w:rFonts w:ascii="Arial" w:hAnsi="Arial" w:cs="Arial"/>
        </w:rPr>
        <w:t xml:space="preserve"> 17025</w:t>
      </w:r>
      <w:r w:rsidR="00B45DA8" w:rsidRPr="009C0F1B">
        <w:rPr>
          <w:rFonts w:ascii="Arial" w:hAnsi="Arial" w:cs="Arial"/>
        </w:rPr>
        <w:t xml:space="preserve"> by </w:t>
      </w:r>
      <w:r w:rsidR="00B45DA8" w:rsidRPr="009C0F1B">
        <w:rPr>
          <w:rFonts w:ascii="Arial" w:hAnsi="Arial" w:cs="Arial"/>
          <w:b/>
        </w:rPr>
        <w:t xml:space="preserve">January </w:t>
      </w:r>
      <w:r w:rsidR="0075303F" w:rsidRPr="009C0F1B">
        <w:rPr>
          <w:rFonts w:ascii="Arial" w:hAnsi="Arial" w:cs="Arial"/>
          <w:b/>
        </w:rPr>
        <w:t xml:space="preserve">1, </w:t>
      </w:r>
      <w:r w:rsidR="00B45DA8" w:rsidRPr="009C0F1B">
        <w:rPr>
          <w:rFonts w:ascii="Arial" w:hAnsi="Arial" w:cs="Arial"/>
          <w:b/>
        </w:rPr>
        <w:t>2019</w:t>
      </w:r>
      <w:r w:rsidR="00B45DA8" w:rsidRPr="009C0F1B">
        <w:rPr>
          <w:rFonts w:ascii="Arial" w:hAnsi="Arial" w:cs="Arial"/>
        </w:rPr>
        <w:t>.</w:t>
      </w:r>
    </w:p>
    <w:p w14:paraId="2209D728" w14:textId="77777777" w:rsidR="009B7614" w:rsidRDefault="009B7614" w:rsidP="007A22C0">
      <w:pPr>
        <w:jc w:val="both"/>
        <w:rPr>
          <w:rFonts w:ascii="Arial" w:hAnsi="Arial" w:cs="Arial"/>
        </w:rPr>
      </w:pPr>
    </w:p>
    <w:sectPr w:rsidR="009B7614" w:rsidSect="00635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F4CA9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21D32"/>
    <w:multiLevelType w:val="hybridMultilevel"/>
    <w:tmpl w:val="A0B00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440D15"/>
    <w:multiLevelType w:val="hybridMultilevel"/>
    <w:tmpl w:val="3A5413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845A53"/>
    <w:multiLevelType w:val="hybridMultilevel"/>
    <w:tmpl w:val="D00023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8CE4978"/>
    <w:multiLevelType w:val="hybridMultilevel"/>
    <w:tmpl w:val="8B4C88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B3B6339"/>
    <w:multiLevelType w:val="hybridMultilevel"/>
    <w:tmpl w:val="AE6272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2BA610B"/>
    <w:multiLevelType w:val="hybridMultilevel"/>
    <w:tmpl w:val="9D4AB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BA4B4D"/>
    <w:multiLevelType w:val="hybridMultilevel"/>
    <w:tmpl w:val="81AAE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6403F2"/>
    <w:multiLevelType w:val="hybridMultilevel"/>
    <w:tmpl w:val="2D8CD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F92298"/>
    <w:multiLevelType w:val="multilevel"/>
    <w:tmpl w:val="9544F5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4"/>
  </w:num>
  <w:num w:numId="3">
    <w:abstractNumId w:val="5"/>
  </w:num>
  <w:num w:numId="4">
    <w:abstractNumId w:val="6"/>
  </w:num>
  <w:num w:numId="5">
    <w:abstractNumId w:val="3"/>
  </w:num>
  <w:num w:numId="6">
    <w:abstractNumId w:val="2"/>
  </w:num>
  <w:num w:numId="7">
    <w:abstractNumId w:val="8"/>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A8"/>
    <w:rsid w:val="00067871"/>
    <w:rsid w:val="00082058"/>
    <w:rsid w:val="000C36BA"/>
    <w:rsid w:val="00150806"/>
    <w:rsid w:val="00197798"/>
    <w:rsid w:val="00232306"/>
    <w:rsid w:val="002C7655"/>
    <w:rsid w:val="0032283C"/>
    <w:rsid w:val="00366206"/>
    <w:rsid w:val="00393DF0"/>
    <w:rsid w:val="003D0EFA"/>
    <w:rsid w:val="003F6B14"/>
    <w:rsid w:val="004047A2"/>
    <w:rsid w:val="00451931"/>
    <w:rsid w:val="004C3F74"/>
    <w:rsid w:val="005A053B"/>
    <w:rsid w:val="0063531B"/>
    <w:rsid w:val="00651D88"/>
    <w:rsid w:val="006E403C"/>
    <w:rsid w:val="0075303F"/>
    <w:rsid w:val="007A22C0"/>
    <w:rsid w:val="007C6FA8"/>
    <w:rsid w:val="007E520C"/>
    <w:rsid w:val="008F554F"/>
    <w:rsid w:val="009122E3"/>
    <w:rsid w:val="009B7614"/>
    <w:rsid w:val="009C0F1B"/>
    <w:rsid w:val="00B45DA8"/>
    <w:rsid w:val="00C94D3C"/>
    <w:rsid w:val="00CD1348"/>
    <w:rsid w:val="00D12CD0"/>
    <w:rsid w:val="00D66572"/>
    <w:rsid w:val="00E831BA"/>
    <w:rsid w:val="00E94EA5"/>
    <w:rsid w:val="00F64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3E5F0A"/>
  <w14:defaultImageDpi w14:val="300"/>
  <w15:docId w15:val="{0EAFA68A-C116-6E40-8A7F-7AA026DE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FA8"/>
    <w:rPr>
      <w:rFonts w:ascii="Times New Roman" w:eastAsia="Times New Roman" w:hAnsi="Times New Roman"/>
      <w:sz w:val="24"/>
      <w:szCs w:val="24"/>
    </w:rPr>
  </w:style>
  <w:style w:type="paragraph" w:styleId="Heading1">
    <w:name w:val="heading 1"/>
    <w:basedOn w:val="Normal"/>
    <w:next w:val="Normal"/>
    <w:link w:val="Heading1Char"/>
    <w:qFormat/>
    <w:rsid w:val="007C6FA8"/>
    <w:pPr>
      <w:keepNext/>
      <w:jc w:val="center"/>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C6FA8"/>
    <w:rPr>
      <w:rFonts w:ascii="Times New Roman" w:eastAsia="Times New Roman" w:hAnsi="Times New Roman" w:cs="Times New Roman"/>
      <w:b/>
      <w:bCs/>
      <w:i/>
      <w:iCs/>
      <w:sz w:val="24"/>
      <w:szCs w:val="24"/>
    </w:rPr>
  </w:style>
  <w:style w:type="paragraph" w:styleId="Header">
    <w:name w:val="header"/>
    <w:basedOn w:val="Normal"/>
    <w:link w:val="HeaderChar"/>
    <w:rsid w:val="007C6FA8"/>
    <w:pPr>
      <w:tabs>
        <w:tab w:val="center" w:pos="4320"/>
        <w:tab w:val="right" w:pos="8640"/>
      </w:tabs>
    </w:pPr>
    <w:rPr>
      <w:sz w:val="20"/>
      <w:szCs w:val="20"/>
    </w:rPr>
  </w:style>
  <w:style w:type="character" w:customStyle="1" w:styleId="HeaderChar">
    <w:name w:val="Header Char"/>
    <w:link w:val="Header"/>
    <w:rsid w:val="007C6FA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6FA8"/>
    <w:rPr>
      <w:rFonts w:ascii="Tahoma" w:hAnsi="Tahoma" w:cs="Tahoma"/>
      <w:sz w:val="16"/>
      <w:szCs w:val="16"/>
    </w:rPr>
  </w:style>
  <w:style w:type="character" w:customStyle="1" w:styleId="BalloonTextChar">
    <w:name w:val="Balloon Text Char"/>
    <w:link w:val="BalloonText"/>
    <w:uiPriority w:val="99"/>
    <w:semiHidden/>
    <w:rsid w:val="007C6FA8"/>
    <w:rPr>
      <w:rFonts w:ascii="Tahoma" w:eastAsia="Times New Roman" w:hAnsi="Tahoma" w:cs="Tahoma"/>
      <w:sz w:val="16"/>
      <w:szCs w:val="16"/>
    </w:rPr>
  </w:style>
  <w:style w:type="paragraph" w:styleId="ListParagraph">
    <w:name w:val="List Paragraph"/>
    <w:basedOn w:val="Normal"/>
    <w:uiPriority w:val="34"/>
    <w:qFormat/>
    <w:rsid w:val="00C94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8299">
      <w:bodyDiv w:val="1"/>
      <w:marLeft w:val="0"/>
      <w:marRight w:val="0"/>
      <w:marTop w:val="0"/>
      <w:marBottom w:val="0"/>
      <w:divBdr>
        <w:top w:val="none" w:sz="0" w:space="0" w:color="auto"/>
        <w:left w:val="none" w:sz="0" w:space="0" w:color="auto"/>
        <w:bottom w:val="none" w:sz="0" w:space="0" w:color="auto"/>
        <w:right w:val="none" w:sz="0" w:space="0" w:color="auto"/>
      </w:divBdr>
    </w:div>
    <w:div w:id="218326508">
      <w:bodyDiv w:val="1"/>
      <w:marLeft w:val="0"/>
      <w:marRight w:val="0"/>
      <w:marTop w:val="0"/>
      <w:marBottom w:val="0"/>
      <w:divBdr>
        <w:top w:val="none" w:sz="0" w:space="0" w:color="auto"/>
        <w:left w:val="none" w:sz="0" w:space="0" w:color="auto"/>
        <w:bottom w:val="none" w:sz="0" w:space="0" w:color="auto"/>
        <w:right w:val="none" w:sz="0" w:space="0" w:color="auto"/>
      </w:divBdr>
    </w:div>
    <w:div w:id="563296160">
      <w:bodyDiv w:val="1"/>
      <w:marLeft w:val="0"/>
      <w:marRight w:val="0"/>
      <w:marTop w:val="0"/>
      <w:marBottom w:val="0"/>
      <w:divBdr>
        <w:top w:val="none" w:sz="0" w:space="0" w:color="auto"/>
        <w:left w:val="none" w:sz="0" w:space="0" w:color="auto"/>
        <w:bottom w:val="none" w:sz="0" w:space="0" w:color="auto"/>
        <w:right w:val="none" w:sz="0" w:space="0" w:color="auto"/>
      </w:divBdr>
    </w:div>
    <w:div w:id="1549948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Amy Seigler</cp:lastModifiedBy>
  <cp:revision>2</cp:revision>
  <cp:lastPrinted>2010-10-11T12:44:00Z</cp:lastPrinted>
  <dcterms:created xsi:type="dcterms:W3CDTF">2019-07-08T14:52:00Z</dcterms:created>
  <dcterms:modified xsi:type="dcterms:W3CDTF">2019-07-08T14:52:00Z</dcterms:modified>
</cp:coreProperties>
</file>