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Safeguarding and Child Protection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u w:val="single"/>
          <w:shd w:val="clear" w:color="auto" w:fill="ffffff"/>
          <w:rtl w:val="0"/>
          <w14:textFill>
            <w14:solidFill>
              <w14:srgbClr w14:val="3D3D3C"/>
            </w14:solidFill>
          </w14:textFill>
        </w:rPr>
      </w:pPr>
      <w:r>
        <w:rPr>
          <w:rFonts w:ascii="Helvetica" w:hAnsi="Helvetica"/>
          <w:outline w:val="0"/>
          <w:color w:val="3d3d3b"/>
          <w:sz w:val="22"/>
          <w:szCs w:val="22"/>
          <w:u w:val="single"/>
          <w:shd w:val="clear" w:color="auto" w:fill="ffffff"/>
          <w:rtl w:val="0"/>
          <w:lang w:val="en-US"/>
          <w14:textFill>
            <w14:solidFill>
              <w14:srgbClr w14:val="3D3D3C"/>
            </w14:solidFill>
          </w14:textFill>
        </w:rPr>
        <w:t>Section 1: Rationale and different types of abuse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Uttoxeter Town Band is a non- contesting community brass band which welcomes players of all ages and abilities. As part of our duty of care we recognise the need to have a robust Safeguarding policy and a clear procedure to follow in the case of any concern. We have adapted the policy and procedures of Brass Bands England, as detailed below.</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Abuse and Neglect of children</w:t>
      </w:r>
    </w:p>
    <w:p>
      <w:pPr>
        <w:pStyle w:val="Default"/>
        <w:bidi w:val="0"/>
        <w:spacing w:before="0"/>
        <w:ind w:left="0" w:right="0" w:firstLine="0"/>
        <w:jc w:val="left"/>
        <w:rPr>
          <w:rFonts w:ascii="Helvetica" w:cs="Helvetica" w:hAnsi="Helvetica" w:eastAsia="Helvetica"/>
          <w:outline w:val="0"/>
          <w:color w:val="3d3d3b"/>
          <w:sz w:val="22"/>
          <w:szCs w:val="22"/>
          <w:u w:val="single"/>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Abuse and neglect are forms of maltreatment of a child or young person.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They may result in a child suffering or being likely to suffer significant harm. Somebody may abuse or neglect a child by inflicting harm, or by failing to act to prevent harm.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Children may be abused in a family or in an institutional or community setting, by those known to them or, more rarely, by a stranger.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They may be abused by an adult, or another child or children.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Government guidance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Working Together to Safeguard Children</w:t>
      </w:r>
      <w:r>
        <w:rPr>
          <w:rFonts w:ascii="Helvetica" w:hAnsi="Helvetica" w:hint="default"/>
          <w:outline w:val="0"/>
          <w:color w:val="3d3d3b"/>
          <w:sz w:val="22"/>
          <w:szCs w:val="22"/>
          <w:shd w:val="clear" w:color="auto" w:fill="ffffff"/>
          <w:rtl w:val="1"/>
          <w14:textFill>
            <w14:solidFill>
              <w14:srgbClr w14:val="3D3D3C"/>
            </w14:solidFill>
          </w14:textFill>
        </w:rPr>
        <w:t xml:space="preserve">’ </w:t>
      </w:r>
      <w:r>
        <w:rPr>
          <w:rFonts w:ascii="Helvetica" w:hAnsi="Helvetica"/>
          <w:outline w:val="0"/>
          <w:color w:val="3d3d3b"/>
          <w:sz w:val="22"/>
          <w:szCs w:val="22"/>
          <w:shd w:val="clear" w:color="auto" w:fill="ffffff"/>
          <w:rtl w:val="0"/>
          <w14:textFill>
            <w14:solidFill>
              <w14:srgbClr w14:val="3D3D3C"/>
            </w14:solidFill>
          </w14:textFill>
        </w:rPr>
        <w:t>(201</w:t>
      </w:r>
      <w:r>
        <w:rPr>
          <w:rFonts w:ascii="Helvetica" w:hAnsi="Helvetica"/>
          <w:outline w:val="0"/>
          <w:color w:val="3d3d3b"/>
          <w:sz w:val="22"/>
          <w:szCs w:val="22"/>
          <w:shd w:val="clear" w:color="auto" w:fill="ffffff"/>
          <w:rtl w:val="0"/>
          <w:lang w:val="en-US"/>
          <w14:textFill>
            <w14:solidFill>
              <w14:srgbClr w14:val="3D3D3C"/>
            </w14:solidFill>
          </w14:textFill>
        </w:rPr>
        <w:t>8</w:t>
      </w:r>
      <w:r>
        <w:rPr>
          <w:rFonts w:ascii="Helvetica" w:hAnsi="Helvetica"/>
          <w:outline w:val="0"/>
          <w:color w:val="3d3d3b"/>
          <w:sz w:val="22"/>
          <w:szCs w:val="22"/>
          <w:shd w:val="clear" w:color="auto" w:fill="ffffff"/>
          <w:rtl w:val="0"/>
          <w:lang w:val="en-US"/>
          <w14:textFill>
            <w14:solidFill>
              <w14:srgbClr w14:val="3D3D3C"/>
            </w14:solidFill>
          </w14:textFill>
        </w:rPr>
        <w:t>) defines various forms of abuse, including:</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2"/>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Physical abuse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Physical abuse may involve hitting, shaking, throwing, poisoning, burning or scalding, drowning, suffocating, or otherwise causing physical harm to a child.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Physical harm may also be caused when a parent or carer fabricates the symptoms of, or deliberately induces, illness in a child.</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2"/>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Emotional abuse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Emotional abuse is the persistent emotional maltreatment of a child such as to cause severe and persistent adverse effects on the child</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 xml:space="preserve">s emotional development.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It may involve conveying to children that they are worthless or unloved, inadequate, or valued only insofar as they meet the needs of another person.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It may include not giving the child opportunities to express their views, deliberately silencing them or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making fun</w:t>
      </w:r>
      <w:r>
        <w:rPr>
          <w:rFonts w:ascii="Helvetica" w:hAnsi="Helvetica" w:hint="default"/>
          <w:outline w:val="0"/>
          <w:color w:val="3d3d3b"/>
          <w:sz w:val="22"/>
          <w:szCs w:val="22"/>
          <w:shd w:val="clear" w:color="auto" w:fill="ffffff"/>
          <w:rtl w:val="1"/>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of what they say or how they communicate.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It may feature age or developmentally inappropriate expectations being imposed on children.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These may include interactions that are beyond the child</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 xml:space="preserve">s developmental capability, as well as overprotection and limitation of exploration and learning, or preventing the child participating in normal social interaction.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It may involve seeing or hearing the ill-treatment of another.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It may involve serious bullying, causing children frequently to feel frightened or in danger, or the exploitation or corruption of children.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Some level of emotional abuse is involved in all types of maltreatment of a child, though it may occur alone.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numPr>
          <w:ilvl w:val="0"/>
          <w:numId w:val="2"/>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Sexual abuse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Sexual abuse involves forcing or enticing a child or young person to take part in sexual activities, not necessarily involving a high level of violence, whether or not the child is aware of what is happening.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The activities may involve physical contact, including assault by penetration (for example, rape or oral sex) or non-penetrative acts such as masturbation, kissing, rubbing and touching outside of clothing.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Sexual abuse is not solely perpetrated by adult males.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Women can also commit acts of sexual abuse, as can other children.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numPr>
          <w:ilvl w:val="0"/>
          <w:numId w:val="2"/>
        </w:numPr>
        <w:bidi w:val="0"/>
        <w:spacing w:before="0"/>
        <w:ind w:right="0"/>
        <w:jc w:val="left"/>
        <w:rPr>
          <w:rFonts w:ascii="Helvetica" w:hAnsi="Helvetica"/>
          <w:outline w:val="0"/>
          <w:color w:val="3d3d3b"/>
          <w:sz w:val="22"/>
          <w:szCs w:val="22"/>
          <w:shd w:val="clear" w:color="auto" w:fill="ffffff"/>
          <w:rtl w:val="0"/>
          <w:lang w:val="it-IT"/>
          <w14:textFill>
            <w14:solidFill>
              <w14:srgbClr w14:val="3D3D3C"/>
            </w14:solidFill>
          </w14:textFill>
        </w:rPr>
      </w:pPr>
      <w:r>
        <w:rPr>
          <w:rFonts w:ascii="Helvetica" w:hAnsi="Helvetica"/>
          <w:outline w:val="0"/>
          <w:color w:val="3d3d3b"/>
          <w:sz w:val="22"/>
          <w:szCs w:val="22"/>
          <w:shd w:val="clear" w:color="auto" w:fill="ffffff"/>
          <w:rtl w:val="0"/>
          <w:lang w:val="it-IT"/>
          <w14:textFill>
            <w14:solidFill>
              <w14:srgbClr w14:val="3D3D3C"/>
            </w14:solidFill>
          </w14:textFill>
        </w:rPr>
        <w:t>Neglect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Neglect is the persistent failure to meet a child</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basic physical and/or psychological needs, likely to result in the serious impairment of the child</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 xml:space="preserve">s health or development.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Neglect may occur during pregnancy as a result of maternal substance abuse.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Once a child is born, neglect may involve a parent or carer failing to:</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Provide adequate food, clothing and shelter (including exclusion from home or abandonment);</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Protect a child from physical and emotional harm or danger;</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Ensure adequate supervision (including the use of inadequate care givers); or</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Ensure access to appropriate medical care or treatment.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It may also include neglect of, or unresponsiveness to, a child</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basic emotional needs.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cs="Helvetica" w:hAnsi="Helvetica" w:eastAsia="Helvetica"/>
          <w:outline w:val="0"/>
          <w:color w:val="3d3d3b"/>
          <w:sz w:val="22"/>
          <w:szCs w:val="22"/>
          <w:shd w:val="clear" w:color="auto" w:fill="ffffff"/>
          <w:rtl w:val="0"/>
          <w14:textFill>
            <w14:solidFill>
              <w14:srgbClr w14:val="3D3D3C"/>
            </w14:solidFill>
          </w14:textFill>
        </w:rPr>
        <w:tab/>
      </w:r>
      <w:r>
        <w:rPr>
          <w:rFonts w:ascii="Helvetica" w:hAnsi="Helvetica"/>
          <w:outline w:val="0"/>
          <w:color w:val="3d3d3b"/>
          <w:sz w:val="22"/>
          <w:szCs w:val="22"/>
          <w:shd w:val="clear" w:color="auto" w:fill="ffffff"/>
          <w:rtl w:val="0"/>
          <w:lang w:val="en-US"/>
          <w14:textFill>
            <w14:solidFill>
              <w14:srgbClr w14:val="3D3D3C"/>
            </w14:solidFill>
          </w14:textFill>
        </w:rPr>
        <w:t>Other ways in which abuse may be perpetrated</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As suggested under the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Sexual Abuse</w:t>
      </w:r>
      <w:r>
        <w:rPr>
          <w:rFonts w:ascii="Helvetica" w:hAnsi="Helvetica" w:hint="default"/>
          <w:outline w:val="0"/>
          <w:color w:val="3d3d3b"/>
          <w:sz w:val="22"/>
          <w:szCs w:val="22"/>
          <w:shd w:val="clear" w:color="auto" w:fill="ffffff"/>
          <w:rtl w:val="1"/>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heading above, it should be noted that perpetrators are increasingly using online methods to access children and young people as well as to indulge in abuse by creating or downloading abusive images of them. Other forms of abuse include in which digital technology may often (but not always) play a part include: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Child sexual exploitation: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It's important to recognise that although the age of consent is 16 years old, children and young people over 16 can be exploited. Child sexual exploitation is a very complex form of abuse. It can be difficult for parents and carers to understand and hard for the young person to acknowledge that they are being exploited.</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Forms of modern slavery.</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Abuse linked to cultural or religious belief (such as: Female genital mutilation (FGM), honour violence, forced</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marriage or abuse associated with a belief in spiritual possession).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Extremism: defined in Working Together 2018 as behaviour which includes targeting people who may be vulnerable </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including the young </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by seeking to sow division between communities on the basis of race, faith or denomination; justify discrimination towards women and girls; persuade others that minorities are inferior; or argue against the primacy of democracy and the rule of law in our society.</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Child criminal exploitation: where an individual or group takes advantage of an imbalance of power to coerce, control, manipulate or deceive a child or young person under the age of 18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Child criminal exploitation does not always involve physical contact; it can also occur through the use of technology. County lines: a term used to describe gangs and organised criminal networks involved in exporting illegal drugs into the UK, using dedicated mobile phone lines or other form of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deal line</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 They are likely to exploit children and vulnerable adults to move and store the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drugs and money, and they will often use coercion, intimidation, violence (including sexual violence) and weapons.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Bullying and Cyberbullying: Bullying is intentional behaviour that hurts someone else. It includes name calling, hitting, pushing, spreading rumours, threatening or undermining someone. It can happen anywhere </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at school, at home or online. It's usually repeated over a long period of time and can hurt a child both physically and emotionally. Cyberbullying is bullying that takes place online. Unlike bullying offline, online bullying can follow the child wherever they go, via social networks, gaming and mobile phone. A person can be bullied online and offline at the same time.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Domestic abuse: Domestic abuse is any type of controlling, bullying, threatening or violent behaviour between people who are or have been in a relationship. It can also happen between adults related to one another. It can seriously harm children and young people, and experiencing domestic abuse is child abuse.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Grooming: Grooming is when someone builds a relationship, trust and emotional connection with a child or young person so they can manipulate, exploit and abuse them. Children and young people who are groomed can be sexually abused, exploited or trafficked. Anybody can be a groomer, no matter their age, gender or race. Grooming can take place over a short or long period of time </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from weeks to years. Groomers may also build a relationship with the young person's family or friends to make them seem trustworthy or authoritative.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Abuse of a position of trust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Abuse of a position of trust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This is a legal concept within The Sexual Offences Act 2003.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It involves an adult of 18 or over engaging in sexual activity with or in the presence of a child or young person under 18, where the older person is in a position of responsibility towards the child or young person in one of a variety of settings, including a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workplace setting</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14:textFill>
            <w14:solidFill>
              <w14:srgbClr w14:val="3D3D3C"/>
            </w14:solidFill>
          </w14:textFill>
        </w:rPr>
        <w:t xml:space="preserve">.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The concept also covers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causing or inciting a child</w:t>
      </w:r>
      <w:r>
        <w:rPr>
          <w:rFonts w:ascii="Helvetica" w:hAnsi="Helvetica" w:hint="default"/>
          <w:outline w:val="0"/>
          <w:color w:val="3d3d3b"/>
          <w:sz w:val="22"/>
          <w:szCs w:val="22"/>
          <w:shd w:val="clear" w:color="auto" w:fill="ffffff"/>
          <w:rtl w:val="1"/>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to engage in sexual activity, and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causing a child to watch a sexual act</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14:textFill>
            <w14:solidFill>
              <w14:srgbClr w14:val="3D3D3C"/>
            </w14:solidFill>
          </w14:textFill>
        </w:rPr>
        <w: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 Young carers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 young carer is a person under 18 who provides or intends to provide care for another person (of any age, except generally where that care is provided for payment, pursuant to a contract or as voluntary work). Statutory safeguarding guidance recognises that young carers may have support needs, and stipulates the circumstances in which a local authority must carry out an assessment.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6. Contextual safeguarding</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This is an approach to safeguarding where it is recognised that risk to children or young people exists in situations outside the family. The term and the methodology were developed by Dr Carlene Firmin and staff at the University of Bedfordshire. It advocates a multi-agency and multi-dimensional approach that targets the contexts where children and young people may be at risk rather than individual young people themselves, although individual support may still have an important role to play. For further information see https://contextualsafeguarding.org.uk/</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Responsibilities under Working Together to Safeguard Children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Under Chapter 1 of this statutory guidance it is the responsibility of band leaders and those working with young members to share information and work together with statutory partners if they have concerns that a child or young person may be at risk of abuse or neglect.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Once a referral has been received by a local authority children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 xml:space="preserve">s social care team, they should, within one working day, make a decision about the type of response that is required and acknowledge receipt to the referrer.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Feedback should also be provided to the referrer on decisions taken by the local authority.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For example, the local authority, may take the view that the child and family are in need of support services, or may decide that the child is in need of protection.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If a band believes that the position taken by the local authority is inadequate to protect the child or young person, we will consider escalating the referral within the Local Authority.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It is not the job of bands to take a view on whether abuse has taken place or is at risk of taking place, nor is it the job of bands to conduct an assessment on this matter; this is the role of the statutory agencies such as the local authority and police.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Abuse of adults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There are many different types of abuse affecting adults.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They include:</w:t>
      </w:r>
    </w:p>
    <w:p>
      <w:pPr>
        <w:pStyle w:val="Default"/>
        <w:numPr>
          <w:ilvl w:val="0"/>
          <w:numId w:val="5"/>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Physical</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This is 'the use of force which results in pain or injury or a change in a person's natural physical state' or 'the non-accidental infliction of physical force that results in bodily injury, pain or impairment'.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It may include behaviours like the misuse of medication, inappropriate restraint or the use of inappropriate sanctions, as well as the actions more commonly associated with physical abuse (such as slapping, pushing etc.).</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2"/>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Sexual</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Examples of sexual abuse include the direct or indirect involvement of the adult at risk in sexual activity or relationships which they do not want or have not consented to.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Specific behaviours could include: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14:textFill>
            <w14:solidFill>
              <w14:srgbClr w14:val="3D3D3C"/>
            </w14:solidFill>
          </w14:textFill>
        </w:rPr>
        <w:t>rape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indecent exposure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sexual harassment</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inappropriate looking or touching</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sexual teasing or innuendo</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sexual photography</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subjection to pornography or witnessing sexual acts</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indecent exposure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pt-PT"/>
          <w14:textFill>
            <w14:solidFill>
              <w14:srgbClr w14:val="3D3D3C"/>
            </w14:solidFill>
          </w14:textFill>
        </w:rPr>
      </w:pPr>
      <w:r>
        <w:rPr>
          <w:rFonts w:ascii="Helvetica" w:hAnsi="Helvetica"/>
          <w:outline w:val="0"/>
          <w:color w:val="3d3d3b"/>
          <w:sz w:val="22"/>
          <w:szCs w:val="22"/>
          <w:shd w:val="clear" w:color="auto" w:fill="ffffff"/>
          <w:rtl w:val="0"/>
          <w:lang w:val="pt-PT"/>
          <w14:textFill>
            <w14:solidFill>
              <w14:srgbClr w14:val="3D3D3C"/>
            </w14:solidFill>
          </w14:textFill>
        </w:rPr>
        <w:t>sexual assault</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putting pressure on </w:t>
      </w:r>
      <w:r>
        <w:rPr>
          <w:rFonts w:ascii="Helvetica" w:hAnsi="Helvetica"/>
          <w:outline w:val="0"/>
          <w:color w:val="3d3d3b"/>
          <w:sz w:val="22"/>
          <w:szCs w:val="22"/>
          <w:shd w:val="clear" w:color="auto" w:fill="ffffff"/>
          <w:rtl w:val="0"/>
          <w:lang w:val="en-US"/>
          <w14:textFill>
            <w14:solidFill>
              <w14:srgbClr w14:val="3D3D3C"/>
            </w14:solidFill>
          </w14:textFill>
        </w:rPr>
        <w:t xml:space="preserve">a person </w:t>
      </w:r>
      <w:r>
        <w:rPr>
          <w:rFonts w:ascii="Helvetica" w:hAnsi="Helvetica"/>
          <w:outline w:val="0"/>
          <w:color w:val="3d3d3b"/>
          <w:sz w:val="22"/>
          <w:szCs w:val="22"/>
          <w:shd w:val="clear" w:color="auto" w:fill="ffffff"/>
          <w:rtl w:val="0"/>
          <w:lang w:val="en-US"/>
          <w14:textFill>
            <w14:solidFill>
              <w14:srgbClr w14:val="3D3D3C"/>
            </w14:solidFill>
          </w14:textFill>
        </w:rPr>
        <w:t>to consenting to sexual acts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6"/>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Emotional and psychological</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This is behaviour that has a harmful effect on the person's emotional health and development, or any form of mental cruelty that results in mental distress, the denial of basic human and civil rights such as self-expression, privacy and dignity. Specific behaviours might include: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threats of harm or abandonment</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deprivation of contact</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fr-FR"/>
          <w14:textFill>
            <w14:solidFill>
              <w14:srgbClr w14:val="3D3D3C"/>
            </w14:solidFill>
          </w14:textFill>
        </w:rPr>
      </w:pPr>
      <w:r>
        <w:rPr>
          <w:rFonts w:ascii="Helvetica" w:hAnsi="Helvetica"/>
          <w:outline w:val="0"/>
          <w:color w:val="3d3d3b"/>
          <w:sz w:val="22"/>
          <w:szCs w:val="22"/>
          <w:shd w:val="clear" w:color="auto" w:fill="ffffff"/>
          <w:rtl w:val="0"/>
          <w:lang w:val="fr-FR"/>
          <w14:textFill>
            <w14:solidFill>
              <w14:srgbClr w14:val="3D3D3C"/>
            </w14:solidFill>
          </w14:textFill>
        </w:rPr>
        <w:t>humiliation</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blaming</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it-IT"/>
          <w14:textFill>
            <w14:solidFill>
              <w14:srgbClr w14:val="3D3D3C"/>
            </w14:solidFill>
          </w14:textFill>
        </w:rPr>
      </w:pPr>
      <w:r>
        <w:rPr>
          <w:rFonts w:ascii="Helvetica" w:hAnsi="Helvetica"/>
          <w:outline w:val="0"/>
          <w:color w:val="3d3d3b"/>
          <w:sz w:val="22"/>
          <w:szCs w:val="22"/>
          <w:shd w:val="clear" w:color="auto" w:fill="ffffff"/>
          <w:rtl w:val="0"/>
          <w:lang w:val="it-IT"/>
          <w14:textFill>
            <w14:solidFill>
              <w14:srgbClr w14:val="3D3D3C"/>
            </w14:solidFill>
          </w14:textFill>
        </w:rPr>
        <w:t>controlling</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fr-FR"/>
          <w14:textFill>
            <w14:solidFill>
              <w14:srgbClr w14:val="3D3D3C"/>
            </w14:solidFill>
          </w14:textFill>
        </w:rPr>
      </w:pPr>
      <w:r>
        <w:rPr>
          <w:rFonts w:ascii="Helvetica" w:hAnsi="Helvetica"/>
          <w:outline w:val="0"/>
          <w:color w:val="3d3d3b"/>
          <w:sz w:val="22"/>
          <w:szCs w:val="22"/>
          <w:shd w:val="clear" w:color="auto" w:fill="ffffff"/>
          <w:rtl w:val="0"/>
          <w:lang w:val="fr-FR"/>
          <w14:textFill>
            <w14:solidFill>
              <w14:srgbClr w14:val="3D3D3C"/>
            </w14:solidFill>
          </w14:textFill>
        </w:rPr>
        <w:t>intimidation</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pt-PT"/>
          <w14:textFill>
            <w14:solidFill>
              <w14:srgbClr w14:val="3D3D3C"/>
            </w14:solidFill>
          </w14:textFill>
        </w:rPr>
      </w:pPr>
      <w:r>
        <w:rPr>
          <w:rFonts w:ascii="Helvetica" w:hAnsi="Helvetica"/>
          <w:outline w:val="0"/>
          <w:color w:val="3d3d3b"/>
          <w:sz w:val="22"/>
          <w:szCs w:val="22"/>
          <w:shd w:val="clear" w:color="auto" w:fill="ffffff"/>
          <w:rtl w:val="0"/>
          <w:lang w:val="pt-PT"/>
          <w14:textFill>
            <w14:solidFill>
              <w14:srgbClr w14:val="3D3D3C"/>
            </w14:solidFill>
          </w14:textFill>
        </w:rPr>
        <w:t>coercion</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14:textFill>
            <w14:solidFill>
              <w14:srgbClr w14:val="3D3D3C"/>
            </w14:solidFill>
          </w14:textFill>
        </w:rPr>
        <w:t>harassment</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verbal abuse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cyberbullying</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it-IT"/>
          <w14:textFill>
            <w14:solidFill>
              <w14:srgbClr w14:val="3D3D3C"/>
            </w14:solidFill>
          </w14:textFill>
        </w:rPr>
      </w:pPr>
      <w:r>
        <w:rPr>
          <w:rFonts w:ascii="Helvetica" w:hAnsi="Helvetica"/>
          <w:outline w:val="0"/>
          <w:color w:val="3d3d3b"/>
          <w:sz w:val="22"/>
          <w:szCs w:val="22"/>
          <w:shd w:val="clear" w:color="auto" w:fill="ffffff"/>
          <w:rtl w:val="0"/>
          <w:lang w:val="it-IT"/>
          <w14:textFill>
            <w14:solidFill>
              <w14:srgbClr w14:val="3D3D3C"/>
            </w14:solidFill>
          </w14:textFill>
        </w:rPr>
        <w:t>isolation</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unreasonable and unjustified withdrawal of services or supportive networks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7"/>
        </w:numPr>
        <w:bidi w:val="0"/>
        <w:spacing w:before="0"/>
        <w:ind w:right="0"/>
        <w:jc w:val="left"/>
        <w:rPr>
          <w:rFonts w:ascii="Helvetica" w:hAnsi="Helvetica"/>
          <w:outline w:val="0"/>
          <w:color w:val="3d3d3b"/>
          <w:sz w:val="22"/>
          <w:szCs w:val="22"/>
          <w:shd w:val="clear" w:color="auto" w:fill="ffffff"/>
          <w:rtl w:val="0"/>
          <w:lang w:val="fr-FR"/>
          <w14:textFill>
            <w14:solidFill>
              <w14:srgbClr w14:val="3D3D3C"/>
            </w14:solidFill>
          </w14:textFill>
        </w:rPr>
      </w:pPr>
      <w:r>
        <w:rPr>
          <w:rFonts w:ascii="Helvetica" w:hAnsi="Helvetica"/>
          <w:outline w:val="0"/>
          <w:color w:val="3d3d3b"/>
          <w:sz w:val="22"/>
          <w:szCs w:val="22"/>
          <w:shd w:val="clear" w:color="auto" w:fill="ffffff"/>
          <w:rtl w:val="0"/>
          <w:lang w:val="fr-FR"/>
          <w14:textFill>
            <w14:solidFill>
              <w14:srgbClr w14:val="3D3D3C"/>
            </w14:solidFill>
          </w14:textFill>
        </w:rPr>
        <w:t>Organisational</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Institutional abuse is the mistreatment or neglect of an adult at risk by a regime, or individuals within settings and services, that adults at risk live in or use.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It may include care or support provided in the person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 xml:space="preserve">s own home. Such abuse violates the person's dignity, resulting in lack of respect for their human rights. It may range from one-off incidents to ongoing ill-treatment.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It can be through neglect or poor professional practice as a result of the structure, policies, processes and practices within an organisation.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numPr>
          <w:ilvl w:val="0"/>
          <w:numId w:val="2"/>
        </w:numPr>
        <w:bidi w:val="0"/>
        <w:spacing w:before="0"/>
        <w:ind w:right="0"/>
        <w:jc w:val="left"/>
        <w:rPr>
          <w:rFonts w:ascii="Helvetica" w:hAnsi="Helvetica"/>
          <w:outline w:val="0"/>
          <w:color w:val="3d3d3b"/>
          <w:sz w:val="22"/>
          <w:szCs w:val="22"/>
          <w:shd w:val="clear" w:color="auto" w:fill="ffffff"/>
          <w:rtl w:val="0"/>
          <w:lang w:val="fr-FR"/>
          <w14:textFill>
            <w14:solidFill>
              <w14:srgbClr w14:val="3D3D3C"/>
            </w14:solidFill>
          </w14:textFill>
        </w:rPr>
      </w:pPr>
      <w:r>
        <w:rPr>
          <w:rFonts w:ascii="Helvetica" w:hAnsi="Helvetica"/>
          <w:outline w:val="0"/>
          <w:color w:val="3d3d3b"/>
          <w:sz w:val="22"/>
          <w:szCs w:val="22"/>
          <w:shd w:val="clear" w:color="auto" w:fill="ffffff"/>
          <w:rtl w:val="0"/>
          <w:lang w:val="fr-FR"/>
          <w14:textFill>
            <w14:solidFill>
              <w14:srgbClr w14:val="3D3D3C"/>
            </w14:solidFill>
          </w14:textFill>
        </w:rPr>
        <w:t>Discrimination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This type of abuse may include: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discrimination based on gender, race, colour, language, culture, religion, politics or sexual orientation</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discrimination based on a person's disability or age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harassment and slurs which are degrading</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hate crime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8"/>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Financial and material</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This is the use of a person's property, assets, income, funds or any other resources without their informed consent or authorisation.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It may include: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theft</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fr-FR"/>
          <w14:textFill>
            <w14:solidFill>
              <w14:srgbClr w14:val="3D3D3C"/>
            </w14:solidFill>
          </w14:textFill>
        </w:rPr>
      </w:pPr>
      <w:r>
        <w:rPr>
          <w:rFonts w:ascii="Helvetica" w:hAnsi="Helvetica"/>
          <w:outline w:val="0"/>
          <w:color w:val="3d3d3b"/>
          <w:sz w:val="22"/>
          <w:szCs w:val="22"/>
          <w:shd w:val="clear" w:color="auto" w:fill="ffffff"/>
          <w:rtl w:val="0"/>
          <w:lang w:val="fr-FR"/>
          <w14:textFill>
            <w14:solidFill>
              <w14:srgbClr w14:val="3D3D3C"/>
            </w14:solidFill>
          </w14:textFill>
        </w:rPr>
        <w:t>fraud</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it-IT"/>
          <w14:textFill>
            <w14:solidFill>
              <w14:srgbClr w14:val="3D3D3C"/>
            </w14:solidFill>
          </w14:textFill>
        </w:rPr>
      </w:pPr>
      <w:r>
        <w:rPr>
          <w:rFonts w:ascii="Helvetica" w:hAnsi="Helvetica"/>
          <w:outline w:val="0"/>
          <w:color w:val="3d3d3b"/>
          <w:sz w:val="22"/>
          <w:szCs w:val="22"/>
          <w:shd w:val="clear" w:color="auto" w:fill="ffffff"/>
          <w:rtl w:val="0"/>
          <w:lang w:val="it-IT"/>
          <w14:textFill>
            <w14:solidFill>
              <w14:srgbClr w14:val="3D3D3C"/>
            </w14:solidFill>
          </w14:textFill>
        </w:rPr>
        <w:t>internet scamming</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exploitation or coercion in relation to an adult</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financial affairs or arrangements, including in connection with wills, property, inheritance or financial transactions</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misuse or misappropriation of property, possessions or benefits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9"/>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Neglect and acts of omission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Examples of this might include: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ignoring medical, emotional or physical care needs</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failure to provide access to appropriate health, care and support or educational services</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withholding of the necessities of life, such as medication, adequate nutrition and heating</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10"/>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Self-neglect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This covers a wide range of behaviour neglecting to care for one</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personal hygiene, health or surroundings and includes behaviour like hoarding.</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It should be noted that the legislation and guidance makes it clear that this list is not exhaustive and that those working with adults at risk should be open to the possibility of other forms of abuse.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Consent and capacity: responsibilities under legislation and guidance affecting the safeguarding of adults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When statutory agencies consider whether a safeguarding response to an adult is needed under the Care Act 2014, they are required to examine three critical components: the person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need of care and support; their risk of, or experience of neglect or abuse; and their ability or inability to protect themselves.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These are not questions to which brass bands are expected to supply an answer.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Rather, bands will seek advice from the local authority adult safeguarding team and will make a referral if necessary.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It is also important to note that, even if the three critical components are not fully met, the person may still welcome and benefit from a preventative approach.</w:t>
      </w: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Managing issues of consent to the sharing of information is a critical difference between safeguarding children and young people under 18, and safeguarding those who are legally adults.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In its work with adults, bands can draw on set of national principles that reflects their approach to information sharing including consent, capacity and confidentiality, they are: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Empowerment </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supporting the adult to make their own decisions and informed consent</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fr-FR"/>
          <w14:textFill>
            <w14:solidFill>
              <w14:srgbClr w14:val="3D3D3C"/>
            </w14:solidFill>
          </w14:textFill>
        </w:rPr>
      </w:pPr>
      <w:r>
        <w:rPr>
          <w:rFonts w:ascii="Helvetica" w:hAnsi="Helvetica"/>
          <w:outline w:val="0"/>
          <w:color w:val="3d3d3b"/>
          <w:sz w:val="22"/>
          <w:szCs w:val="22"/>
          <w:shd w:val="clear" w:color="auto" w:fill="ffffff"/>
          <w:rtl w:val="0"/>
          <w:lang w:val="fr-FR"/>
          <w14:textFill>
            <w14:solidFill>
              <w14:srgbClr w14:val="3D3D3C"/>
            </w14:solidFill>
          </w14:textFill>
        </w:rPr>
        <w:t xml:space="preserve">Protection </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support and representation for those in greatest need</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fr-FR"/>
          <w14:textFill>
            <w14:solidFill>
              <w14:srgbClr w14:val="3D3D3C"/>
            </w14:solidFill>
          </w14:textFill>
        </w:rPr>
      </w:pPr>
      <w:r>
        <w:rPr>
          <w:rFonts w:ascii="Helvetica" w:hAnsi="Helvetica"/>
          <w:outline w:val="0"/>
          <w:color w:val="3d3d3b"/>
          <w:sz w:val="22"/>
          <w:szCs w:val="22"/>
          <w:shd w:val="clear" w:color="auto" w:fill="ffffff"/>
          <w:rtl w:val="0"/>
          <w:lang w:val="fr-FR"/>
          <w14:textFill>
            <w14:solidFill>
              <w14:srgbClr w14:val="3D3D3C"/>
            </w14:solidFill>
          </w14:textFill>
        </w:rPr>
        <w:t xml:space="preserve">Prevention </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it is better to take action before harm occurs, including signposting to agencies that can help</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Proportionality </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proportionate and least intrusive response appropriate to the risk presented</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Partnership </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local solutions through services working with their communities</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Accountability </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accountability and transparency in delivering safeguarding</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If someone gives consent to safeguarding information being shared, this should, where possible, take the form of something explicit such as signing a consent form.</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Where someone who is capable of giving consent to information being passed on to a statutory safeguarding authority, declines to do so, bands should consider whether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vital interests</w:t>
      </w:r>
      <w:r>
        <w:rPr>
          <w:rFonts w:ascii="Helvetica" w:hAnsi="Helvetica" w:hint="default"/>
          <w:outline w:val="0"/>
          <w:color w:val="3d3d3b"/>
          <w:sz w:val="22"/>
          <w:szCs w:val="22"/>
          <w:shd w:val="clear" w:color="auto" w:fill="ffffff"/>
          <w:rtl w:val="1"/>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are at stake under the terms of the Data Protection Act.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For example, this may include situations where the adult is in imminent or serious danger, or another person is in danger (including a child of the person or any other child or adult) or a crime has been or is about to be committed.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If a brass band feels that any of these circumstances may apply, a referral to the local authority should be made even without the consent of the person.</w:t>
      </w: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The Mental Capacity Act 2005 provides a statutory framework to empower and protect people who may lack capacity to make decisions for themselves.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The principles of the Act state that an adult at risk:</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has the right to make their own decisions and be assumed to have capacity unless proved otherwise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must receive all appropriate help and support to make decisions</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has the right to make eccentric or unwise decisions (in the opinion of others), and that</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decisions made on behalf of a person who lacks mental capacity must be done in their best interests and be the least restrictive of their basic rights and freedoms.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In addition, decisions are time and decision-specific.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This means that a person may be able to make a certain decision, but not others, at a particular point in time.</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Decision-making ability may fluctuate over time.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Therefore, bands will also pass on information where it appears that the adult at risk may lack mental capacity to consent to this, or may be being coerced to withhold consent.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The local authority will then consider who can obtain a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best interests</w:t>
      </w:r>
      <w:r>
        <w:rPr>
          <w:rFonts w:ascii="Helvetica" w:hAnsi="Helvetica" w:hint="default"/>
          <w:outline w:val="0"/>
          <w:color w:val="3d3d3b"/>
          <w:sz w:val="22"/>
          <w:szCs w:val="22"/>
          <w:shd w:val="clear" w:color="auto" w:fill="ffffff"/>
          <w:rtl w:val="1"/>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decision and how it can be made.</w:t>
      </w: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Procedures advise that the local authority will do this after full consideration of the Mental Capacity Act Code of Practice and also of the extent of appropriate involvement from the family and/or carers of the adult at risk.</w:t>
      </w: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An assessment of their capacity should be made by a professional person qualified to do so.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In making this assessment, consideration will be given by the local authority to seeking the support of an Independent Mental Capacity Advocate to support the individual who lacks capacity.</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Any decision made on behalf of an adult at risk should weigh up and balance both the Mental Capacity Act and the Human Rights Act, to protect their best interests whilst respecting their rights.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 summary of the key elements can be found on: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fldChar w:fldCharType="begin" w:fldLock="0"/>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instrText xml:space="preserve"> HYPERLINK "http://www.scie.org.uk/publications/adultsafeguardinglondon/files/protecting-adults-at-risk-in-london.pdf"</w:instrText>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fldChar w:fldCharType="separate" w:fldLock="0"/>
      </w:r>
      <w:r>
        <w:rPr>
          <w:rStyle w:val="Hyperlink.0"/>
          <w:rFonts w:ascii="Helvetica" w:hAnsi="Helvetica"/>
          <w:outline w:val="0"/>
          <w:color w:val="ff4c00"/>
          <w:sz w:val="22"/>
          <w:szCs w:val="22"/>
          <w:shd w:val="clear" w:color="auto" w:fill="ffffff"/>
          <w:rtl w:val="0"/>
          <w:lang w:val="en-US"/>
          <w14:textFill>
            <w14:solidFill>
              <w14:srgbClr w14:val="FF4D00"/>
            </w14:solidFill>
          </w14:textFill>
        </w:rPr>
        <w:t>www.scie.org.uk/publications/adultsafeguardinglondon/files/protecting-adults-at-risk-in-london.pdf</w:t>
      </w:r>
      <w:r>
        <w:rPr>
          <w:rFonts w:ascii="Helvetica" w:cs="Helvetica" w:hAnsi="Helvetica" w:eastAsia="Helvetica"/>
          <w:outline w:val="0"/>
          <w:color w:val="ff4c00"/>
          <w:sz w:val="22"/>
          <w:szCs w:val="22"/>
          <w:shd w:val="clear" w:color="auto" w:fill="ffffff"/>
          <w:rtl w:val="0"/>
          <w14:textFill>
            <w14:solidFill>
              <w14:srgbClr w14:val="FF4D00"/>
            </w14:solidFill>
          </w14:textFill>
        </w:rPr>
        <w:fldChar w:fldCharType="end" w:fldLock="0"/>
      </w:r>
      <w:r>
        <w:rPr>
          <w:rFonts w:ascii="Helvetica" w:hAnsi="Helvetica" w:hint="default"/>
          <w:outline w:val="0"/>
          <w:color w:val="3d3d3b"/>
          <w:sz w:val="22"/>
          <w:szCs w:val="22"/>
          <w:shd w:val="clear" w:color="auto" w:fill="ffffff"/>
          <w:rtl w:val="0"/>
          <w14:textFill>
            <w14:solidFill>
              <w14:srgbClr w14:val="3D3D3C"/>
            </w14:solidFill>
          </w14:textFill>
        </w:rPr>
        <w:t xml:space="preserve">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Signs and indicators of abuse of both children and young adults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There may be many signs and indicators that a child or adult is being abused or is at risk.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Equally, most of the signs are not themselves diagnostic of abuse (although some physical signs may lead to a positive diagnosis of abuse by a</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medical professional).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Equally, some children and adults who suffer abuse show no outward signs of what is happening to them.</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At least as important as specific physical or behavioural signs are the way in which different signs and indicators may be clustered together or perhaps a change in a child</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or adult</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 xml:space="preserve">s behaviour or appearance that cannot be easily explained in any other way.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It is important to remember that a single agency or person is unlikely to pick up on all the signs that may be present in an abusive situation, and that concerns need to be shared to enable a referring agency to build up a clearer picture of what may be going on for a child or adult at risk.</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For more information about signs and indicators of abuse of children and young people, go to the NSPCC website: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fldChar w:fldCharType="begin" w:fldLock="0"/>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instrText xml:space="preserve"> HYPERLINK "https://www.nspcc.org.uk/preventing-abuse/signs-symptoms-effects/"</w:instrText>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fldChar w:fldCharType="separate" w:fldLock="0"/>
      </w:r>
      <w:r>
        <w:rPr>
          <w:rStyle w:val="Hyperlink.0"/>
          <w:rFonts w:ascii="Helvetica" w:hAnsi="Helvetica"/>
          <w:outline w:val="0"/>
          <w:color w:val="ff4c00"/>
          <w:sz w:val="22"/>
          <w:szCs w:val="22"/>
          <w:shd w:val="clear" w:color="auto" w:fill="ffffff"/>
          <w:rtl w:val="0"/>
          <w:lang w:val="en-US"/>
          <w14:textFill>
            <w14:solidFill>
              <w14:srgbClr w14:val="FF4D00"/>
            </w14:solidFill>
          </w14:textFill>
        </w:rPr>
        <w:t>https://www.nspcc.org.uk/preventing-abuse/signs-symptoms-effects/</w:t>
      </w:r>
      <w:r>
        <w:rPr>
          <w:rFonts w:ascii="Helvetica" w:cs="Helvetica" w:hAnsi="Helvetica" w:eastAsia="Helvetica"/>
          <w:outline w:val="0"/>
          <w:color w:val="ff4c00"/>
          <w:sz w:val="22"/>
          <w:szCs w:val="22"/>
          <w:shd w:val="clear" w:color="auto" w:fill="ffffff"/>
          <w:rtl w:val="0"/>
          <w14:textFill>
            <w14:solidFill>
              <w14:srgbClr w14:val="FF4D00"/>
            </w14:solidFill>
          </w14:textFill>
        </w:rPr>
        <w:fldChar w:fldCharType="end" w:fldLock="0"/>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For more information about adult abuse, go to the SCIE website: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fldChar w:fldCharType="begin" w:fldLock="0"/>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instrText xml:space="preserve"> HYPERLINK "http://www.scie.org.uk/publications/ataglance/69-adults-safeguarding-types-and-indicators-of-abuse.asp"</w:instrText>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fldChar w:fldCharType="separate" w:fldLock="0"/>
      </w:r>
      <w:r>
        <w:rPr>
          <w:rStyle w:val="Hyperlink.0"/>
          <w:rFonts w:ascii="Helvetica" w:hAnsi="Helvetica"/>
          <w:outline w:val="0"/>
          <w:color w:val="ff4c00"/>
          <w:sz w:val="22"/>
          <w:szCs w:val="22"/>
          <w:shd w:val="clear" w:color="auto" w:fill="ffffff"/>
          <w:rtl w:val="0"/>
          <w:lang w:val="en-US"/>
          <w14:textFill>
            <w14:solidFill>
              <w14:srgbClr w14:val="FF4D00"/>
            </w14:solidFill>
          </w14:textFill>
        </w:rPr>
        <w:t>http://www.scie.org.uk/publications/ataglance/69-adults-safeguarding-types-and-indicators-of-abuse.asp</w:t>
      </w:r>
      <w:r>
        <w:rPr>
          <w:rFonts w:ascii="Helvetica" w:cs="Helvetica" w:hAnsi="Helvetica" w:eastAsia="Helvetica"/>
          <w:outline w:val="0"/>
          <w:color w:val="ff4c00"/>
          <w:sz w:val="22"/>
          <w:szCs w:val="22"/>
          <w:shd w:val="clear" w:color="auto" w:fill="ffffff"/>
          <w:rtl w:val="0"/>
          <w14:textFill>
            <w14:solidFill>
              <w14:srgbClr w14:val="FF4D00"/>
            </w14:solidFill>
          </w14:textFill>
        </w:rPr>
        <w:fldChar w:fldCharType="end" w:fldLock="0"/>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fr-FR"/>
          <w14:textFill>
            <w14:solidFill>
              <w14:srgbClr w14:val="3D3D3C"/>
            </w14:solidFill>
          </w14:textFill>
        </w:rPr>
        <w:t xml:space="preserve">Section 2: </w:t>
      </w:r>
      <w:r>
        <w:rPr>
          <w:rFonts w:ascii="Helvetica" w:hAnsi="Helvetica"/>
          <w:outline w:val="0"/>
          <w:color w:val="3d3d3b"/>
          <w:sz w:val="22"/>
          <w:szCs w:val="22"/>
          <w:shd w:val="clear" w:color="auto" w:fill="ffffff"/>
          <w:rtl w:val="0"/>
          <w:lang w:val="en-US"/>
          <w14:textFill>
            <w14:solidFill>
              <w14:srgbClr w14:val="3D3D3C"/>
            </w14:solidFill>
          </w14:textFill>
        </w:rPr>
        <w:t>Uttoxeter Town Band Safeguarding Policy</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This policy applies to all members, volunteers or anyone working on behalf of </w:t>
      </w:r>
      <w:r>
        <w:rPr>
          <w:rFonts w:ascii="Helvetica" w:hAnsi="Helvetica"/>
          <w:outline w:val="0"/>
          <w:color w:val="3d3d3b"/>
          <w:sz w:val="22"/>
          <w:szCs w:val="22"/>
          <w:shd w:val="clear" w:color="auto" w:fill="ffffff"/>
          <w:rtl w:val="0"/>
          <w:lang w:val="en-US"/>
          <w14:textFill>
            <w14:solidFill>
              <w14:srgbClr w14:val="3D3D3C"/>
            </w14:solidFill>
          </w14:textFill>
        </w:rPr>
        <w:t>Uttoxeter Town Band.</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purpose of this policy:</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11"/>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To protect children, young people and adults with care and support needs who are members of the band.</w:t>
      </w: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2"/>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To provide staff and volunteers with the overarching principles that guide our approach to child protection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Uttoxeter Town Band</w:t>
      </w:r>
      <w:r>
        <w:rPr>
          <w:rFonts w:ascii="Helvetica" w:hAnsi="Helvetica"/>
          <w:outline w:val="0"/>
          <w:color w:val="3d3d3b"/>
          <w:sz w:val="22"/>
          <w:szCs w:val="22"/>
          <w:shd w:val="clear" w:color="auto" w:fill="ffffff"/>
          <w:rtl w:val="0"/>
          <w:lang w:val="en-US"/>
          <w14:textFill>
            <w14:solidFill>
              <w14:srgbClr w14:val="3D3D3C"/>
            </w14:solidFill>
          </w14:textFill>
        </w:rPr>
        <w:t xml:space="preserve"> believes that a child, young person or adult with care and support needs should never experience abuse of any kind.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We have a responsibility to promote the welfare of all children, young people and adults at risk and to keep them safe.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We are committed to practice in a way that protects them.</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Legal framework</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This policy has been drawn up based on law and guidance that seeks to protect children and adults at risk, namely:</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Children Act (1989)</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United Convention of the Rights of the Child (1991)</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Data Protection Act (1998) and subsequent data protection guidance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Sexual Offences Act (2003)</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Children Act (2004)</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Protection of Freedoms Act (2012)</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Working together to safeguarding children: a guide to inter-agency working to safeguard and promote the welfare of children; HM Government (2015)</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Safeguarding Vulnerable Groups Act (2006)</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Human Rights Act (1998)</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Children and Families Act (2014)</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Special educational needs and disability (SEND) code of practice: 0 to 25 years - Statutory guidance for organisations which work with and support children and</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young people who have special educational needs or disabilities; HM Government </w:t>
      </w: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14:textFill>
            <w14:solidFill>
              <w14:srgbClr w14:val="3D3D3C"/>
            </w14:solidFill>
          </w14:textFill>
        </w:rPr>
        <w:t>(2014)</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General Data Protection Regulations (European Union) (2017)</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Information sharing: Advice for practitioners providing safeguarding services to children, young people, parents and carers; HM Government (2015)</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Care Act (2014)</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Care Act (2014) Care and Support Statutory Guidance (specifically the safeguarding section of this)</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it-IT"/>
          <w14:textFill>
            <w14:solidFill>
              <w14:srgbClr w14:val="3D3D3C"/>
            </w14:solidFill>
          </w14:textFill>
        </w:rPr>
      </w:pPr>
      <w:r>
        <w:rPr>
          <w:rFonts w:ascii="Helvetica" w:hAnsi="Helvetica"/>
          <w:outline w:val="0"/>
          <w:color w:val="3d3d3b"/>
          <w:sz w:val="22"/>
          <w:szCs w:val="22"/>
          <w:shd w:val="clear" w:color="auto" w:fill="ffffff"/>
          <w:rtl w:val="0"/>
          <w:lang w:val="it-IT"/>
          <w14:textFill>
            <w14:solidFill>
              <w14:srgbClr w14:val="3D3D3C"/>
            </w14:solidFill>
          </w14:textFill>
        </w:rPr>
        <w:t>The Mental Capacity Act (2005)</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We recognise that: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welfare of the child is paramount, as enshrined in the Children Act (1989);</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all children, regardless of age, disability, gender, racial heritage, religious belief, sexual orientation or identity, have a right to equal protection from all types of harm or abuse;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some children are additionally vulnerable because of the impact of previous experiences, their level of dependency, communication needs or other issues; and</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working in partnership with children, young people, their parents, carers and other agencies is essential in promoting young people</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welfare.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In addition, bands are aware that they also have safeguarding responsibilities towards adult members, some of whom may be vulnerable at different times in their lives.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The principles outlined above in relation to children, also apply to our work with adults.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In terms of a legal framework, the arrangements for those over 18 are governed by the Care Act 2014.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This Act stipulates that statutory safeguarding duties apply to an adult who:</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has care and support needs, and</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is experiencing, or at risk of, abuse or neglect, and,</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as a result of those care and support needs, is unable to protect themselves from either the risk of, or the experience of, abuse or neglect.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We will seek to keep children, young people and adults safe by:</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valuing them, listening to and respecting them, ensuring that, in the case of adults, we work with their consent unless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vital interests</w:t>
      </w:r>
      <w:r>
        <w:rPr>
          <w:rFonts w:ascii="Helvetica" w:hAnsi="Helvetica" w:hint="default"/>
          <w:outline w:val="0"/>
          <w:color w:val="3d3d3b"/>
          <w:sz w:val="22"/>
          <w:szCs w:val="22"/>
          <w:shd w:val="clear" w:color="auto" w:fill="ffffff"/>
          <w:rtl w:val="1"/>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[as defined in the Data Protection Act (1998)] are at stake, or the person has been assessed as lacking mental capacity [as defined in the Mental Capacity Act (2005)];</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adopting child protection and adult safeguarding practices through procedures and a code of conduct for and members and volunteers;</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developing and implementing an effective e-safety policy and related procedures;</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providing effective support and training for volunteers with responsibility;</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recruiting staff and volunteers safely, ensuring all necessary checks are made;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sharing information about child protection and adult safeguarding with children, parents, </w:t>
      </w:r>
      <w:r>
        <w:rPr>
          <w:rFonts w:ascii="Helvetica" w:hAnsi="Helvetica"/>
          <w:outline w:val="0"/>
          <w:color w:val="3d3d3b"/>
          <w:sz w:val="22"/>
          <w:szCs w:val="22"/>
          <w:shd w:val="clear" w:color="auto" w:fill="ffffff"/>
          <w:rtl w:val="0"/>
          <w:lang w:val="en-US"/>
          <w14:textFill>
            <w14:solidFill>
              <w14:srgbClr w14:val="3D3D3C"/>
            </w14:solidFill>
          </w14:textFill>
        </w:rPr>
        <w:t xml:space="preserve">guardians, </w:t>
      </w:r>
      <w:r>
        <w:rPr>
          <w:rFonts w:ascii="Helvetica" w:hAnsi="Helvetica"/>
          <w:outline w:val="0"/>
          <w:color w:val="3d3d3b"/>
          <w:sz w:val="22"/>
          <w:szCs w:val="22"/>
          <w:shd w:val="clear" w:color="auto" w:fill="ffffff"/>
          <w:rtl w:val="0"/>
          <w:lang w:val="en-US"/>
          <w14:textFill>
            <w14:solidFill>
              <w14:srgbClr w14:val="3D3D3C"/>
            </w14:solidFill>
          </w14:textFill>
        </w:rPr>
        <w:t>volunteers and members;</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sharing concerns with agencies who need to know, and involving </w:t>
      </w:r>
      <w:r>
        <w:rPr>
          <w:rFonts w:ascii="Helvetica" w:hAnsi="Helvetica"/>
          <w:outline w:val="0"/>
          <w:color w:val="3d3d3b"/>
          <w:sz w:val="22"/>
          <w:szCs w:val="22"/>
          <w:shd w:val="clear" w:color="auto" w:fill="ffffff"/>
          <w:rtl w:val="0"/>
          <w:lang w:val="en-US"/>
          <w14:textFill>
            <w14:solidFill>
              <w14:srgbClr w14:val="3D3D3C"/>
            </w14:solidFill>
          </w14:textFill>
        </w:rPr>
        <w:t>parents, guardians</w:t>
      </w:r>
      <w:r>
        <w:rPr>
          <w:rFonts w:ascii="Helvetica" w:hAnsi="Helvetica"/>
          <w:outline w:val="0"/>
          <w:color w:val="3d3d3b"/>
          <w:sz w:val="22"/>
          <w:szCs w:val="22"/>
          <w:shd w:val="clear" w:color="auto" w:fill="ffffff"/>
          <w:rtl w:val="0"/>
          <w:lang w:val="en-US"/>
          <w14:textFill>
            <w14:solidFill>
              <w14:srgbClr w14:val="3D3D3C"/>
            </w14:solidFill>
          </w14:textFill>
        </w:rPr>
        <w:t xml:space="preserve"> and children appropriately.</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Useful contact details: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Band Welfare Officer: </w:t>
      </w:r>
      <w:r>
        <w:rPr>
          <w:rFonts w:ascii="Helvetica" w:hAnsi="Helvetica"/>
          <w:outline w:val="0"/>
          <w:color w:val="3d3d3b"/>
          <w:sz w:val="22"/>
          <w:szCs w:val="22"/>
          <w:shd w:val="clear" w:color="auto" w:fill="ffffff"/>
          <w:rtl w:val="0"/>
          <w:lang w:val="en-US"/>
          <w14:textFill>
            <w14:solidFill>
              <w14:srgbClr w14:val="3D3D3C"/>
            </w14:solidFill>
          </w14:textFill>
        </w:rPr>
        <w:t>Liz Broad liz@thebroadfamily.net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Local police: </w:t>
      </w:r>
      <w:r>
        <w:rPr>
          <w:rFonts w:ascii="Helvetica" w:hAnsi="Helvetica"/>
          <w:outline w:val="0"/>
          <w:color w:val="3d3d3b"/>
          <w:sz w:val="22"/>
          <w:szCs w:val="22"/>
          <w:shd w:val="clear" w:color="auto" w:fill="ffffff"/>
          <w:rtl w:val="0"/>
          <w:lang w:val="en-US"/>
          <w14:textFill>
            <w14:solidFill>
              <w14:srgbClr w14:val="3D3D3C"/>
            </w14:solidFill>
          </w14:textFill>
        </w:rPr>
        <w:t>dial 101</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Local authority children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social care department, including out of hours contact:</w:t>
      </w:r>
      <w:r>
        <w:rPr>
          <w:rFonts w:ascii="Helvetica" w:hAnsi="Helvetica"/>
          <w:outline w:val="0"/>
          <w:color w:val="3d3d3b"/>
          <w:sz w:val="22"/>
          <w:szCs w:val="22"/>
          <w:shd w:val="clear" w:color="auto" w:fill="ffffff"/>
          <w:rtl w:val="0"/>
          <w:lang w:val="en-US"/>
          <w14:textFill>
            <w14:solidFill>
              <w14:srgbClr w14:val="3D3D3C"/>
            </w14:solidFill>
          </w14:textFill>
        </w:rPr>
        <w:t xml:space="preserve"> Staffordshire First Response- 0800 131 3126</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NSPCC Helpline: 0808 800 5000 or </w:t>
      </w:r>
      <w:r>
        <w:rPr>
          <w:rStyle w:val="Hyperlink.1"/>
          <w:rFonts w:ascii="Helvetica" w:cs="Helvetica" w:hAnsi="Helvetica" w:eastAsia="Helvetica"/>
          <w:outline w:val="0"/>
          <w:color w:val="ff4c00"/>
          <w:sz w:val="22"/>
          <w:szCs w:val="22"/>
          <w:shd w:val="clear" w:color="auto" w:fill="ffffff"/>
          <w:rtl w:val="0"/>
          <w14:textFill>
            <w14:solidFill>
              <w14:srgbClr w14:val="FF4D00"/>
            </w14:solidFill>
          </w14:textFill>
        </w:rPr>
        <w:fldChar w:fldCharType="begin" w:fldLock="0"/>
      </w:r>
      <w:r>
        <w:rPr>
          <w:rStyle w:val="Hyperlink.1"/>
          <w:rFonts w:ascii="Helvetica" w:cs="Helvetica" w:hAnsi="Helvetica" w:eastAsia="Helvetica"/>
          <w:outline w:val="0"/>
          <w:color w:val="ff4c00"/>
          <w:sz w:val="22"/>
          <w:szCs w:val="22"/>
          <w:shd w:val="clear" w:color="auto" w:fill="ffffff"/>
          <w:rtl w:val="0"/>
          <w14:textFill>
            <w14:solidFill>
              <w14:srgbClr w14:val="FF4D00"/>
            </w14:solidFill>
          </w14:textFill>
        </w:rPr>
        <w:instrText xml:space="preserve"> HYPERLINK "mailto:help@nspcc.org.uk"</w:instrText>
      </w:r>
      <w:r>
        <w:rPr>
          <w:rStyle w:val="Hyperlink.1"/>
          <w:rFonts w:ascii="Helvetica" w:cs="Helvetica" w:hAnsi="Helvetica" w:eastAsia="Helvetica"/>
          <w:outline w:val="0"/>
          <w:color w:val="ff4c00"/>
          <w:sz w:val="22"/>
          <w:szCs w:val="22"/>
          <w:shd w:val="clear" w:color="auto" w:fill="ffffff"/>
          <w:rtl w:val="0"/>
          <w14:textFill>
            <w14:solidFill>
              <w14:srgbClr w14:val="FF4D00"/>
            </w14:solidFill>
          </w14:textFill>
        </w:rPr>
        <w:fldChar w:fldCharType="separate" w:fldLock="0"/>
      </w:r>
      <w:r>
        <w:rPr>
          <w:rStyle w:val="Hyperlink.1"/>
          <w:rFonts w:ascii="Helvetica" w:hAnsi="Helvetica"/>
          <w:outline w:val="0"/>
          <w:color w:val="ff4c00"/>
          <w:sz w:val="22"/>
          <w:szCs w:val="22"/>
          <w:shd w:val="clear" w:color="auto" w:fill="ffffff"/>
          <w:rtl w:val="0"/>
          <w14:textFill>
            <w14:solidFill>
              <w14:srgbClr w14:val="FF4D00"/>
            </w14:solidFill>
          </w14:textFill>
        </w:rPr>
        <w:t>help@nspcc.org.uk</w:t>
      </w:r>
      <w:r>
        <w:rPr>
          <w:rFonts w:ascii="Helvetica" w:cs="Helvetica" w:hAnsi="Helvetica" w:eastAsia="Helvetica"/>
          <w:outline w:val="0"/>
          <w:color w:val="3d3d3b"/>
          <w:sz w:val="22"/>
          <w:szCs w:val="22"/>
          <w:shd w:val="clear" w:color="auto" w:fill="ffffff"/>
          <w:rtl w:val="0"/>
          <w14:textFill>
            <w14:solidFill>
              <w14:srgbClr w14:val="3D3D3C"/>
            </w14:solidFill>
          </w14:textFill>
        </w:rPr>
        <w:fldChar w:fldCharType="end" w:fldLock="0"/>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14:textFill>
            <w14:solidFill>
              <w14:srgbClr w14:val="3D3D3C"/>
            </w14:solidFill>
          </w14:textFill>
        </w:rPr>
        <w:t xml:space="preserve">ChildLine: 0800 1111 (textphone 0800 400 222) or </w:t>
      </w:r>
      <w:r>
        <w:rPr>
          <w:rStyle w:val="Hyperlink.1"/>
          <w:rFonts w:ascii="Helvetica" w:cs="Helvetica" w:hAnsi="Helvetica" w:eastAsia="Helvetica"/>
          <w:outline w:val="0"/>
          <w:color w:val="ff4c00"/>
          <w:sz w:val="22"/>
          <w:szCs w:val="22"/>
          <w:shd w:val="clear" w:color="auto" w:fill="ffffff"/>
          <w:rtl w:val="0"/>
          <w14:textFill>
            <w14:solidFill>
              <w14:srgbClr w14:val="FF4D00"/>
            </w14:solidFill>
          </w14:textFill>
        </w:rPr>
        <w:fldChar w:fldCharType="begin" w:fldLock="0"/>
      </w:r>
      <w:r>
        <w:rPr>
          <w:rStyle w:val="Hyperlink.1"/>
          <w:rFonts w:ascii="Helvetica" w:cs="Helvetica" w:hAnsi="Helvetica" w:eastAsia="Helvetica"/>
          <w:outline w:val="0"/>
          <w:color w:val="ff4c00"/>
          <w:sz w:val="22"/>
          <w:szCs w:val="22"/>
          <w:shd w:val="clear" w:color="auto" w:fill="ffffff"/>
          <w:rtl w:val="0"/>
          <w14:textFill>
            <w14:solidFill>
              <w14:srgbClr w14:val="FF4D00"/>
            </w14:solidFill>
          </w14:textFill>
        </w:rPr>
        <w:instrText xml:space="preserve"> HYPERLINK "http://www.childline.org.uk/"</w:instrText>
      </w:r>
      <w:r>
        <w:rPr>
          <w:rStyle w:val="Hyperlink.1"/>
          <w:rFonts w:ascii="Helvetica" w:cs="Helvetica" w:hAnsi="Helvetica" w:eastAsia="Helvetica"/>
          <w:outline w:val="0"/>
          <w:color w:val="ff4c00"/>
          <w:sz w:val="22"/>
          <w:szCs w:val="22"/>
          <w:shd w:val="clear" w:color="auto" w:fill="ffffff"/>
          <w:rtl w:val="0"/>
          <w14:textFill>
            <w14:solidFill>
              <w14:srgbClr w14:val="FF4D00"/>
            </w14:solidFill>
          </w14:textFill>
        </w:rPr>
        <w:fldChar w:fldCharType="separate" w:fldLock="0"/>
      </w:r>
      <w:r>
        <w:rPr>
          <w:rStyle w:val="Hyperlink.1"/>
          <w:rFonts w:ascii="Helvetica" w:hAnsi="Helvetica"/>
          <w:outline w:val="0"/>
          <w:color w:val="ff4c00"/>
          <w:sz w:val="22"/>
          <w:szCs w:val="22"/>
          <w:shd w:val="clear" w:color="auto" w:fill="ffffff"/>
          <w:rtl w:val="0"/>
          <w14:textFill>
            <w14:solidFill>
              <w14:srgbClr w14:val="FF4D00"/>
            </w14:solidFill>
          </w14:textFill>
        </w:rPr>
        <w:t>www.childline.org.uk</w:t>
      </w:r>
      <w:r>
        <w:rPr>
          <w:rFonts w:ascii="Helvetica" w:cs="Helvetica" w:hAnsi="Helvetica" w:eastAsia="Helvetica"/>
          <w:outline w:val="0"/>
          <w:color w:val="3d3d3b"/>
          <w:sz w:val="22"/>
          <w:szCs w:val="22"/>
          <w:shd w:val="clear" w:color="auto" w:fill="ffffff"/>
          <w:rtl w:val="0"/>
          <w14:textFill>
            <w14:solidFill>
              <w14:srgbClr w14:val="3D3D3C"/>
            </w14:solidFill>
          </w14:textFill>
        </w:rPr>
        <w:fldChar w:fldCharType="end" w:fldLock="0"/>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Local authority adult social care department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Brass Bands England Welfare Officer: 01226 771 015</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fr-FR"/>
          <w14:textFill>
            <w14:solidFill>
              <w14:srgbClr w14:val="3D3D3C"/>
            </w14:solidFill>
          </w14:textFill>
        </w:rPr>
        <w:t xml:space="preserve">Section 3: </w:t>
      </w:r>
      <w:r>
        <w:rPr>
          <w:rFonts w:ascii="Helvetica" w:hAnsi="Helvetica"/>
          <w:outline w:val="0"/>
          <w:color w:val="3d3d3b"/>
          <w:sz w:val="22"/>
          <w:szCs w:val="22"/>
          <w:shd w:val="clear" w:color="auto" w:fill="ffffff"/>
          <w:rtl w:val="0"/>
          <w:lang w:val="en-US"/>
          <w14:textFill>
            <w14:solidFill>
              <w14:srgbClr w14:val="3D3D3C"/>
            </w14:solidFill>
          </w14:textFill>
        </w:rPr>
        <w:t>Procedure for d</w:t>
      </w:r>
      <w:r>
        <w:rPr>
          <w:rFonts w:ascii="Helvetica" w:hAnsi="Helvetica"/>
          <w:outline w:val="0"/>
          <w:color w:val="3d3d3b"/>
          <w:sz w:val="22"/>
          <w:szCs w:val="22"/>
          <w:shd w:val="clear" w:color="auto" w:fill="ffffff"/>
          <w:rtl w:val="0"/>
          <w:lang w:val="en-US"/>
          <w14:textFill>
            <w14:solidFill>
              <w14:srgbClr w14:val="3D3D3C"/>
            </w14:solidFill>
          </w14:textFill>
        </w:rPr>
        <w:t>ealing with a safeguarding concern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Ways that abuse might be brought to your attention: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 child or adult might make a direct disclosure about him or herself.</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 child or adult might make a direct disclosure about another person.</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 child or adult might offer information that is worrying but not a direct disclosure.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 member of the band or volunteer might be concerned about the appearance or behaviour of a child or adult at risk, or about the behaviour of someone (e.g. a parent or carer) towards a child or adult at risk.</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 parent or carer might make a disclosure about abuse that a child or adult is suffering or at risk of suffering.</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 parent or carer might offer information about a child or adult that is worrying but not a direct disclosure.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When talking to a child or adult who has told you that he/she or another person is being abused:</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Reassure them that telling someone about it was the right thing to do.</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Tell him/her that you now must do what you can to keep him/her (or the person who is the subject of the allegation) safe.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In the case of an adult with mental capacity, ask them if they will give their consent to the information being passed on to an external investigating agency.</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Let them know what you are going to do next (i.e. discuss the matter with the band Welfare Officer).</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Let the person tell their whole story.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14:textFill>
            <w14:solidFill>
              <w14:srgbClr w14:val="3D3D3C"/>
            </w14:solidFill>
          </w14:textFill>
        </w:rPr>
        <w:t>Don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t try to investigate or quiz them, but make sure that you are clear as to what they are saying.</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Ask them what they would like to happen because of what they have said, but don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t make or infer promises you can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t keep.</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Don</w:t>
      </w:r>
      <w:r>
        <w:rPr>
          <w:rFonts w:ascii="Helvetica" w:hAnsi="Helvetica" w:hint="default"/>
          <w:outline w:val="0"/>
          <w:color w:val="3d3d3b"/>
          <w:sz w:val="22"/>
          <w:szCs w:val="22"/>
          <w:shd w:val="clear" w:color="auto" w:fill="ffffff"/>
          <w:rtl w:val="0"/>
          <w:lang w:val="en-US"/>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t confront the alleged abuser as this could make the situation worse for the child</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Make a full written record of what has been said, heard and seen as soon as possible, but not in front of the child/ adult.</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In the case of a child, give them the ChildLine phone number: 0800 1111.</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In the case of an adult, check out whether they have anyone they can talk to about the matter; if not, tell them that they can talk to you (if you are willing for them to do so).</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Helping someone in immediate danger or in need of emergency medical attention: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If someone is in immediate danger and is with you, remain with them and call the police.</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If the person is elsewhere, contact the police and explain the situation to them.</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If the person needs emergency medical attention, call an ambulance and, while you are waiting for it to arrive, get help from your first aider.</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If the first aider is not available, use any first aid knowledge that you may have yourself to help the person.</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You also need to contact the band</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named Welfare Officer responsible for child protection/adult safeguarding to let them know what is happening.</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 decision will need to be made about informing the person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family and the local authority children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 xml:space="preserve">s social care department, and when they should be informed.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If you have involved the police and/or the health services, they should be part of this</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it-IT"/>
          <w14:textFill>
            <w14:solidFill>
              <w14:srgbClr w14:val="3D3D3C"/>
            </w14:solidFill>
          </w14:textFill>
        </w:rPr>
        <w:t xml:space="preserve">decision.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Consider the welfare of the child or adult in your decision making as the highest priority.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Issues that will need to be considered are: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person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wishes and feelings;</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in the case of an adult, their consent or the withholding of their consent, and whether there are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vital interests</w:t>
      </w:r>
      <w:r>
        <w:rPr>
          <w:rFonts w:ascii="Helvetica" w:hAnsi="Helvetica" w:hint="default"/>
          <w:outline w:val="0"/>
          <w:color w:val="3d3d3b"/>
          <w:sz w:val="22"/>
          <w:szCs w:val="22"/>
          <w:shd w:val="clear" w:color="auto" w:fill="ffffff"/>
          <w:rtl w:val="1"/>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or mental capacity issues to consider;</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in the case of a child, the parent</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right to know (unless this would place the child or someone else in danger, or would interfere with a criminal investigation);</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impact of telling or not telling the parent or family;</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current assessment of the risk to the person and the source of that risk;</w:t>
      </w:r>
    </w:p>
    <w:p>
      <w:pPr>
        <w:pStyle w:val="Default"/>
        <w:numPr>
          <w:ilvl w:val="0"/>
          <w:numId w:val="4"/>
        </w:numPr>
        <w:bidi w:val="0"/>
        <w:spacing w:before="0"/>
        <w:ind w:right="0"/>
        <w:jc w:val="left"/>
        <w:rPr>
          <w:rFonts w:ascii="Helvetica" w:hAnsi="Helvetica"/>
          <w:outline w:val="0"/>
          <w:color w:val="3d3d3b"/>
          <w:sz w:val="22"/>
          <w:szCs w:val="22"/>
          <w:shd w:val="clear" w:color="auto" w:fill="ffffff"/>
          <w:rtl w:val="0"/>
          <w:lang w:val="en-US"/>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any risk management plans that currently exist.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Keeping a record of your concerns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It is important to keep a clear detailed record of events and communication in relation to the concern.</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It can be used to forward information to the statutory child protection or adult safeguarding authorities if a referral to them is needed.</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The form/log should be signed and dated by all those involved in its completion and kept confidentially on the person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pt-PT"/>
          <w14:textFill>
            <w14:solidFill>
              <w14:srgbClr w14:val="3D3D3C"/>
            </w14:solidFill>
          </w14:textFill>
        </w:rPr>
        <w:t xml:space="preserve">s file.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The name of the person making the notes should be written alongside each entry.</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Procedure for helping someone not in immediate danger</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We aim to ensure that everyone within the band and any other children or adults at risk who may come to the attention of the band receive the protection and support they need if they are at risk of abuse.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This procedure provides clear direction to members and volunteers of the band if they have concerns that a child needs protection.</w:t>
      </w:r>
      <w:r>
        <w:rPr>
          <w:rFonts w:ascii="Helvetica" w:hAnsi="Helvetica" w:hint="default"/>
          <w:outline w:val="0"/>
          <w:color w:val="3d3d3b"/>
          <w:sz w:val="22"/>
          <w:szCs w:val="22"/>
          <w:shd w:val="clear" w:color="auto" w:fill="ffffff"/>
          <w:rtl w:val="0"/>
          <w14:textFill>
            <w14:solidFill>
              <w14:srgbClr w14:val="3D3D3C"/>
            </w14:solidFill>
          </w14:textFill>
        </w:rPr>
        <w:t xml:space="preserve">  </w:t>
      </w:r>
    </w:p>
    <w:p>
      <w:pPr>
        <w:pStyle w:val="Default"/>
        <w:bidi w:val="0"/>
        <w:spacing w:before="0"/>
        <w:ind w:left="0" w:right="0" w:firstLine="0"/>
        <w:jc w:val="left"/>
        <w:rPr>
          <w:rtl w:val="0"/>
        </w:rPr>
      </w:pPr>
      <w:r>
        <w:rPr>
          <w:rFonts w:ascii="Helvetica" w:hAnsi="Helvetica" w:hint="default"/>
          <w:outline w:val="0"/>
          <w:color w:val="3d3d3b"/>
          <w:sz w:val="22"/>
          <w:szCs w:val="22"/>
          <w:shd w:val="clear" w:color="auto" w:fill="ffffff"/>
          <w:rtl w:val="0"/>
          <w14:textFill>
            <w14:solidFill>
              <w14:srgbClr w14:val="3D3D3C"/>
            </w14:solidFill>
          </w14:textFill>
        </w:rPr>
        <w:t>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rPr>
        <w:rtl w:val="0"/>
        <w:lang w:val="en-US"/>
      </w:rPr>
      <w:t>Uttoxeter Town  Band</w:t>
    </w:r>
    <w:r>
      <w:tab/>
    </w:r>
    <w:r>
      <w:rPr>
        <w:rtl w:val="0"/>
        <w:lang w:val="en-US"/>
      </w:rPr>
      <w:t>Safeguarding Policy</w:t>
    </w:r>
    <w:r>
      <w:tab/>
    </w:r>
    <w:r>
      <w:rPr>
        <w:rtl w:val="0"/>
        <w:lang w:val="en-US"/>
      </w:rPr>
      <w:t>07 2025</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720" w:hanging="500"/>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1">
      <w:start w:val="1"/>
      <w:numFmt w:val="decimal"/>
      <w:suff w:val="tab"/>
      <w:lvlText w:val="%2."/>
      <w:lvlJc w:val="left"/>
      <w:pPr>
        <w:ind w:left="74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2">
      <w:start w:val="1"/>
      <w:numFmt w:val="decimal"/>
      <w:suff w:val="tab"/>
      <w:lvlText w:val="%3."/>
      <w:lvlJc w:val="left"/>
      <w:pPr>
        <w:ind w:left="96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3">
      <w:start w:val="1"/>
      <w:numFmt w:val="decimal"/>
      <w:suff w:val="tab"/>
      <w:lvlText w:val="%4."/>
      <w:lvlJc w:val="left"/>
      <w:pPr>
        <w:ind w:left="118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4">
      <w:start w:val="1"/>
      <w:numFmt w:val="decimal"/>
      <w:suff w:val="tab"/>
      <w:lvlText w:val="%5."/>
      <w:lvlJc w:val="left"/>
      <w:pPr>
        <w:ind w:left="140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5">
      <w:start w:val="1"/>
      <w:numFmt w:val="decimal"/>
      <w:suff w:val="tab"/>
      <w:lvlText w:val="%6."/>
      <w:lvlJc w:val="left"/>
      <w:pPr>
        <w:ind w:left="162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6">
      <w:start w:val="1"/>
      <w:numFmt w:val="decimal"/>
      <w:suff w:val="tab"/>
      <w:lvlText w:val="%7."/>
      <w:lvlJc w:val="left"/>
      <w:pPr>
        <w:ind w:left="184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7">
      <w:start w:val="1"/>
      <w:numFmt w:val="decimal"/>
      <w:suff w:val="tab"/>
      <w:lvlText w:val="%8."/>
      <w:lvlJc w:val="left"/>
      <w:pPr>
        <w:ind w:left="206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8">
      <w:start w:val="1"/>
      <w:numFmt w:val="decimal"/>
      <w:suff w:val="tab"/>
      <w:lvlText w:val="%9."/>
      <w:lvlJc w:val="left"/>
      <w:pPr>
        <w:ind w:left="228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abstractNum>
  <w:abstractNum w:abstractNumId="2">
    <w:multiLevelType w:val="hybridMultilevel"/>
    <w:numStyleLink w:val="Bullet"/>
  </w:abstractNum>
  <w:abstractNum w:abstractNumId="3">
    <w:multiLevelType w:val="hybridMultilevel"/>
    <w:styleLink w:val="Bullet"/>
    <w:lvl w:ilvl="0">
      <w:start w:val="1"/>
      <w:numFmt w:val="bullet"/>
      <w:suff w:val="tab"/>
      <w:lvlText w:val="•"/>
      <w:lvlJc w:val="left"/>
      <w:pPr>
        <w:ind w:left="720" w:hanging="500"/>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1">
      <w:start w:val="1"/>
      <w:numFmt w:val="bullet"/>
      <w:suff w:val="tab"/>
      <w:lvlText w:val="•"/>
      <w:lvlJc w:val="left"/>
      <w:pPr>
        <w:ind w:left="74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2">
      <w:start w:val="1"/>
      <w:numFmt w:val="bullet"/>
      <w:suff w:val="tab"/>
      <w:lvlText w:val="•"/>
      <w:lvlJc w:val="left"/>
      <w:pPr>
        <w:ind w:left="96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3">
      <w:start w:val="1"/>
      <w:numFmt w:val="bullet"/>
      <w:suff w:val="tab"/>
      <w:lvlText w:val="•"/>
      <w:lvlJc w:val="left"/>
      <w:pPr>
        <w:ind w:left="118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4">
      <w:start w:val="1"/>
      <w:numFmt w:val="bullet"/>
      <w:suff w:val="tab"/>
      <w:lvlText w:val="•"/>
      <w:lvlJc w:val="left"/>
      <w:pPr>
        <w:ind w:left="140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5">
      <w:start w:val="1"/>
      <w:numFmt w:val="bullet"/>
      <w:suff w:val="tab"/>
      <w:lvlText w:val="•"/>
      <w:lvlJc w:val="left"/>
      <w:pPr>
        <w:ind w:left="162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6">
      <w:start w:val="1"/>
      <w:numFmt w:val="bullet"/>
      <w:suff w:val="tab"/>
      <w:lvlText w:val="•"/>
      <w:lvlJc w:val="left"/>
      <w:pPr>
        <w:ind w:left="184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7">
      <w:start w:val="1"/>
      <w:numFmt w:val="bullet"/>
      <w:suff w:val="tab"/>
      <w:lvlText w:val="•"/>
      <w:lvlJc w:val="left"/>
      <w:pPr>
        <w:ind w:left="206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8">
      <w:start w:val="1"/>
      <w:numFmt w:val="bullet"/>
      <w:suff w:val="tab"/>
      <w:lvlText w:val="•"/>
      <w:lvlJc w:val="left"/>
      <w:pPr>
        <w:ind w:left="2286" w:hanging="306"/>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abstractNum>
  <w:num w:numId="1">
    <w:abstractNumId w:val="1"/>
  </w:num>
  <w:num w:numId="2">
    <w:abstractNumId w:val="0"/>
  </w:num>
  <w:num w:numId="3">
    <w:abstractNumId w:val="3"/>
  </w:num>
  <w:num w:numId="4">
    <w:abstractNumId w:val="2"/>
  </w:num>
  <w:num w:numId="5">
    <w:abstractNumId w:val="0"/>
    <w:lvlOverride w:ilvl="0">
      <w:startOverride w:val="1"/>
    </w:lvlOverride>
  </w:num>
  <w:num w:numId="6">
    <w:abstractNumId w:val="0"/>
    <w:lvlOverride w:ilvl="0">
      <w:startOverride w:val="3"/>
    </w:lvlOverride>
  </w:num>
  <w:num w:numId="7">
    <w:abstractNumId w:val="0"/>
    <w:lvlOverride w:ilvl="0">
      <w:startOverride w:val="4"/>
    </w:lvlOverride>
  </w:num>
  <w:num w:numId="8">
    <w:abstractNumId w:val="0"/>
    <w:lvlOverride w:ilvl="0">
      <w:startOverride w:val="6"/>
    </w:lvlOverride>
  </w:num>
  <w:num w:numId="9">
    <w:abstractNumId w:val="0"/>
    <w:lvlOverride w:ilvl="0">
      <w:startOverride w:val="7"/>
    </w:lvlOverride>
  </w:num>
  <w:num w:numId="10">
    <w:abstractNumId w:val="0"/>
    <w:lvlOverride w:ilvl="0">
      <w:startOverride w:val="8"/>
    </w:lvlOverride>
  </w:num>
  <w:num w:numId="11">
    <w:abstractNumId w:val="0"/>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Numbered">
    <w:name w:val="Numbered"/>
    <w:pPr>
      <w:numPr>
        <w:numId w:val="1"/>
      </w:numPr>
    </w:pPr>
  </w:style>
  <w:style w:type="numbering" w:styleId="Bullet">
    <w:name w:val="Bullet"/>
    <w:pPr>
      <w:numPr>
        <w:numId w:val="3"/>
      </w:numPr>
    </w:pPr>
  </w:style>
  <w:style w:type="character" w:styleId="Hyperlink.0">
    <w:name w:val="Hyperlink.0"/>
    <w:basedOn w:val="Hyperlink"/>
    <w:next w:val="Hyperlink.0"/>
    <w:rPr>
      <w:u w:val="single"/>
    </w:rPr>
  </w:style>
  <w:style w:type="character" w:styleId="None">
    <w:name w:val="None"/>
  </w:style>
  <w:style w:type="character" w:styleId="Hyperlink.1">
    <w:name w:val="Hyperlink.1"/>
    <w:basedOn w:val="None"/>
    <w:next w:val="Hyperlink.1"/>
    <w:rPr>
      <w:outline w:val="0"/>
      <w:color w:val="ff4c00"/>
      <w14:textFill>
        <w14:solidFill>
          <w14:srgbClr w14:val="FF4D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