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22713" w14:textId="77777777" w:rsidR="00471FC0" w:rsidRDefault="00471FC0" w:rsidP="00471FC0">
      <w:pPr>
        <w:pStyle w:val="NormalWeb"/>
        <w:rPr>
          <w:rFonts w:ascii="Arial" w:hAnsi="Arial" w:cs="Arial"/>
          <w:b/>
          <w:bCs/>
          <w:i/>
          <w:iCs/>
          <w:sz w:val="28"/>
          <w:szCs w:val="28"/>
        </w:rPr>
      </w:pPr>
      <w:bookmarkStart w:id="0" w:name="_GoBack"/>
      <w:bookmarkEnd w:id="0"/>
    </w:p>
    <w:p w14:paraId="5551DFFD" w14:textId="77777777" w:rsidR="00471FC0" w:rsidRDefault="00471FC0" w:rsidP="00471FC0">
      <w:pPr>
        <w:pStyle w:val="NormalWeb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410ACFD1" w14:textId="7B771BE2" w:rsidR="00471FC0" w:rsidRPr="00695B49" w:rsidRDefault="00471FC0" w:rsidP="00403059">
      <w:pPr>
        <w:pStyle w:val="NormalWeb"/>
        <w:jc w:val="center"/>
        <w:rPr>
          <w:rFonts w:ascii="Arial" w:hAnsi="Arial" w:cs="Arial"/>
          <w:sz w:val="28"/>
          <w:szCs w:val="28"/>
        </w:rPr>
      </w:pPr>
      <w:r w:rsidRPr="00695B49">
        <w:rPr>
          <w:rFonts w:ascii="Arial" w:hAnsi="Arial" w:cs="Arial"/>
          <w:b/>
          <w:bCs/>
          <w:i/>
          <w:iCs/>
          <w:sz w:val="28"/>
          <w:szCs w:val="28"/>
        </w:rPr>
        <w:t>Scholarship Criteria for The Mayne Family Scholarship Fund</w:t>
      </w:r>
    </w:p>
    <w:tbl>
      <w:tblPr>
        <w:tblW w:w="10281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240"/>
        <w:gridCol w:w="41"/>
      </w:tblGrid>
      <w:tr w:rsidR="00471FC0" w:rsidRPr="00DC2934" w14:paraId="6A1D9D18" w14:textId="77777777" w:rsidTr="0015226C">
        <w:trPr>
          <w:gridAfter w:val="1"/>
          <w:wAfter w:w="41" w:type="dxa"/>
        </w:trPr>
        <w:tc>
          <w:tcPr>
            <w:tcW w:w="10240" w:type="dxa"/>
          </w:tcPr>
          <w:p w14:paraId="65FB05E2" w14:textId="4455A08F" w:rsidR="009C30B7" w:rsidRPr="00DC2934" w:rsidRDefault="00471FC0" w:rsidP="009044F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trike/>
                <w:sz w:val="32"/>
                <w:szCs w:val="32"/>
                <w:lang w:eastAsia="ja-JP"/>
              </w:rPr>
            </w:pPr>
            <w:r w:rsidRPr="00262A2F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Purpose:</w:t>
            </w:r>
            <w:r w:rsidRPr="00695B4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695B49">
              <w:rPr>
                <w:rFonts w:ascii="Arial" w:hAnsi="Arial" w:cs="Arial"/>
                <w:sz w:val="28"/>
                <w:szCs w:val="28"/>
              </w:rPr>
              <w:t xml:space="preserve">The Mayne Family Scholarship Fund awards scholarships to college-bound high school seniors based on demonstrated academic achievement, financial need, and an express interest in </w:t>
            </w:r>
            <w:r>
              <w:rPr>
                <w:rFonts w:ascii="Arial" w:hAnsi="Arial" w:cs="Arial"/>
                <w:sz w:val="28"/>
                <w:szCs w:val="28"/>
              </w:rPr>
              <w:t xml:space="preserve">furthering his or her </w:t>
            </w:r>
            <w:r w:rsidR="009C30B7">
              <w:rPr>
                <w:rFonts w:ascii="Arial" w:hAnsi="Arial" w:cs="Arial"/>
                <w:sz w:val="28"/>
                <w:szCs w:val="28"/>
              </w:rPr>
              <w:t xml:space="preserve">education. </w:t>
            </w:r>
          </w:p>
        </w:tc>
      </w:tr>
      <w:tr w:rsidR="00471FC0" w:rsidRPr="00DC2934" w14:paraId="35EB43B0" w14:textId="77777777" w:rsidTr="0015226C">
        <w:tblPrEx>
          <w:tblBorders>
            <w:top w:val="none" w:sz="0" w:space="0" w:color="auto"/>
          </w:tblBorders>
        </w:tblPrEx>
        <w:trPr>
          <w:gridAfter w:val="1"/>
          <w:wAfter w:w="41" w:type="dxa"/>
        </w:trPr>
        <w:tc>
          <w:tcPr>
            <w:tcW w:w="10240" w:type="dxa"/>
          </w:tcPr>
          <w:p w14:paraId="0D209470" w14:textId="767309EE" w:rsidR="00471FC0" w:rsidRPr="00DC2934" w:rsidRDefault="00471FC0" w:rsidP="009044FD">
            <w:pPr>
              <w:widowControl w:val="0"/>
              <w:autoSpaceDE w:val="0"/>
              <w:autoSpaceDN w:val="0"/>
              <w:adjustRightInd w:val="0"/>
              <w:rPr>
                <w:strike/>
                <w:sz w:val="32"/>
                <w:szCs w:val="32"/>
                <w:lang w:eastAsia="ja-JP"/>
              </w:rPr>
            </w:pPr>
          </w:p>
        </w:tc>
      </w:tr>
      <w:tr w:rsidR="00471FC0" w:rsidRPr="000473A6" w14:paraId="0DFC2155" w14:textId="77777777" w:rsidTr="0015226C">
        <w:tblPrEx>
          <w:tblBorders>
            <w:top w:val="none" w:sz="0" w:space="0" w:color="auto"/>
          </w:tblBorders>
        </w:tblPrEx>
        <w:trPr>
          <w:trHeight w:val="372"/>
        </w:trPr>
        <w:tc>
          <w:tcPr>
            <w:tcW w:w="10281" w:type="dxa"/>
            <w:gridSpan w:val="2"/>
          </w:tcPr>
          <w:p w14:paraId="238705F4" w14:textId="68B71982" w:rsidR="00471FC0" w:rsidRPr="00262A2F" w:rsidRDefault="00471FC0" w:rsidP="009044FD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32"/>
                <w:szCs w:val="32"/>
                <w:lang w:eastAsia="ja-JP"/>
              </w:rPr>
            </w:pPr>
            <w:r w:rsidRPr="00262A2F">
              <w:rPr>
                <w:b/>
                <w:bCs/>
                <w:i/>
                <w:iCs/>
                <w:sz w:val="32"/>
                <w:szCs w:val="32"/>
                <w:lang w:eastAsia="ja-JP"/>
              </w:rPr>
              <w:t>Special Requirements f</w:t>
            </w:r>
            <w:r w:rsidR="00262A2F">
              <w:rPr>
                <w:b/>
                <w:bCs/>
                <w:i/>
                <w:iCs/>
                <w:sz w:val="32"/>
                <w:szCs w:val="32"/>
                <w:lang w:eastAsia="ja-JP"/>
              </w:rPr>
              <w:t>or the Scholarship Committee</w:t>
            </w:r>
            <w:r w:rsidRPr="00262A2F">
              <w:rPr>
                <w:b/>
                <w:bCs/>
                <w:i/>
                <w:iCs/>
                <w:sz w:val="32"/>
                <w:szCs w:val="32"/>
                <w:lang w:eastAsia="ja-JP"/>
              </w:rPr>
              <w:t>:</w:t>
            </w:r>
          </w:p>
        </w:tc>
      </w:tr>
      <w:tr w:rsidR="00471FC0" w:rsidRPr="000473A6" w14:paraId="7A8FB39A" w14:textId="77777777" w:rsidTr="0015226C">
        <w:tblPrEx>
          <w:tblBorders>
            <w:top w:val="none" w:sz="0" w:space="0" w:color="auto"/>
          </w:tblBorders>
        </w:tblPrEx>
        <w:trPr>
          <w:trHeight w:val="1096"/>
        </w:trPr>
        <w:tc>
          <w:tcPr>
            <w:tcW w:w="10281" w:type="dxa"/>
            <w:gridSpan w:val="2"/>
            <w:vAlign w:val="center"/>
          </w:tcPr>
          <w:p w14:paraId="1C977C7E" w14:textId="77777777" w:rsidR="00471FC0" w:rsidRPr="00AE3B67" w:rsidRDefault="00471FC0" w:rsidP="009044FD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  <w:lang w:eastAsia="ja-JP"/>
              </w:rPr>
            </w:pPr>
            <w:r w:rsidRPr="00AE3B67">
              <w:rPr>
                <w:sz w:val="32"/>
                <w:szCs w:val="32"/>
                <w:lang w:eastAsia="ja-JP"/>
              </w:rPr>
              <w:t>The Scholarship Committee of the Mayne Family Scholarship Fund is responsible for all aspects and activities related to scholarship awards. Some specifics include the following:</w:t>
            </w:r>
          </w:p>
        </w:tc>
      </w:tr>
      <w:tr w:rsidR="00471FC0" w:rsidRPr="000473A6" w14:paraId="32C9BF6A" w14:textId="77777777" w:rsidTr="0015226C">
        <w:tblPrEx>
          <w:tblBorders>
            <w:top w:val="none" w:sz="0" w:space="0" w:color="auto"/>
          </w:tblBorders>
        </w:tblPrEx>
        <w:trPr>
          <w:trHeight w:val="372"/>
        </w:trPr>
        <w:tc>
          <w:tcPr>
            <w:tcW w:w="10281" w:type="dxa"/>
            <w:gridSpan w:val="2"/>
          </w:tcPr>
          <w:p w14:paraId="75EA263C" w14:textId="77777777" w:rsidR="00471FC0" w:rsidRPr="00AE3B67" w:rsidRDefault="00471FC0" w:rsidP="009044FD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  <w:lang w:eastAsia="ja-JP"/>
              </w:rPr>
            </w:pPr>
            <w:r w:rsidRPr="00AE3B67">
              <w:rPr>
                <w:sz w:val="32"/>
                <w:szCs w:val="32"/>
                <w:lang w:eastAsia="ja-JP"/>
              </w:rPr>
              <w:t>1) Grant scholarships to qualified applicants from the scholarship fund;</w:t>
            </w:r>
          </w:p>
        </w:tc>
      </w:tr>
      <w:tr w:rsidR="00471FC0" w:rsidRPr="00AE3B67" w14:paraId="07AF1B1E" w14:textId="77777777" w:rsidTr="0015226C">
        <w:tblPrEx>
          <w:tblBorders>
            <w:top w:val="none" w:sz="0" w:space="0" w:color="auto"/>
          </w:tblBorders>
        </w:tblPrEx>
        <w:trPr>
          <w:trHeight w:val="1448"/>
        </w:trPr>
        <w:tc>
          <w:tcPr>
            <w:tcW w:w="10281" w:type="dxa"/>
            <w:gridSpan w:val="2"/>
          </w:tcPr>
          <w:p w14:paraId="00C1037A" w14:textId="1C9DAEC4" w:rsidR="00471FC0" w:rsidRPr="00AE3B67" w:rsidRDefault="00471FC0" w:rsidP="002E0E75">
            <w:pPr>
              <w:widowControl w:val="0"/>
              <w:autoSpaceDE w:val="0"/>
              <w:autoSpaceDN w:val="0"/>
              <w:adjustRightInd w:val="0"/>
              <w:rPr>
                <w:iCs/>
                <w:sz w:val="32"/>
                <w:szCs w:val="32"/>
                <w:lang w:eastAsia="ja-JP"/>
              </w:rPr>
            </w:pPr>
            <w:r w:rsidRPr="00AE3B67">
              <w:rPr>
                <w:iCs/>
                <w:sz w:val="32"/>
                <w:szCs w:val="32"/>
                <w:lang w:eastAsia="ja-JP"/>
              </w:rPr>
              <w:t>2) Consider scholarship grants only for those applicants who may be recommended for consideration by APRIL 25 preceding the fall academic semester for which they are applying. The applicant must submit a complete application package consisting of a completed application form and at least two lett</w:t>
            </w:r>
            <w:r w:rsidR="002E0E75">
              <w:rPr>
                <w:iCs/>
                <w:sz w:val="32"/>
                <w:szCs w:val="32"/>
                <w:lang w:eastAsia="ja-JP"/>
              </w:rPr>
              <w:t xml:space="preserve">ers of recommendation, and transcripts.  </w:t>
            </w:r>
          </w:p>
        </w:tc>
      </w:tr>
      <w:tr w:rsidR="00471FC0" w:rsidRPr="00AE3B67" w14:paraId="0661D067" w14:textId="77777777" w:rsidTr="00403059">
        <w:tblPrEx>
          <w:tblBorders>
            <w:top w:val="none" w:sz="0" w:space="0" w:color="auto"/>
          </w:tblBorders>
        </w:tblPrEx>
        <w:trPr>
          <w:trHeight w:val="100"/>
        </w:trPr>
        <w:tc>
          <w:tcPr>
            <w:tcW w:w="10281" w:type="dxa"/>
            <w:gridSpan w:val="2"/>
          </w:tcPr>
          <w:p w14:paraId="35472BA3" w14:textId="03BCA89A" w:rsidR="009044FD" w:rsidRPr="00DC2934" w:rsidRDefault="00471FC0" w:rsidP="0015226C">
            <w:pPr>
              <w:widowControl w:val="0"/>
              <w:autoSpaceDE w:val="0"/>
              <w:autoSpaceDN w:val="0"/>
              <w:adjustRightInd w:val="0"/>
              <w:rPr>
                <w:iCs/>
                <w:strike/>
                <w:sz w:val="32"/>
                <w:szCs w:val="32"/>
                <w:lang w:eastAsia="ja-JP"/>
              </w:rPr>
            </w:pPr>
            <w:r w:rsidRPr="00AE3B67">
              <w:rPr>
                <w:iCs/>
                <w:sz w:val="32"/>
                <w:szCs w:val="32"/>
                <w:lang w:eastAsia="ja-JP"/>
              </w:rPr>
              <w:t xml:space="preserve">3) Base awards upon specific scholarship requirements as detailed under </w:t>
            </w:r>
            <w:r w:rsidRPr="00AE3B67">
              <w:rPr>
                <w:iCs/>
                <w:sz w:val="28"/>
                <w:szCs w:val="28"/>
                <w:lang w:eastAsia="ja-JP"/>
              </w:rPr>
              <w:t>Applicant Eligibility Criteri</w:t>
            </w:r>
            <w:r w:rsidR="00403059">
              <w:rPr>
                <w:iCs/>
                <w:sz w:val="28"/>
                <w:szCs w:val="28"/>
                <w:lang w:eastAsia="ja-JP"/>
              </w:rPr>
              <w:t xml:space="preserve">a.  </w:t>
            </w:r>
          </w:p>
        </w:tc>
      </w:tr>
    </w:tbl>
    <w:p w14:paraId="7184BE21" w14:textId="28E1B122" w:rsidR="00471FC0" w:rsidRPr="00401C24" w:rsidRDefault="00403059" w:rsidP="00471FC0">
      <w:pPr>
        <w:pStyle w:val="NormalWeb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</w:t>
      </w:r>
      <w:r w:rsidRPr="00401C24">
        <w:rPr>
          <w:rFonts w:ascii="Times New Roman" w:hAnsi="Times New Roman"/>
          <w:sz w:val="32"/>
          <w:szCs w:val="32"/>
        </w:rPr>
        <w:t xml:space="preserve">) Submit recipient name or names to the vestry to allow for treasurer to submit </w:t>
      </w:r>
      <w:r w:rsidRPr="00401C24">
        <w:rPr>
          <w:rFonts w:ascii="Times New Roman" w:hAnsi="Times New Roman"/>
          <w:sz w:val="32"/>
          <w:szCs w:val="32"/>
          <w:lang w:eastAsia="ja-JP"/>
        </w:rPr>
        <w:t>the scholarship payment directly to the award recipient’s selected school upon receipt of enrollment verification from the recipient’s academic insti</w:t>
      </w:r>
      <w:r>
        <w:rPr>
          <w:rFonts w:ascii="Times New Roman" w:hAnsi="Times New Roman"/>
          <w:sz w:val="32"/>
          <w:szCs w:val="32"/>
          <w:lang w:eastAsia="ja-JP"/>
        </w:rPr>
        <w:t>tution no later than first week of August.</w:t>
      </w:r>
    </w:p>
    <w:p w14:paraId="7E351F45" w14:textId="5F4CB02A" w:rsidR="00471FC0" w:rsidRPr="0015226C" w:rsidRDefault="00471FC0" w:rsidP="00471FC0">
      <w:pPr>
        <w:pStyle w:val="NormalWeb"/>
        <w:rPr>
          <w:rFonts w:ascii="Times New Roman" w:hAnsi="Times New Roman"/>
          <w:sz w:val="32"/>
          <w:szCs w:val="32"/>
        </w:rPr>
      </w:pPr>
      <w:r w:rsidRPr="00262A2F">
        <w:rPr>
          <w:rFonts w:ascii="Arial" w:hAnsi="Arial" w:cs="Arial"/>
          <w:b/>
          <w:bCs/>
          <w:i/>
          <w:sz w:val="28"/>
          <w:szCs w:val="28"/>
        </w:rPr>
        <w:t>Criteria:</w:t>
      </w:r>
      <w:r w:rsidRPr="00695B49">
        <w:rPr>
          <w:rFonts w:ascii="Arial" w:hAnsi="Arial" w:cs="Arial"/>
          <w:b/>
          <w:bCs/>
          <w:sz w:val="28"/>
          <w:szCs w:val="28"/>
        </w:rPr>
        <w:t xml:space="preserve"> </w:t>
      </w:r>
      <w:r w:rsidRPr="0015226C">
        <w:rPr>
          <w:rFonts w:ascii="Times New Roman" w:hAnsi="Times New Roman"/>
          <w:sz w:val="32"/>
          <w:szCs w:val="32"/>
        </w:rPr>
        <w:t>The student(s) eligible for assistance must be grad</w:t>
      </w:r>
      <w:r w:rsidR="009C30B7" w:rsidRPr="0015226C">
        <w:rPr>
          <w:rFonts w:ascii="Times New Roman" w:hAnsi="Times New Roman"/>
          <w:sz w:val="32"/>
          <w:szCs w:val="32"/>
        </w:rPr>
        <w:t xml:space="preserve">uating high school senior </w:t>
      </w:r>
      <w:r w:rsidR="009044FD" w:rsidRPr="0015226C">
        <w:rPr>
          <w:rFonts w:ascii="Times New Roman" w:hAnsi="Times New Roman"/>
          <w:sz w:val="32"/>
          <w:szCs w:val="32"/>
        </w:rPr>
        <w:t xml:space="preserve">who </w:t>
      </w:r>
      <w:r w:rsidR="009C30B7" w:rsidRPr="0015226C">
        <w:rPr>
          <w:rFonts w:ascii="Times New Roman" w:hAnsi="Times New Roman"/>
          <w:sz w:val="32"/>
          <w:szCs w:val="32"/>
        </w:rPr>
        <w:t>has</w:t>
      </w:r>
      <w:r w:rsidRPr="0015226C">
        <w:rPr>
          <w:rFonts w:ascii="Times New Roman" w:hAnsi="Times New Roman"/>
          <w:sz w:val="32"/>
          <w:szCs w:val="32"/>
        </w:rPr>
        <w:t xml:space="preserve"> immediate or family ties to St. Luke’s Church Blackstone and intend</w:t>
      </w:r>
      <w:r w:rsidR="009C30B7" w:rsidRPr="0015226C">
        <w:rPr>
          <w:rFonts w:ascii="Times New Roman" w:hAnsi="Times New Roman"/>
          <w:sz w:val="32"/>
          <w:szCs w:val="32"/>
        </w:rPr>
        <w:t>s</w:t>
      </w:r>
      <w:r w:rsidRPr="0015226C">
        <w:rPr>
          <w:rFonts w:ascii="Times New Roman" w:hAnsi="Times New Roman"/>
          <w:sz w:val="32"/>
          <w:szCs w:val="32"/>
        </w:rPr>
        <w:t xml:space="preserve"> to continue their education at either a </w:t>
      </w:r>
      <w:r w:rsidR="00403059" w:rsidRPr="0015226C">
        <w:rPr>
          <w:rFonts w:ascii="Times New Roman" w:hAnsi="Times New Roman"/>
          <w:sz w:val="32"/>
          <w:szCs w:val="32"/>
        </w:rPr>
        <w:t>two-year</w:t>
      </w:r>
      <w:r w:rsidRPr="0015226C">
        <w:rPr>
          <w:rFonts w:ascii="Times New Roman" w:hAnsi="Times New Roman"/>
          <w:sz w:val="32"/>
          <w:szCs w:val="32"/>
        </w:rPr>
        <w:t xml:space="preserve"> or four-year college or university, or trade school.  Consideration will be given to academic achievement, financial need, and</w:t>
      </w:r>
      <w:r w:rsidR="009044FD" w:rsidRPr="0015226C">
        <w:rPr>
          <w:rFonts w:ascii="Times New Roman" w:hAnsi="Times New Roman"/>
          <w:sz w:val="32"/>
          <w:szCs w:val="32"/>
        </w:rPr>
        <w:t xml:space="preserve"> </w:t>
      </w:r>
      <w:r w:rsidRPr="0015226C">
        <w:rPr>
          <w:rFonts w:ascii="Times New Roman" w:hAnsi="Times New Roman"/>
          <w:sz w:val="32"/>
          <w:szCs w:val="32"/>
        </w:rPr>
        <w:t>student’s community service record.</w:t>
      </w:r>
    </w:p>
    <w:p w14:paraId="5B02B027" w14:textId="77777777" w:rsidR="00471FC0" w:rsidRPr="00695B49" w:rsidRDefault="00471FC0" w:rsidP="00471FC0">
      <w:pPr>
        <w:pStyle w:val="NormalWeb"/>
        <w:rPr>
          <w:rFonts w:ascii="Arial" w:hAnsi="Arial" w:cs="Arial"/>
          <w:i/>
          <w:sz w:val="28"/>
          <w:szCs w:val="28"/>
        </w:rPr>
      </w:pPr>
    </w:p>
    <w:p w14:paraId="112CB2B8" w14:textId="77777777" w:rsidR="009C30B7" w:rsidRDefault="00471FC0" w:rsidP="00471FC0">
      <w:pPr>
        <w:pStyle w:val="NormalWeb"/>
        <w:rPr>
          <w:rFonts w:ascii="Arial" w:hAnsi="Arial" w:cs="Arial"/>
          <w:sz w:val="28"/>
          <w:szCs w:val="28"/>
        </w:rPr>
      </w:pPr>
      <w:r w:rsidRPr="00262A2F">
        <w:rPr>
          <w:rFonts w:ascii="Arial" w:hAnsi="Arial" w:cs="Arial"/>
          <w:b/>
          <w:bCs/>
          <w:i/>
          <w:sz w:val="28"/>
          <w:szCs w:val="28"/>
        </w:rPr>
        <w:lastRenderedPageBreak/>
        <w:t>Guidelines:</w:t>
      </w:r>
      <w:r w:rsidRPr="00695B49">
        <w:rPr>
          <w:rFonts w:ascii="Arial" w:hAnsi="Arial" w:cs="Arial"/>
          <w:b/>
          <w:bCs/>
          <w:sz w:val="28"/>
          <w:szCs w:val="28"/>
        </w:rPr>
        <w:t xml:space="preserve"> </w:t>
      </w:r>
      <w:r w:rsidRPr="00695B49">
        <w:rPr>
          <w:rFonts w:ascii="Arial" w:hAnsi="Arial" w:cs="Arial"/>
          <w:sz w:val="28"/>
          <w:szCs w:val="28"/>
        </w:rPr>
        <w:t xml:space="preserve">Scholarships will be awarded on an annual basis and distributed in one payment directly to the school. Students must continue to attend classes and maintain no lower than a 3.0 grade-point average (or equivalent). </w:t>
      </w:r>
    </w:p>
    <w:p w14:paraId="7AD0FB8E" w14:textId="4400C590" w:rsidR="009C30B7" w:rsidRPr="00AE3B67" w:rsidRDefault="009C30B7" w:rsidP="009C30B7">
      <w:pPr>
        <w:pStyle w:val="NormalWeb"/>
        <w:rPr>
          <w:rFonts w:ascii="Times New Roman" w:hAnsi="Times New Roman"/>
          <w:iCs/>
          <w:sz w:val="32"/>
          <w:szCs w:val="32"/>
          <w:lang w:eastAsia="ja-JP"/>
        </w:rPr>
      </w:pPr>
      <w:r w:rsidRPr="00AE3B67">
        <w:rPr>
          <w:rFonts w:ascii="Times New Roman" w:hAnsi="Times New Roman"/>
          <w:sz w:val="32"/>
          <w:szCs w:val="32"/>
          <w:lang w:eastAsia="ja-JP"/>
        </w:rPr>
        <w:t xml:space="preserve">The applicant must submit a complete application package consisting of a completed application form and at least </w:t>
      </w:r>
      <w:r w:rsidRPr="00AE3B67">
        <w:rPr>
          <w:rFonts w:ascii="Times New Roman" w:hAnsi="Times New Roman"/>
          <w:iCs/>
          <w:sz w:val="32"/>
          <w:szCs w:val="32"/>
          <w:lang w:eastAsia="ja-JP"/>
        </w:rPr>
        <w:t>two letters of rec</w:t>
      </w:r>
      <w:r w:rsidR="0015226C">
        <w:rPr>
          <w:rFonts w:ascii="Times New Roman" w:hAnsi="Times New Roman"/>
          <w:iCs/>
          <w:sz w:val="32"/>
          <w:szCs w:val="32"/>
          <w:lang w:eastAsia="ja-JP"/>
        </w:rPr>
        <w:t xml:space="preserve">ommendation, </w:t>
      </w:r>
      <w:r w:rsidR="00401C24">
        <w:rPr>
          <w:rFonts w:ascii="Times New Roman" w:hAnsi="Times New Roman"/>
          <w:iCs/>
          <w:sz w:val="32"/>
          <w:szCs w:val="32"/>
          <w:lang w:eastAsia="ja-JP"/>
        </w:rPr>
        <w:t>high school transcript,</w:t>
      </w:r>
      <w:r w:rsidRPr="00AE3B67">
        <w:rPr>
          <w:rFonts w:ascii="Times New Roman" w:hAnsi="Times New Roman"/>
          <w:iCs/>
          <w:sz w:val="32"/>
          <w:szCs w:val="32"/>
          <w:lang w:eastAsia="ja-JP"/>
        </w:rPr>
        <w:t xml:space="preserve"> a statement of goals, </w:t>
      </w:r>
      <w:r w:rsidR="00401C24">
        <w:rPr>
          <w:rFonts w:ascii="Times New Roman" w:hAnsi="Times New Roman"/>
          <w:iCs/>
          <w:sz w:val="32"/>
          <w:szCs w:val="32"/>
          <w:lang w:eastAsia="ja-JP"/>
        </w:rPr>
        <w:t xml:space="preserve">and school </w:t>
      </w:r>
      <w:r w:rsidRPr="00AE3B67">
        <w:rPr>
          <w:rFonts w:ascii="Times New Roman" w:hAnsi="Times New Roman"/>
          <w:iCs/>
          <w:sz w:val="32"/>
          <w:szCs w:val="32"/>
          <w:lang w:eastAsia="ja-JP"/>
        </w:rPr>
        <w:t>where t</w:t>
      </w:r>
      <w:r w:rsidR="00401C24">
        <w:rPr>
          <w:rFonts w:ascii="Times New Roman" w:hAnsi="Times New Roman"/>
          <w:iCs/>
          <w:sz w:val="32"/>
          <w:szCs w:val="32"/>
          <w:lang w:eastAsia="ja-JP"/>
        </w:rPr>
        <w:t>hey plan to attend.</w:t>
      </w:r>
    </w:p>
    <w:p w14:paraId="09BDD2DC" w14:textId="0D580757" w:rsidR="009044FD" w:rsidRDefault="009044FD" w:rsidP="009044FD">
      <w:pPr>
        <w:pStyle w:val="NormalWeb"/>
        <w:rPr>
          <w:rFonts w:ascii="Arial" w:hAnsi="Arial" w:cs="Arial"/>
          <w:sz w:val="28"/>
          <w:szCs w:val="28"/>
        </w:rPr>
      </w:pPr>
      <w:r w:rsidRPr="001E2B7B">
        <w:rPr>
          <w:rFonts w:ascii="Arial" w:hAnsi="Arial" w:cs="Arial"/>
          <w:b/>
          <w:bCs/>
          <w:i/>
          <w:sz w:val="28"/>
          <w:szCs w:val="28"/>
        </w:rPr>
        <w:t>Amount:</w:t>
      </w:r>
      <w:r w:rsidRPr="00695B49">
        <w:rPr>
          <w:rFonts w:ascii="Arial" w:hAnsi="Arial" w:cs="Arial"/>
          <w:b/>
          <w:bCs/>
          <w:sz w:val="28"/>
          <w:szCs w:val="28"/>
        </w:rPr>
        <w:t xml:space="preserve"> </w:t>
      </w:r>
      <w:r w:rsidR="00403059" w:rsidRPr="00695B49">
        <w:rPr>
          <w:rFonts w:ascii="Arial" w:hAnsi="Arial" w:cs="Arial"/>
          <w:sz w:val="28"/>
          <w:szCs w:val="28"/>
        </w:rPr>
        <w:t>The scholarship</w:t>
      </w:r>
      <w:r w:rsidRPr="00695B49">
        <w:rPr>
          <w:rFonts w:ascii="Arial" w:hAnsi="Arial" w:cs="Arial"/>
          <w:sz w:val="28"/>
          <w:szCs w:val="28"/>
        </w:rPr>
        <w:t xml:space="preserve"> can be awarded in either one $1000 award or two $500 awards.</w:t>
      </w:r>
    </w:p>
    <w:tbl>
      <w:tblPr>
        <w:tblW w:w="10240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240"/>
      </w:tblGrid>
      <w:tr w:rsidR="00471FC0" w14:paraId="16EDDCE3" w14:textId="77777777" w:rsidTr="00AE3B67">
        <w:tc>
          <w:tcPr>
            <w:tcW w:w="10240" w:type="dxa"/>
          </w:tcPr>
          <w:p w14:paraId="6CD7B7C5" w14:textId="237FEE64" w:rsidR="0015226C" w:rsidRDefault="0015226C" w:rsidP="0015226C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 w:rsidRPr="001E2B7B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Deadline:</w:t>
            </w:r>
            <w:r w:rsidRPr="00695B4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695B49">
              <w:rPr>
                <w:rFonts w:ascii="Arial" w:hAnsi="Arial" w:cs="Arial"/>
                <w:sz w:val="28"/>
                <w:szCs w:val="28"/>
              </w:rPr>
              <w:t>Please submit applications, recom</w:t>
            </w:r>
            <w:r>
              <w:rPr>
                <w:rFonts w:ascii="Arial" w:hAnsi="Arial" w:cs="Arial"/>
                <w:sz w:val="28"/>
                <w:szCs w:val="28"/>
              </w:rPr>
              <w:t xml:space="preserve">mendations, or requests </w:t>
            </w:r>
            <w:r w:rsidR="00403059">
              <w:rPr>
                <w:rFonts w:ascii="Arial" w:hAnsi="Arial" w:cs="Arial"/>
                <w:sz w:val="28"/>
                <w:szCs w:val="28"/>
              </w:rPr>
              <w:t xml:space="preserve">              </w:t>
            </w:r>
            <w:r>
              <w:rPr>
                <w:rFonts w:ascii="Arial" w:hAnsi="Arial" w:cs="Arial"/>
                <w:sz w:val="28"/>
                <w:szCs w:val="28"/>
              </w:rPr>
              <w:t>by April 25 to:</w:t>
            </w:r>
          </w:p>
          <w:p w14:paraId="41C6A4B7" w14:textId="7EB5921B" w:rsidR="00403059" w:rsidRDefault="00403059" w:rsidP="00403059">
            <w:pPr>
              <w:pStyle w:val="NormalWeb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St. Luke’s Episcopal Church</w:t>
            </w:r>
          </w:p>
          <w:p w14:paraId="27512A31" w14:textId="7131EDE2" w:rsidR="00403059" w:rsidRDefault="0015226C" w:rsidP="00403059">
            <w:pPr>
              <w:pStyle w:val="NormalWeb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Attention: May</w:t>
            </w:r>
            <w:r w:rsidR="00403059">
              <w:rPr>
                <w:rFonts w:ascii="Arial" w:hAnsi="Arial" w:cs="Arial"/>
                <w:sz w:val="28"/>
                <w:szCs w:val="28"/>
              </w:rPr>
              <w:t>ne Family Scholarship Committee</w:t>
            </w:r>
          </w:p>
          <w:p w14:paraId="347979E3" w14:textId="6FCC5DC2" w:rsidR="0015226C" w:rsidRDefault="0015226C" w:rsidP="00403059">
            <w:pPr>
              <w:pStyle w:val="NormalWeb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P.O. Box 36, Blackstone, Va. 23824</w:t>
            </w:r>
          </w:p>
          <w:p w14:paraId="3B17B0FE" w14:textId="77777777" w:rsidR="00471FC0" w:rsidRDefault="00471FC0" w:rsidP="009044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85287"/>
                <w:sz w:val="32"/>
                <w:szCs w:val="32"/>
                <w:lang w:eastAsia="ja-JP"/>
              </w:rPr>
            </w:pPr>
          </w:p>
        </w:tc>
      </w:tr>
      <w:tr w:rsidR="00471FC0" w14:paraId="2D6C8499" w14:textId="77777777" w:rsidTr="00AE3B67">
        <w:tc>
          <w:tcPr>
            <w:tcW w:w="10240" w:type="dxa"/>
          </w:tcPr>
          <w:p w14:paraId="74E47A7C" w14:textId="77777777" w:rsidR="0015226C" w:rsidRDefault="0015226C" w:rsidP="0015226C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 w:rsidRPr="001E2B7B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Renewal process:</w:t>
            </w:r>
            <w:r w:rsidRPr="00695B4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695B49">
              <w:rPr>
                <w:rFonts w:ascii="Arial" w:hAnsi="Arial" w:cs="Arial"/>
                <w:sz w:val="28"/>
                <w:szCs w:val="28"/>
              </w:rPr>
              <w:t xml:space="preserve">This scholarship is not renewable </w:t>
            </w:r>
          </w:p>
          <w:p w14:paraId="3E3FB76C" w14:textId="77777777" w:rsidR="00471FC0" w:rsidRDefault="00471FC0" w:rsidP="009C30B7">
            <w:pPr>
              <w:pStyle w:val="NormalWeb"/>
              <w:rPr>
                <w:rFonts w:ascii="Arial" w:hAnsi="Arial" w:cs="Arial"/>
                <w:sz w:val="32"/>
                <w:szCs w:val="32"/>
                <w:lang w:eastAsia="ja-JP"/>
              </w:rPr>
            </w:pPr>
          </w:p>
        </w:tc>
      </w:tr>
    </w:tbl>
    <w:p w14:paraId="662B9F2E" w14:textId="77777777" w:rsidR="00471FC0" w:rsidRPr="00695B49" w:rsidRDefault="00471FC0" w:rsidP="00471FC0">
      <w:pPr>
        <w:pStyle w:val="NormalWeb"/>
        <w:rPr>
          <w:rFonts w:ascii="Arial" w:hAnsi="Arial" w:cs="Arial"/>
          <w:sz w:val="28"/>
          <w:szCs w:val="28"/>
        </w:rPr>
      </w:pPr>
    </w:p>
    <w:p w14:paraId="70DF24F5" w14:textId="77777777" w:rsidR="00445F25" w:rsidRDefault="00445F25"/>
    <w:sectPr w:rsidR="00445F25" w:rsidSect="00445F2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FC0"/>
    <w:rsid w:val="0015226C"/>
    <w:rsid w:val="001850FC"/>
    <w:rsid w:val="001E2B7B"/>
    <w:rsid w:val="00262A2F"/>
    <w:rsid w:val="002E0E75"/>
    <w:rsid w:val="00401C24"/>
    <w:rsid w:val="00403059"/>
    <w:rsid w:val="00445F25"/>
    <w:rsid w:val="00471FC0"/>
    <w:rsid w:val="00477C91"/>
    <w:rsid w:val="004A7B45"/>
    <w:rsid w:val="00597EB5"/>
    <w:rsid w:val="00711C52"/>
    <w:rsid w:val="009044FD"/>
    <w:rsid w:val="009C30B7"/>
    <w:rsid w:val="00AE3B67"/>
    <w:rsid w:val="00DC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32EEC0"/>
  <w14:defaultImageDpi w14:val="300"/>
  <w15:docId w15:val="{7C0912AE-E3AB-4891-9BFA-A26CF677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FC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1FC0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Reitz</dc:creator>
  <cp:keywords/>
  <dc:description/>
  <cp:lastModifiedBy>Sydney Gilley</cp:lastModifiedBy>
  <cp:revision>2</cp:revision>
  <cp:lastPrinted>2017-03-29T17:15:00Z</cp:lastPrinted>
  <dcterms:created xsi:type="dcterms:W3CDTF">2020-03-24T18:39:00Z</dcterms:created>
  <dcterms:modified xsi:type="dcterms:W3CDTF">2020-03-24T18:39:00Z</dcterms:modified>
</cp:coreProperties>
</file>