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Grant All-Detail Report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Cost Share 2022</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color w:val="548dd4" w:themeColor="text2" w:themeTint="99"/>
          <w:sz w:val="24"/>
          <w:szCs w:val="24"/>
        </w:rPr>
      </w:pPr>
      <w:r>
        <w:rPr>
          <w:rFonts w:asciiTheme="majorHAnsi" w:hAnsiTheme="majorHAnsi"/>
          <w:b w:val="on"/>
          <w:color w:val="548dd4" w:themeColor="text2" w:themeTint="99"/>
          <w:sz w:val="24"/>
          <w:szCs w:val="24"/>
        </w:rPr>
        <w:t xml:space="preserve">Grant Title - </w:t>
      </w:r>
      <w:r>
        <w:rPr>
          <w:rFonts w:asciiTheme="majorHAnsi" w:hAnsiTheme="majorHAnsi"/>
          <w:color w:val="548dd4" w:themeColor="text2" w:themeTint="99"/>
          <w:sz w:val="24"/>
          <w:szCs w:val="24"/>
        </w:rPr>
        <w:t xml:space="preserve">2022 - State Cost-Share Fund (Carlton SWCD) </w:t>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r>
        <w:rPr>
          <w:rFonts w:asciiTheme="majorHAnsi" w:hAnsiTheme="majorHAnsi"/>
          <w:b w:val="on"/>
          <w:color w:val="548dd4" w:themeColor="text2" w:themeTint="99"/>
          <w:sz w:val="24"/>
          <w:szCs w:val="24"/>
        </w:rPr>
        <w:t xml:space="preserve">Grant ID </w:t>
      </w:r>
      <w:r>
        <w:rPr>
          <w:rFonts w:asciiTheme="majorHAnsi" w:hAnsiTheme="majorHAnsi"/>
          <w:color w:val="548dd4" w:themeColor="text2" w:themeTint="99"/>
          <w:sz w:val="24"/>
          <w:szCs w:val="24"/>
        </w:rPr>
        <w:t xml:space="preserve">- P22-5668</w:t>
      </w:r>
    </w:p>
    <w:p>
      <w:pPr>
        <w:widowControl w:val="off"/>
        <w:pBdr>
          <w:top w:val="nil"/>
          <w:left w:val="nil"/>
          <w:bottom w:val="nil"/>
          <w:right w:val="nil"/>
          <w:between w:val="nil"/>
        </w:pBdr>
        <w:spacing w:after="0"/>
        <w:rPr>
          <w:rFonts w:asciiTheme="majorHAnsi" w:hAnsiTheme="majorHAnsi"/>
          <w:color w:val="548dd4" w:themeColor="text2" w:themeTint="99"/>
          <w:sz w:val="20"/>
          <w:szCs w:val="20"/>
        </w:rPr>
      </w:pPr>
      <w:r>
        <w:rPr>
          <w:rFonts w:asciiTheme="majorHAnsi" w:hAnsiTheme="majorHAnsi"/>
          <w:b w:val="on"/>
          <w:color w:val="548dd4" w:themeColor="text2" w:themeTint="99"/>
          <w:sz w:val="24"/>
          <w:szCs w:val="24"/>
        </w:rPr>
        <w:t xml:space="preserve">Organization - </w:t>
      </w:r>
      <w:r>
        <w:rPr>
          <w:rFonts w:asciiTheme="majorHAnsi" w:hAnsiTheme="majorHAnsi"/>
          <w:color w:val="548dd4" w:themeColor="text2" w:themeTint="99"/>
          <w:sz w:val="24"/>
          <w:szCs w:val="24"/>
        </w:rPr>
        <w:t xml:space="preserve">Carlton SWCD</w:t>
      </w:r>
      <w:r>
        <w:rPr>
          <w:rFonts w:asciiTheme="majorHAnsi" w:hAnsiTheme="majorHAnsi"/>
          <w:color w:val="548dd4" w:themeColor="text2" w:themeTint="99"/>
          <w:sz w:val="20"/>
          <w:szCs w:val="20"/>
        </w:rPr>
        <w:tab/>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3001"/>
        <w:gridCol w:w="4508"/>
        <w:gridCol w:w="3093"/>
        <w:gridCol w:w="3800"/>
      </w:tblGrid>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Original Awarded Amount</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$8,001.00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Grant Execution Date</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10/13/2021</w:t>
            </w:r>
          </w:p>
        </w:tc>
      </w:tr>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Amount</w:t>
            </w:r>
          </w:p>
        </w:tc>
        <w:tc>
          <w:tcPr>
            <w:tcW w:w="1542"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Original Grant End Date</w:t>
            </w:r>
          </w:p>
        </w:tc>
        <w:tc>
          <w:tcPr>
            <w:tcW w:w="137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12/31/2024</w:t>
            </w:r>
          </w:p>
        </w:tc>
      </w:tr>
      <w:tr>
        <w:trPr>
          <w:trHeight w:val="61" w:hRule="atLeast"/>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Grant Day To Day Contact</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Alyssa  Bloss</w:t>
            </w:r>
          </w:p>
        </w:tc>
      </w:tr>
      <w:tr>
        <w:trPr>
          <w:trHeight w:val="61" w:hRule="atLeast"/>
        </w:trPr>
        <w:tc>
          <w:tcPr>
            <w:tcW w:w="102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Current Awarded Amount</w:t>
            </w:r>
          </w:p>
        </w:tc>
        <w:tc>
          <w:tcPr>
            <w:tcW w:w="1542"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widowControl w:val="off"/>
              <w:pBdr>
                <w:top w:val="nil"/>
                <w:left w:val="nil"/>
                <w:bottom w:val="nil"/>
                <w:right w:val="nil"/>
                <w:between w:val="nil"/>
              </w:pBdr>
              <w:rPr/>
            </w:pPr>
            <w:r>
              <w:rPr/>
              <w:t xml:space="preserve">$8,001.00</w:t>
            </w:r>
          </w:p>
        </w:tc>
        <w:tc>
          <w:tcPr>
            <w:tcW w:w="1058"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Current End Date</w:t>
            </w:r>
          </w:p>
        </w:tc>
        <w:tc>
          <w:tcPr>
            <w:tcW w:w="1374"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12/31/2024</w:t>
            </w:r>
          </w:p>
        </w:tc>
      </w:tr>
    </w:tbl>
    <w:p>
      <w:pPr>
        <w:pStyle w:val="Heading2"/>
        <w:pBdr>
          <w:top w:val="nil"/>
          <w:left w:val="nil"/>
          <w:bottom w:val="nil"/>
          <w:right w:val="nil"/>
          <w:between w:val="nil"/>
        </w:pBdr>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n" w:noVBand="off"/>
      </w:tblPr>
      <w:tblGrid>
        <w:gridCol w:w="2976"/>
        <w:gridCol w:w="2571"/>
        <w:gridCol w:w="2494"/>
        <w:gridCol w:w="2439"/>
      </w:tblGrid>
      <w:tr>
        <w:trPr/>
        <w:tc>
          <w:tcPr>
            <w:tcW w:w="1411"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p>
        </w:tc>
        <w:tc>
          <w:tcPr>
            <w:tcW w:w="1220"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Budgeted</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Spent</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jc w:val="center"/>
              <w:rPr>
                <w:rFonts w:asciiTheme="minorHAnsi" w:hAnsiTheme="minorHAnsi"/>
                <w:b w:val="off"/>
                <w:color w:val="ffffff" w:themeColor="background1"/>
              </w:rPr>
            </w:pPr>
            <w:r>
              <w:rPr>
                <w:rFonts w:asciiTheme="minorHAnsi" w:hAnsiTheme="minorHAnsi"/>
                <w:color w:val="ffffff" w:themeColor="background1"/>
              </w:rPr>
              <w:t xml:space="preserve">Balance Remaining*</w:t>
            </w:r>
          </w:p>
        </w:tc>
      </w:tr>
      <w:tr>
        <w:trPr>
          <w:trHeight w:val="60"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Total Grant Amount</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$8,001.00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$825.42</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$7,175.58</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Total Match Amount</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Other Funds</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b w:val="on"/>
              </w:rPr>
            </w:pPr>
            <w:r>
              <w:rPr>
                <w:b w:val="on"/>
              </w:rPr>
              <w:t xml:space="preserve">Total</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$8,001.00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$825.42</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$7,175.58</w:t>
            </w:r>
          </w:p>
        </w:tc>
      </w:tr>
    </w:tbl>
    <w:p>
      <w:pPr>
        <w:pBdr>
          <w:top w:val="nil"/>
          <w:left w:val="nil"/>
          <w:bottom w:val="nil"/>
          <w:right w:val="nil"/>
          <w:between w:val="nil"/>
        </w:pBdr>
        <w:rPr>
          <w:i w:val="on"/>
          <w:color w:val="4f81bd" w:themeColor="accent1"/>
          <w:sz w:val="20"/>
          <w:szCs w:val="20"/>
        </w:rPr>
      </w:pPr>
      <w:r>
        <w:rPr>
          <w:i w:val="on"/>
          <w:color w:val="4f81bd" w:themeColor="accent1"/>
          <w:sz w:val="20"/>
          <w:szCs w:val="20"/>
        </w:rPr>
        <w:t xml:space="preserve">*Grant balance remaining is the difference between the Awarded Amount and the Spent Amount. Other values compare budgeted and spent amounts.</w:t>
      </w:r>
    </w:p>
    <w:p>
      <w:pPr>
        <w:pStyle w:val="Heading2"/>
        <w:pBdr>
          <w:top w:val="nil"/>
          <w:left w:val="nil"/>
          <w:bottom w:val="nil"/>
          <w:right w:val="nil"/>
          <w:between w:val="nil"/>
        </w:pBdr>
        <w:spacing w:line="360" w:lineRule="auto"/>
        <w:rPr>
          <w:b w:val="off"/>
          <w:sz w:val="24"/>
          <w:szCs w:val="24"/>
        </w:rPr>
      </w:pPr>
      <w:r>
        <w:rPr>
          <w:sz w:val="24"/>
          <w:szCs w:val="24"/>
        </w:rPr>
        <w:t xml:space="preserve">Budget Details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ayout w:type="fixed"/>
        <w:tblLook w:firstRow="on" w:lastRow="off" w:firstColumn="off" w:lastColumn="off" w:noHBand="on" w:noVBand="off"/>
      </w:tblPr>
      <w:tblGrid>
        <w:gridCol w:w="3528"/>
        <w:gridCol w:w="1619"/>
        <w:gridCol w:w="1351"/>
        <w:gridCol w:w="3061"/>
        <w:gridCol w:w="1351"/>
        <w:gridCol w:w="1257"/>
        <w:gridCol w:w="1353"/>
        <w:gridCol w:w="880"/>
      </w:tblGrid>
      <w:tr>
        <w:trPr>
          <w:cantSplit w:val="on"/>
          <w:tblHeader w:val="on"/>
        </w:trPr>
        <w:tc>
          <w:tcPr>
            <w:tcW w:w="120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Activity Name</w:t>
            </w:r>
          </w:p>
        </w:tc>
        <w:tc>
          <w:tcPr>
            <w:tcW w:w="554"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Activity Category</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Type</w:t>
            </w:r>
          </w:p>
        </w:tc>
        <w:tc>
          <w:tcPr>
            <w:tcW w:w="104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Description</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Budgeted</w:t>
            </w:r>
          </w:p>
        </w:tc>
        <w:tc>
          <w:tcPr>
            <w:tcW w:w="430"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Spent</w:t>
            </w:r>
          </w:p>
        </w:tc>
        <w:tc>
          <w:tcPr>
            <w:tcW w:w="463"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Last Transaction Date</w:t>
            </w:r>
          </w:p>
        </w:tc>
        <w:tc>
          <w:tcPr>
            <w:tcW w:w="375"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Matching Fund</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Agricultural BMP Cost Share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Agricultural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2022 - State Cost-Share Fund (Carlton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$3,001.00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$711.21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12/5/2022</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Forestry BMP Cost Share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Forestry Practices</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2022 - State Cost-Share Fund (Carlton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Nonstructural BMP Cost Share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Non-Structural Management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2022 - State Cost-Share Fund (Carlton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$114.21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11/14/2022</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Streambank/Shoreline BMP Cost Share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Streambank or Shoreline Protection</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2022 - State Cost-Share Fund (Carlton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Urban Stormwater BMP Cost Share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Urban Stormwater Management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2022 - State Cost-Share Fund (Carlton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bl>
    <w:p>
      <w:pPr>
        <w:pStyle w:val="Heading2"/>
        <w:pBdr>
          <w:top w:val="nil"/>
          <w:left w:val="nil"/>
          <w:bottom w:val="nil"/>
          <w:right w:val="nil"/>
          <w:between w:val="nil"/>
        </w:pBdr>
        <w:spacing w:before="0" w:line="360" w:lineRule="auto"/>
        <w:rPr>
          <w:b w:val="off"/>
          <w:sz w:val="20"/>
          <w:szCs w:val="20"/>
        </w:rPr>
      </w:pPr>
      <w:r>
        <w:rPr>
          <w:b w:val="off"/>
          <w:sz w:val="20"/>
          <w:szCs w:val="20"/>
        </w:rPr>
        <w:t xml:space="preserve"> </w:t>
      </w:r>
    </w:p>
    <w:p>
      <w:pPr>
        <w:pBdr>
          <w:top w:val="nil"/>
          <w:left w:val="nil"/>
          <w:bottom w:val="nil"/>
          <w:right w:val="nil"/>
          <w:between w:val="nil"/>
        </w:pBdr>
        <w:spacing w:after="0"/>
        <w:rPr>
          <w:rFonts w:asciiTheme="majorHAnsi" w:hAnsiTheme="majorHAnsi"/>
        </w:rPr>
      </w:pPr>
    </w:p>
    <w:p>
      <w:pPr>
        <w:pStyle w:val="Heading2"/>
        <w:pBdr>
          <w:top w:val="nil"/>
          <w:left w:val="nil"/>
          <w:bottom w:val="nil"/>
          <w:right w:val="nil"/>
          <w:between w:val="nil"/>
        </w:pBdr>
        <w:spacing w:before="0" w:line="360" w:lineRule="auto"/>
        <w:rPr>
          <w:sz w:val="24"/>
          <w:szCs w:val="24"/>
        </w:rPr>
      </w:pPr>
      <w:r>
        <w:rPr>
          <w:sz w:val="24"/>
          <w:szCs w:val="24"/>
        </w:rPr>
        <w:t xml:space="preserve">Activity Details Summary</w:t>
      </w:r>
    </w:p>
    <w:tbl>
      <w:tblPr>
        <w:tblStyle w:val="LightGrid-Accent1"/>
        <w:tblW w:w="5000" w:type="pct"/>
        <w:tblLook w:firstRow="on" w:lastRow="off" w:firstColumn="on" w:lastColumn="off" w:noHBand="on" w:noVBand="off"/>
      </w:tblPr>
      <w:tblGrid>
        <w:gridCol w:w="3685"/>
        <w:gridCol w:w="2035"/>
        <w:gridCol w:w="2564"/>
        <w:gridCol w:w="3166"/>
        <w:gridCol w:w="2950"/>
      </w:tblGrid>
      <w:tr>
        <w:trPr>
          <w:cantSplit w:val="on"/>
          <w:trHeight w:val="286" w:hRule="atLeast"/>
          <w:tblHeader w:val="on"/>
        </w:trPr>
        <w:tc>
          <w:tcPr>
            <w:tcW w:w="1261"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Activity Details</w:t>
            </w:r>
          </w:p>
        </w:tc>
        <w:tc>
          <w:tcPr>
            <w:tcW w:w="696"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Action Count </w:t>
            </w:r>
          </w:p>
        </w:tc>
        <w:tc>
          <w:tcPr>
            <w:tcW w:w="877"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Activity Mapped  </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Proposed Size / Unit</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color w:val="ffffff" w:themeColor="background1"/>
              </w:rPr>
            </w:pPr>
            <w:r>
              <w:rPr>
                <w:rFonts w:asciiTheme="minorHAnsi" w:hAnsiTheme="minorHAnsi"/>
                <w:color w:val="ffffff" w:themeColor="background1"/>
              </w:rPr>
              <w:t xml:space="preserve">Actual Size / Unit</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340 - Cover Crop</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1</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1</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3  AC</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jc w:val="center"/>
              <w:rPr>
                <w:rFonts w:cstheme="majorBidi"/>
                <w:bCs w:val="on"/>
              </w:rPr>
            </w:pPr>
            <w:r>
              <w:rPr>
                <w:rFonts w:cstheme="majorBidi"/>
              </w:rPr>
              <w:t xml:space="preserve">3  AC</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561 - Heavy Use Area Protection</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jc w:val="center"/>
              <w:rPr>
                <w:rFonts w:cstheme="majorBidi"/>
                <w:bCs w:val="on"/>
              </w:rPr>
            </w:pPr>
            <w:r>
              <w:rPr>
                <w:rFonts w:cstheme="majorBidi"/>
              </w:rPr>
              <w:t xml:space="preserve">1</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jc w:val="center"/>
              <w:rPr>
                <w:rFonts w:cstheme="majorBidi"/>
                <w:bCs w:val="on"/>
              </w:rPr>
            </w:pPr>
            <w:r>
              <w:rPr>
                <w:rFonts w:cstheme="majorBidi"/>
              </w:rPr>
              <w:t xml:space="preserve">1</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spacing w:line="276" w:lineRule="auto"/>
              <w:jc w:val="center"/>
              <w:rPr>
                <w:rFonts w:cstheme="majorBidi"/>
                <w:bCs w:val="on"/>
              </w:rPr>
            </w:pPr>
            <w:r>
              <w:rPr>
                <w:rFonts w:cstheme="majorBidi"/>
              </w:rPr>
              <w:t xml:space="preserve">600  LINEAR FEET</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tcPr>
          <w:p>
            <w:pPr>
              <w:pBdr>
                <w:top w:val="nil"/>
                <w:left w:val="nil"/>
                <w:bottom w:val="nil"/>
                <w:right w:val="nil"/>
                <w:between w:val="nil"/>
              </w:pBdr>
              <w:jc w:val="center"/>
              <w:rPr>
                <w:rFonts w:cstheme="majorBidi"/>
                <w:bCs w:val="on"/>
              </w:rPr>
            </w:pPr>
            <w:r>
              <w:rPr>
                <w:rFonts w:cstheme="majorBidi"/>
              </w:rPr>
              <w:t xml:space="preserve">600  LINEAR FEET</w:t>
            </w:r>
          </w:p>
        </w:tc>
      </w:tr>
    </w:tbl>
    <w:p>
      <w:pPr>
        <w:pBdr>
          <w:top w:val="nil"/>
          <w:left w:val="nil"/>
          <w:bottom w:val="nil"/>
          <w:right w:val="nil"/>
          <w:between w:val="nil"/>
        </w:pBdr>
        <w:spacing w:after="0" w:line="360" w:lineRule="auto"/>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line="360" w:lineRule="auto"/>
        <w:rPr>
          <w:rFonts w:asciiTheme="majorHAnsi" w:hAnsiTheme="majorHAnsi"/>
          <w:b w:val="on"/>
          <w:sz w:val="20"/>
          <w:szCs w:val="20"/>
        </w:rPr>
      </w:pPr>
    </w:p>
    <w:p>
      <w:pPr>
        <w:pBdr>
          <w:top w:val="nil"/>
          <w:left w:val="nil"/>
          <w:bottom w:val="nil"/>
          <w:right w:val="nil"/>
          <w:between w:val="nil"/>
        </w:pBdr>
        <w:rPr/>
      </w:pPr>
      <w:r>
        <w:rPr>
          <w:rFonts w:asciiTheme="majorHAnsi" w:hAnsiTheme="majorHAnsi"/>
          <w:b w:val="on"/>
          <w:color w:val="4f81bd" w:themeColor="accent1"/>
          <w:sz w:val="24"/>
          <w:szCs w:val="24"/>
        </w:rPr>
        <w:t xml:space="preserve">Proposed Activity Indicators</w:t>
      </w:r>
    </w:p>
    <w:tbl>
      <w:tblPr>
        <w:tblStyle w:val="LightGrid-Accent1"/>
        <w:tblW w:w="14598" w:type="auto"/>
        <w:tblBorders>
          <w:top w:val="single" w:sz="6" w:color="4f81bd" w:themeColor="accent1"/>
          <w:left w:val="single" w:sz="6" w:color="4f81bd" w:themeColor="accent1"/>
          <w:bottom w:val="single" w:sz="6" w:color="4f81bd" w:themeColor="accent1"/>
          <w:right w:val="single" w:sz="6" w:color="4f81bd" w:themeColor="accent1"/>
          <w:insideH w:val="single" w:sz="6" w:color="4f81bd" w:themeColor="accent1"/>
          <w:insideV w:val="single" w:sz="6" w:color="4f81bd" w:themeColor="accent1"/>
        </w:tblBorders>
        <w:tblLayout w:type="fixed"/>
        <w:tblLook w:firstRow="off" w:lastRow="off" w:firstColumn="on" w:lastColumn="off" w:noHBand="on" w:noVBand="off"/>
      </w:tblPr>
      <w:tblGrid>
        <w:gridCol w:w="2718"/>
        <w:gridCol w:w="2970"/>
        <w:gridCol w:w="2160"/>
        <w:gridCol w:w="1710"/>
        <w:gridCol w:w="2016"/>
        <w:gridCol w:w="3024"/>
      </w:tblGrid>
      <w:tr>
        <w:trPr>
          <w:cantSplit w:val="on"/>
          <w:tblHeader w:val="on"/>
        </w:trPr>
        <w:tc>
          <w:tcPr>
            <w:tcW w:w="2718"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color w:val="ffffff" w:themeColor="background1"/>
              </w:rPr>
            </w:pPr>
            <w:r>
              <w:rPr>
                <w:color w:val="ffffff" w:themeColor="background1"/>
              </w:rPr>
              <w:t xml:space="preserve">Activity Name</w:t>
            </w:r>
          </w:p>
        </w:tc>
        <w:tc>
          <w:tcPr>
            <w:tcW w:w="297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Indicator Name</w:t>
            </w:r>
          </w:p>
        </w:tc>
        <w:tc>
          <w:tcPr>
            <w:tcW w:w="216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Value &amp; Units</w:t>
            </w:r>
          </w:p>
        </w:tc>
        <w:tc>
          <w:tcPr>
            <w:tcW w:w="171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Waterbody</w:t>
            </w:r>
          </w:p>
        </w:tc>
        <w:tc>
          <w:tcPr>
            <w:tcW w:w="2016"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Calculation Tool</w:t>
            </w:r>
          </w:p>
        </w:tc>
        <w:tc>
          <w:tcPr>
            <w:tcW w:w="3024"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Comments</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4"/>
          <w:szCs w:val="24"/>
        </w:rPr>
      </w:pPr>
      <w:r>
        <w:rPr>
          <w:sz w:val="24"/>
          <w:szCs w:val="24"/>
        </w:rPr>
        <w:t xml:space="preserve">Final Indicators Summary</w:t>
      </w:r>
    </w:p>
    <w:tbl>
      <w:tblPr>
        <w:tblStyle w:val="MediumShading1-Accent1"/>
        <w:tblW w:w="3617"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5044"/>
        <w:gridCol w:w="2427"/>
        <w:gridCol w:w="2945"/>
      </w:tblGrid>
      <w:tr>
        <w:trPr>
          <w:trHeight w:val="286" w:hRule="atLeast"/>
        </w:trPr>
        <w:tc>
          <w:tcPr>
            <w:tcW w:w="222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Indicator Name</w:t>
            </w:r>
          </w:p>
        </w:tc>
        <w:tc>
          <w:tcPr>
            <w:tcW w:w="1228"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Total Value </w:t>
            </w:r>
          </w:p>
        </w:tc>
        <w:tc>
          <w:tcPr>
            <w:tcW w:w="1547"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Unit  </w:t>
            </w:r>
          </w:p>
        </w:tc>
      </w:tr>
      <w:tr>
        <w:trPr/>
        <w:tc>
          <w:tcPr>
            <w:tcW w:w="2225" w:type="pct"/>
            <w:tcBorders>
              <w:right w:val="none" w:sz="0" w:space="0" w:color="auto"/>
            </w:tcBorders>
            <w:shd w:val="clear" w:color="auto" w:fill="d3dfee" w:themeFill="accent1" w:themeFillTint="3F"/>
          </w:tcPr>
          <w:p>
            <w:pPr>
              <w:pBdr>
                <w:top w:val="nil"/>
                <w:left w:val="nil"/>
                <w:bottom w:val="nil"/>
                <w:right w:val="nil"/>
                <w:between w:val="nil"/>
              </w:pBdr>
              <w:spacing w:line="360" w:lineRule="auto"/>
              <w:rPr>
                <w:rFonts w:cstheme="majorBidi"/>
                <w:b w:val="off"/>
              </w:rPr>
            </w:pPr>
            <w:r>
              <w:rPr>
                <w:rFonts w:cstheme="majorBidi"/>
              </w:rPr>
              <w:t xml:space="preserve">SEDIMENT (TSS)</w:t>
            </w:r>
          </w:p>
        </w:tc>
        <w:tc>
          <w:tcPr>
            <w:tcW w:w="1228" w:type="pct"/>
            <w:tcBorders>
              <w:left w:val="none" w:sz="0" w:space="0" w:color="auto"/>
              <w:right w:val="none" w:sz="0" w:space="0" w:color="auto"/>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0.41</w:t>
            </w:r>
          </w:p>
        </w:tc>
        <w:tc>
          <w:tcPr>
            <w:tcW w:w="1547" w:type="pct"/>
            <w:tcBorders>
              <w:left w:val="none" w:sz="0" w:space="0" w:color="auto"/>
              <w:right w:val="single" w:sz="4" w:color="4f81bd" w:themeColor="accent1"/>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TONS/YR</w:t>
            </w:r>
          </w:p>
        </w:tc>
      </w:tr>
      <w:tr>
        <w:trPr/>
        <w:tc>
          <w:tcPr>
            <w:tcW w:w="2225" w:type="pct"/>
            <w:tcBorders>
              <w:right w:val="none" w:sz="0" w:space="0" w:color="auto"/>
            </w:tcBorders>
          </w:tcPr>
          <w:p>
            <w:pPr>
              <w:pBdr>
                <w:top w:val="nil"/>
                <w:left w:val="nil"/>
                <w:bottom w:val="nil"/>
                <w:right w:val="nil"/>
                <w:between w:val="nil"/>
              </w:pBdr>
              <w:spacing w:line="360" w:lineRule="auto"/>
              <w:rPr>
                <w:rFonts w:cstheme="majorBidi"/>
                <w:b w:val="off"/>
              </w:rPr>
            </w:pPr>
            <w:r>
              <w:rPr>
                <w:rFonts w:cstheme="majorBidi"/>
              </w:rPr>
              <w:t xml:space="preserve">SOIL (EST. SAVINGS)</w:t>
            </w:r>
          </w:p>
        </w:tc>
        <w:tc>
          <w:tcPr>
            <w:tcW w:w="1228" w:type="pct"/>
            <w:tcBorders>
              <w:left w:val="none" w:sz="0" w:space="0" w:color="auto"/>
              <w:right w:val="none" w:sz="0" w:space="0" w:color="auto"/>
            </w:tcBorders>
            <w:vAlign w:val="center"/>
          </w:tcPr>
          <w:p>
            <w:pPr>
              <w:pBdr>
                <w:top w:val="nil"/>
                <w:left w:val="nil"/>
                <w:bottom w:val="nil"/>
                <w:right w:val="nil"/>
                <w:between w:val="nil"/>
              </w:pBdr>
              <w:spacing w:line="360" w:lineRule="auto"/>
              <w:jc w:val="center"/>
              <w:rPr>
                <w:rFonts w:cstheme="majorBidi"/>
              </w:rPr>
            </w:pPr>
            <w:r>
              <w:rPr>
                <w:rFonts w:cstheme="majorBidi"/>
              </w:rPr>
              <w:t xml:space="preserve">1.50</w:t>
            </w:r>
          </w:p>
        </w:tc>
        <w:tc>
          <w:tcPr>
            <w:tcW w:w="1547" w:type="pct"/>
            <w:tcBorders>
              <w:left w:val="none" w:sz="0" w:space="0" w:color="auto"/>
              <w:right w:val="single" w:sz="4" w:color="4f81bd" w:themeColor="accent1"/>
            </w:tcBorders>
            <w:vAlign w:val="center"/>
          </w:tcPr>
          <w:p>
            <w:pPr>
              <w:pBdr>
                <w:top w:val="nil"/>
                <w:left w:val="nil"/>
                <w:bottom w:val="nil"/>
                <w:right w:val="nil"/>
                <w:between w:val="nil"/>
              </w:pBdr>
              <w:spacing w:line="360" w:lineRule="auto"/>
              <w:jc w:val="center"/>
              <w:rPr>
                <w:rFonts w:cstheme="majorBidi"/>
              </w:rPr>
            </w:pPr>
            <w:r>
              <w:rPr>
                <w:rFonts w:cstheme="majorBidi"/>
              </w:rPr>
              <w:t xml:space="preserve">TONS/YR</w:t>
            </w:r>
          </w:p>
        </w:tc>
      </w:tr>
      <w:tr>
        <w:trPr/>
        <w:tc>
          <w:tcPr>
            <w:tcW w:w="2225" w:type="pct"/>
            <w:tcBorders>
              <w:right w:val="none" w:sz="0" w:space="0" w:color="auto"/>
            </w:tcBorders>
            <w:shd w:val="clear" w:color="auto" w:fill="d3dfee" w:themeFill="accent1" w:themeFillTint="3F"/>
          </w:tcPr>
          <w:p>
            <w:pPr>
              <w:pBdr>
                <w:top w:val="nil"/>
                <w:left w:val="nil"/>
                <w:bottom w:val="nil"/>
                <w:right w:val="nil"/>
                <w:between w:val="nil"/>
              </w:pBdr>
              <w:spacing w:line="360" w:lineRule="auto"/>
              <w:rPr>
                <w:rFonts w:cstheme="majorBidi"/>
                <w:b w:val="off"/>
              </w:rPr>
            </w:pPr>
            <w:r>
              <w:rPr>
                <w:rFonts w:cstheme="majorBidi"/>
              </w:rPr>
              <w:t xml:space="preserve">PHOSPHORUS (EST. REDUCTION)</w:t>
            </w:r>
          </w:p>
        </w:tc>
        <w:tc>
          <w:tcPr>
            <w:tcW w:w="1228" w:type="pct"/>
            <w:tcBorders>
              <w:left w:val="none" w:sz="0" w:space="0" w:color="auto"/>
              <w:right w:val="none" w:sz="0" w:space="0" w:color="auto"/>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0.56</w:t>
            </w:r>
          </w:p>
        </w:tc>
        <w:tc>
          <w:tcPr>
            <w:tcW w:w="1547" w:type="pct"/>
            <w:tcBorders>
              <w:left w:val="none" w:sz="0" w:space="0" w:color="auto"/>
              <w:right w:val="single" w:sz="4" w:color="4f81bd" w:themeColor="accent1"/>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LBS/YR</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0"/>
          <w:szCs w:val="20"/>
        </w:rPr>
      </w:pPr>
      <w:r>
        <w:rPr>
          <w:sz w:val="24"/>
          <w:szCs w:val="24"/>
        </w:rPr>
        <w:t xml:space="preserve">Grant Activity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Agricultural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75% cost share for eligible agriculture practices that are designed and installed according to the standards and specifications found in the NRCS Field Office Technical Guide. Pleaser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AGRICULTURAL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p>
    <w:tbl>
      <w:tblPr>
        <w:tblStyle w:val="LightGrid-Accent1"/>
        <w:tblW w:w="4378" w:type="pct"/>
        <w:tblInd w:w="1818" w:type="dxa"/>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2360"/>
        <w:gridCol w:w="3379"/>
        <w:gridCol w:w="3982"/>
        <w:gridCol w:w="2887"/>
      </w:tblGrid>
      <w:tr>
        <w:trPr>
          <w:trHeight w:val="430" w:hRule="atLeast"/>
        </w:trPr>
        <w:tc>
          <w:tcPr>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pPr>
              <w:keepNext w:val="on"/>
              <w:keepLines w:val="on"/>
              <w:widowControl w:val="off"/>
              <w:pBdr>
                <w:top w:val="nil"/>
                <w:left w:val="nil"/>
                <w:bottom w:val="nil"/>
                <w:right w:val="nil"/>
                <w:between w:val="nil"/>
              </w:pBdr>
              <w:spacing w:line="276" w:lineRule="auto"/>
              <w:rPr>
                <w:rFonts w:asciiTheme="minorHAnsi" w:hAnsiTheme="minorHAnsi"/>
              </w:rPr>
            </w:pPr>
            <w:r>
              <w:rPr>
                <w:rFonts w:asciiTheme="minorHAnsi" w:hAnsiTheme="minorHAnsi"/>
                <w:color w:val="ffffff" w:themeColor="background1"/>
              </w:rPr>
              <w:t xml:space="preserve">Activity Action - </w:t>
            </w:r>
            <w:r>
              <w:rPr>
                <w:rFonts w:asciiTheme="minorHAnsi" w:hAnsiTheme="minorHAnsi"/>
                <w:color w:val="ffffff" w:themeColor="background1"/>
              </w:rPr>
              <w:t xml:space="preserve">Josh Stamper</w:t>
            </w:r>
            <w:r>
              <w:rPr>
                <w:rFonts w:asciiTheme="minorHAnsi" w:hAnsiTheme="minorHAnsi"/>
                <w:color w:val="ffffff" w:themeColor="background1"/>
              </w:rPr>
              <w:t xml:space="preserve">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Practice</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561 - Heavy Use Area Protection</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Count of Activities</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4064"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The purpose of NRCS Conservation Practice Standard
</w:t>
            </w:r>
          </w:p>
          <w:p>
            <w:pPr>
              <w:keepNext w:val="on"/>
              <w:keepLines w:val="on"/>
              <w:widowControl w:val="off"/>
              <w:pBdr>
                <w:top w:val="nil"/>
                <w:left w:val="nil"/>
                <w:bottom w:val="nil"/>
                <w:right w:val="nil"/>
                <w:between w:val="nil"/>
              </w:pBdr>
              <w:spacing w:line="276" w:lineRule="auto"/>
              <w:rPr/>
            </w:pPr>
            <w:r>
              <w:rPr/>
              <w:t xml:space="preserve">(CPS) Livestock Pipeline (Code 516) is to convey water
</w:t>
            </w:r>
          </w:p>
          <w:p>
            <w:pPr>
              <w:keepNext w:val="on"/>
              <w:keepLines w:val="on"/>
              <w:widowControl w:val="off"/>
              <w:pBdr>
                <w:top w:val="nil"/>
                <w:left w:val="nil"/>
                <w:bottom w:val="nil"/>
                <w:right w:val="nil"/>
                <w:between w:val="nil"/>
              </w:pBdr>
              <w:spacing w:line="276" w:lineRule="auto"/>
              <w:rPr/>
            </w:pPr>
            <w:r>
              <w:rPr/>
              <w:t xml:space="preserve">from the source of supply to the points of use on pasture for livestock management purposes. Pipeline will reduce congestion of livestock in highly erodible areas.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Proposed Size / Units</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600.00 LINEAR FEET</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Lifespan</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10 Years</w:t>
            </w:r>
          </w:p>
        </w:tc>
      </w:tr>
      <w:tr>
        <w:trPr>
          <w:trHeight w:val="322" w:hRule="atLeast"/>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Actual Size/Units</w:t>
            </w:r>
          </w:p>
        </w:tc>
        <w:tc>
          <w:tcPr>
            <w:tcW w:w="1340"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600.00 LINEAR FEET</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Installed Date</w:t>
            </w:r>
          </w:p>
        </w:tc>
        <w:tc>
          <w:tcPr>
            <w:tcW w:w="1145"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5-Nov-22</w:t>
            </w:r>
          </w:p>
        </w:tc>
      </w:tr>
      <w:tr>
        <w:trPr>
          <w:trHeight w:val="322" w:hRule="atLeast"/>
        </w:trPr>
        <w:tc>
          <w:tcPr>
            <w:tcW w:w="93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color w:val="ffffff" w:themeColor="background1"/>
              </w:rPr>
            </w:pPr>
            <w:r>
              <w:rPr>
                <w:rFonts w:asciiTheme="minorHAnsi" w:hAnsiTheme="minorHAnsi"/>
                <w:color w:val="ffffff" w:themeColor="background1"/>
              </w:rPr>
              <w:t xml:space="preserve">Mapped Activities</w:t>
            </w:r>
          </w:p>
        </w:tc>
        <w:tc>
          <w:tcPr>
            <w:tcW w:w="1340"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1 Polygon(s)</w:t>
            </w:r>
          </w:p>
        </w:tc>
        <w:tc>
          <w:tcPr>
            <w:tcW w:w="1579"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b w:val="on"/>
                <w:color w:val="ffffff" w:themeColor="background1"/>
              </w:rPr>
            </w:pPr>
            <w:r>
              <w:rPr>
                <w:b w:val="on"/>
                <w:color w:val="ffffff" w:themeColor="background1"/>
              </w:rPr>
              <w:t xml:space="preserve">Technical Assistance Provider</w:t>
            </w:r>
          </w:p>
        </w:tc>
        <w:tc>
          <w:tcPr>
            <w:tcW w:w="1145"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SWCD</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Forestry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75% cost share for eligible forestry practices that are designed and installed according to the standards and specifications found in the NRCS Field Office Technical Guide. Pleaser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FORESTRY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Nonstructural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cost share for installation of storm water practices and other non structural practices in accordance to NRCS EFOTG standard and specifications and BWSR guidelines. See attached NLMP Policy.Please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NON-STRUCTURAL MANAGEMENT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p>
    <w:tbl>
      <w:tblPr>
        <w:tblStyle w:val="LightGrid-Accent1"/>
        <w:tblW w:w="4378" w:type="pct"/>
        <w:tblInd w:w="1818" w:type="dxa"/>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2360"/>
        <w:gridCol w:w="3379"/>
        <w:gridCol w:w="3982"/>
        <w:gridCol w:w="2887"/>
      </w:tblGrid>
      <w:tr>
        <w:trPr>
          <w:trHeight w:val="430" w:hRule="atLeast"/>
        </w:trPr>
        <w:tc>
          <w:tcPr>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pPr>
              <w:keepNext w:val="on"/>
              <w:keepLines w:val="on"/>
              <w:widowControl w:val="off"/>
              <w:pBdr>
                <w:top w:val="nil"/>
                <w:left w:val="nil"/>
                <w:bottom w:val="nil"/>
                <w:right w:val="nil"/>
                <w:between w:val="nil"/>
              </w:pBdr>
              <w:spacing w:line="276" w:lineRule="auto"/>
              <w:rPr>
                <w:rFonts w:asciiTheme="minorHAnsi" w:hAnsiTheme="minorHAnsi"/>
              </w:rPr>
            </w:pPr>
            <w:r>
              <w:rPr>
                <w:rFonts w:asciiTheme="minorHAnsi" w:hAnsiTheme="minorHAnsi"/>
                <w:color w:val="ffffff" w:themeColor="background1"/>
              </w:rPr>
              <w:t xml:space="preserve">Activity Action - </w:t>
            </w:r>
            <w:r>
              <w:rPr>
                <w:rFonts w:asciiTheme="minorHAnsi" w:hAnsiTheme="minorHAnsi"/>
                <w:color w:val="ffffff" w:themeColor="background1"/>
              </w:rPr>
              <w:t xml:space="preserve">Peter Laveau</w:t>
            </w:r>
            <w:r>
              <w:rPr>
                <w:rFonts w:asciiTheme="minorHAnsi" w:hAnsiTheme="minorHAnsi"/>
                <w:color w:val="ffffff" w:themeColor="background1"/>
              </w:rPr>
              <w:t xml:space="preserve">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Practice</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340 - Cover Crop</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Count of Activities</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4064"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Peter Laveau currently runs a dairy heard and plants a
</w:t>
            </w:r>
          </w:p>
          <w:p>
            <w:pPr>
              <w:keepNext w:val="on"/>
              <w:keepLines w:val="on"/>
              <w:widowControl w:val="off"/>
              <w:pBdr>
                <w:top w:val="nil"/>
                <w:left w:val="nil"/>
                <w:bottom w:val="nil"/>
                <w:right w:val="nil"/>
                <w:between w:val="nil"/>
              </w:pBdr>
              <w:spacing w:line="276" w:lineRule="auto"/>
              <w:rPr/>
            </w:pPr>
            <w:r>
              <w:rPr/>
              <w:t xml:space="preserve">variety of crops including soybeans and corn. He planted
</w:t>
            </w:r>
          </w:p>
          <w:p>
            <w:pPr>
              <w:keepNext w:val="on"/>
              <w:keepLines w:val="on"/>
              <w:widowControl w:val="off"/>
              <w:pBdr>
                <w:top w:val="nil"/>
                <w:left w:val="nil"/>
                <w:bottom w:val="nil"/>
                <w:right w:val="nil"/>
                <w:between w:val="nil"/>
              </w:pBdr>
              <w:spacing w:line="276" w:lineRule="auto"/>
              <w:rPr/>
            </w:pPr>
            <w:r>
              <w:rPr/>
              <w:t xml:space="preserve">winter cereal rye on this field. Cover crops, also known
</w:t>
            </w:r>
          </w:p>
          <w:p>
            <w:pPr>
              <w:keepNext w:val="on"/>
              <w:keepLines w:val="on"/>
              <w:widowControl w:val="off"/>
              <w:pBdr>
                <w:top w:val="nil"/>
                <w:left w:val="nil"/>
                <w:bottom w:val="nil"/>
                <w:right w:val="nil"/>
                <w:between w:val="nil"/>
              </w:pBdr>
              <w:spacing w:line="276" w:lineRule="auto"/>
              <w:rPr/>
            </w:pPr>
            <w:r>
              <w:rPr/>
              <w:t xml:space="preserve">as soil armor, benefit the land by controlling wind and
</w:t>
            </w:r>
          </w:p>
          <w:p>
            <w:pPr>
              <w:keepNext w:val="on"/>
              <w:keepLines w:val="on"/>
              <w:widowControl w:val="off"/>
              <w:pBdr>
                <w:top w:val="nil"/>
                <w:left w:val="nil"/>
                <w:bottom w:val="nil"/>
                <w:right w:val="nil"/>
                <w:between w:val="nil"/>
              </w:pBdr>
              <w:spacing w:line="276" w:lineRule="auto"/>
              <w:rPr/>
            </w:pPr>
            <w:r>
              <w:rPr/>
              <w:t xml:space="preserve">water erosion, slow evaporation rates, control soil
</w:t>
            </w:r>
          </w:p>
          <w:p>
            <w:pPr>
              <w:keepNext w:val="on"/>
              <w:keepLines w:val="on"/>
              <w:widowControl w:val="off"/>
              <w:pBdr>
                <w:top w:val="nil"/>
                <w:left w:val="nil"/>
                <w:bottom w:val="nil"/>
                <w:right w:val="nil"/>
                <w:between w:val="nil"/>
              </w:pBdr>
              <w:spacing w:line="276" w:lineRule="auto"/>
              <w:rPr/>
            </w:pPr>
            <w:r>
              <w:rPr/>
              <w:t xml:space="preserve">temperatures, minimize compaction, suppress weed
</w:t>
            </w:r>
          </w:p>
          <w:p>
            <w:pPr>
              <w:keepNext w:val="on"/>
              <w:keepLines w:val="on"/>
              <w:widowControl w:val="off"/>
              <w:pBdr>
                <w:top w:val="nil"/>
                <w:left w:val="nil"/>
                <w:bottom w:val="nil"/>
                <w:right w:val="nil"/>
                <w:between w:val="nil"/>
              </w:pBdr>
              <w:spacing w:line="276" w:lineRule="auto"/>
              <w:rPr/>
            </w:pPr>
            <w:r>
              <w:rPr/>
              <w:t xml:space="preserve">growth, build soil and provide habitat for the soil food
</w:t>
            </w:r>
          </w:p>
          <w:p>
            <w:pPr>
              <w:keepNext w:val="on"/>
              <w:keepLines w:val="on"/>
              <w:widowControl w:val="off"/>
              <w:pBdr>
                <w:top w:val="nil"/>
                <w:left w:val="nil"/>
                <w:bottom w:val="nil"/>
                <w:right w:val="nil"/>
                <w:between w:val="nil"/>
              </w:pBdr>
              <w:spacing w:line="276" w:lineRule="auto"/>
              <w:rPr/>
            </w:pPr>
            <w:r>
              <w:rPr/>
              <w:t xml:space="preserve">web</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Proposed Size / Units</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3.00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Lifespan</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 Year</w:t>
            </w:r>
          </w:p>
        </w:tc>
      </w:tr>
      <w:tr>
        <w:trPr>
          <w:trHeight w:val="322" w:hRule="atLeast"/>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Actual Size/Units</w:t>
            </w:r>
          </w:p>
        </w:tc>
        <w:tc>
          <w:tcPr>
            <w:tcW w:w="1340"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3.00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Installed Date</w:t>
            </w:r>
          </w:p>
        </w:tc>
        <w:tc>
          <w:tcPr>
            <w:tcW w:w="1145"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31-Oct-22</w:t>
            </w:r>
          </w:p>
        </w:tc>
      </w:tr>
      <w:tr>
        <w:trPr>
          <w:trHeight w:val="322" w:hRule="atLeast"/>
        </w:trPr>
        <w:tc>
          <w:tcPr>
            <w:tcW w:w="93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color w:val="ffffff" w:themeColor="background1"/>
              </w:rPr>
            </w:pPr>
            <w:r>
              <w:rPr>
                <w:rFonts w:asciiTheme="minorHAnsi" w:hAnsiTheme="minorHAnsi"/>
                <w:color w:val="ffffff" w:themeColor="background1"/>
              </w:rPr>
              <w:t xml:space="preserve">Mapped Activities</w:t>
            </w:r>
          </w:p>
        </w:tc>
        <w:tc>
          <w:tcPr>
            <w:tcW w:w="1340"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1 Polygon(s)</w:t>
            </w:r>
          </w:p>
        </w:tc>
        <w:tc>
          <w:tcPr>
            <w:tcW w:w="1579"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b w:val="on"/>
                <w:color w:val="ffffff" w:themeColor="background1"/>
              </w:rPr>
            </w:pPr>
            <w:r>
              <w:rPr>
                <w:b w:val="on"/>
                <w:color w:val="ffffff" w:themeColor="background1"/>
              </w:rPr>
              <w:t xml:space="preserve">Technical Assistance Provider</w:t>
            </w:r>
          </w:p>
        </w:tc>
        <w:tc>
          <w:tcPr>
            <w:tcW w:w="1145"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SWCD</w:t>
            </w:r>
          </w:p>
        </w:tc>
      </w:tr>
    </w:tbl>
    <w:tbl>
      <w:tblPr>
        <w:tblStyle w:val="TableGrid"/>
        <w:tblW w:w="5000" w:type="pct"/>
        <w:tblBorders>
          <w:top w:val="single" w:sz="4" w:color="8db3e2" w:themeColor="text2" w:themeTint="66"/>
          <w:left w:val="single" w:sz="4" w:color="8db3e2" w:themeColor="text2" w:themeTint="66"/>
          <w:bottom w:val="single" w:sz="4" w:color="8db3e2" w:themeColor="text2" w:themeTint="66"/>
          <w:right w:val="single" w:sz="4" w:color="8db3e2" w:themeColor="text2" w:themeTint="66"/>
          <w:insideH w:val="single" w:sz="4" w:color="8db3e2" w:themeColor="text2" w:themeTint="66"/>
          <w:insideV w:val="single" w:sz="4" w:color="8db3e2" w:themeColor="text2" w:themeTint="66"/>
        </w:tblBorders>
      </w:tblPr>
      <w:tblGrid>
        <w:gridCol w:w="3216"/>
        <w:gridCol w:w="5314"/>
        <w:gridCol w:w="2596"/>
        <w:gridCol w:w="3274"/>
      </w:tblGrid>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Peter Laveau</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SOIL (EST. SAVINGS)</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1.5</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TONS/YR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Nemadji River Watershed</w:t>
            </w:r>
          </w:p>
        </w:tc>
      </w:tr>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Peter Laveau</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SEDIMENT (TSS)</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0.41</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TONS/YR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Nemadji River Watershed</w:t>
            </w:r>
          </w:p>
        </w:tc>
      </w:tr>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Peter Laveau</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PHOSPHORUS (EST. REDUCTION)</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0.56</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LBS/YR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Nemadji River Watershed</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Streambank/Shoreline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75% cost share for eligible streambank and shoreline practices that are designed and installed according to the standards and specifications found in the NRCS Field Office Technical Guide. Pleaser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STREAMBANK OR SHORELINE PROTECTION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Urban Stormwater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cost share for eligible stormwater practices that are designed and installed according to the standards and specifications found in the NRCS Field Office Technical Guide and MN BWSR guidelines. Please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URBAN STORMWATER MANAGEMENT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Style w:val="Heading2"/>
        <w:pBdr>
          <w:top w:val="nil"/>
          <w:left w:val="nil"/>
          <w:bottom w:val="nil"/>
          <w:right w:val="nil"/>
          <w:between w:val="nil"/>
        </w:pBdr>
        <w:spacing w:line="360" w:lineRule="auto"/>
        <w:rPr>
          <w:sz w:val="24"/>
          <w:szCs w:val="24"/>
        </w:rPr>
      </w:pPr>
      <w:r>
        <w:rPr>
          <w:sz w:val="24"/>
          <w:szCs w:val="24"/>
        </w:rPr>
        <w:t xml:space="preserve">Grant Attachments</w:t>
      </w:r>
    </w:p>
    <w:tbl>
      <w:tblPr>
        <w:tblStyle w:val="LightGrid-Accent1"/>
        <w:tblW w:w="5000" w:type="pct"/>
        <w:tblBorders>
          <w:top w:val="single" w:sz="8" w:color="95b3d7" w:themeColor="accent1" w:themeTint="99"/>
          <w:left w:val="single" w:sz="8" w:color="95b3d7" w:themeColor="accent1" w:themeTint="99"/>
          <w:bottom w:val="single" w:sz="8" w:color="95b3d7" w:themeColor="accent1" w:themeTint="99"/>
          <w:right w:val="single" w:sz="8" w:color="95b3d7" w:themeColor="accent1" w:themeTint="99"/>
          <w:insideH w:val="single" w:sz="8" w:color="95b3d7" w:themeColor="accent1" w:themeTint="99"/>
          <w:insideV w:val="single" w:sz="8" w:color="95b3d7" w:themeColor="accent1" w:themeTint="99"/>
        </w:tblBorders>
        <w:tblLook w:firstRow="on" w:lastRow="off" w:firstColumn="on" w:lastColumn="off" w:noHBand="on" w:noVBand="off"/>
      </w:tblPr>
      <w:tblGrid>
        <w:gridCol w:w="5292"/>
        <w:gridCol w:w="2849"/>
        <w:gridCol w:w="6259"/>
      </w:tblGrid>
      <w:tr>
        <w:trPr>
          <w:cantSplit w:val="on"/>
          <w:tblHeader w:val="on"/>
        </w:trPr>
        <w:tc>
          <w:tcPr>
            <w:tcW w:w="1749"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Name</w:t>
            </w:r>
          </w:p>
        </w:tc>
        <w:tc>
          <w:tcPr>
            <w:tcW w:w="100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Type</w:t>
            </w:r>
          </w:p>
        </w:tc>
        <w:tc>
          <w:tcPr>
            <w:tcW w:w="224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Description</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2022/2023 SWCD Programs and Operations Grants</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2022/2023 SWCD Programs and Operations Grants - Carlton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2022/2023 SWCD Programs and Operations Grants EXECUTED</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2022/2023 SWCD Programs and Operations Grants -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- 12/14/2021</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- 12/27/2021</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- 01/03/2023</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BWSR Cost Share 2022 Financial Report_2022</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2022 -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January Reorganzation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2022 -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Josh Stamper State Cost Share Livestock Pipeline Voucher Packet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2022 -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Nonstructural Land Management Practices Implementation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2022 -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Peter laveau State Cost Share Cover Crop BWSR</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2022 -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- 09/29/2021</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- 08/25/2021</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line="360" w:lineRule="auto"/>
        <w:rPr>
          <w:rFonts w:asciiTheme="majorHAnsi" w:hAnsiTheme="majorHAnsi"/>
          <w:b w:val="on"/>
          <w:sz w:val="20"/>
          <w:szCs w:val="20"/>
        </w:rPr>
      </w:pPr>
    </w:p>
    <w:sectPr>
      <w:headerReference w:type="default" r:id="rId5"/>
      <w:headerReference w:type="first" r:id="rId6"/>
      <w:headerReference w:type="even" r:id="rId8"/>
      <w:footerReference w:type="default" r:id="rId9"/>
      <w:footerReference w:type="first" r:id="rId10"/>
      <w:footerReference w:type="even" r:id="rId11"/>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1/18/23</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7</w:t>
    </w:r>
    <w:r>
      <w:rPr>
        <w:b w:val="on"/>
        <w:sz w:val="20"/>
        <w:szCs w:val="20"/>
      </w:rPr>
      <w:fldChar w:fldCharType="end"/>
    </w:r>
    <w: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table" w:styleId="TableGrid">
    <w:name w:val="Table Grid"/>
    <w:basedOn w:val="TableNormal"/>
    <w:pPr>
      <w:pBdr>
        <w:top w:val="nil"/>
        <w:left w:val="nil"/>
        <w:bottom w:val="nil"/>
        <w:right w:val="nil"/>
        <w:between w:val="nil"/>
      </w:pBdr>
      <w:spacing w:after="0" w:line="240" w:lineRule="auto"/>
    </w:pPr>
    <w:rPr/>
    <w:tblPr>
      <w:tblW w:w="0" w:type="dxa"/>
      <w:tblBorders>
        <w:top w:val="single" w:sz="4" w:color="auto"/>
        <w:left w:val="single" w:sz="4" w:color="auto"/>
        <w:bottom w:val="single" w:sz="4" w:color="auto"/>
        <w:right w:val="single" w:sz="4" w:color="auto"/>
        <w:insideH w:val="single" w:sz="4" w:color="auto"/>
        <w:insideV w:val="single" w:sz="4" w:color="auto"/>
      </w:tblBorders>
    </w:tblPr>
    <w:trPr/>
    <w:tc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Header">
    <w:name w:val="header"/>
    <w:basedOn w:val="Normal"/>
    <w:link w:val="HeaderChar"/>
    <w:pPr>
      <w:pBdr>
        <w:top w:val="nil"/>
        <w:left w:val="nil"/>
        <w:bottom w:val="nil"/>
        <w:right w:val="nil"/>
        <w:between w:val="nil"/>
      </w:pBdr>
      <w:tabs>
        <w:tab w:val="center" w:leader="none" w:pos="4680"/>
        <w:tab w:val="right" w:leader="none" w:pos="9360"/>
      </w:tabs>
      <w:spacing w:after="0" w:line="240" w:lineRule="auto"/>
    </w:pPr>
    <w:rPr/>
  </w:style>
  <w:style w:type="character" w:styleId="HeaderChar">
    <w:name w:val="Header Char"/>
    <w:basedOn w:val="DefaultParagraphFont"/>
    <w:link w:val="Header"/>
    <w:pPr>
      <w:pBdr>
        <w:top w:val="nil"/>
        <w:left w:val="nil"/>
        <w:bottom w:val="nil"/>
        <w:right w:val="nil"/>
        <w:between w:val="nil"/>
      </w:pBdr>
    </w:pPr>
    <w:rPr>
      <w:rFonts w:eastAsiaTheme="minorEastAsia"/>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MediumShading1-Accent1">
    <w:name w:val="Medium Shading 1 Accent 1"/>
    <w:basedOn w:val="TableNormal"/>
    <w:pPr>
      <w:pBdr>
        <w:top w:val="nil"/>
        <w:left w:val="nil"/>
        <w:bottom w:val="nil"/>
        <w:right w:val="nil"/>
        <w:between w:val="nil"/>
      </w:pBdr>
      <w:spacing w:after="0" w:line="240" w:lineRule="auto"/>
    </w:pPr>
    <w:rPr/>
    <w:tblPr>
      <w:tblW w:w="0" w:type="dxa"/>
      <w:tblBorders>
        <w:top w:val="single" w:sz="8" w:color="7ba0cd" w:themeColor="accent1" w:themeTint="BF"/>
        <w:left w:val="single" w:sz="8" w:color="7ba0cd" w:themeColor="accent1" w:themeTint="BF"/>
        <w:bottom w:val="single" w:sz="8" w:color="7ba0cd" w:themeColor="accent1" w:themeTint="BF"/>
        <w:right w:val="single" w:sz="8" w:color="7ba0cd" w:themeColor="accent1" w:themeTint="BF"/>
        <w:insideH w:val="single" w:sz="8" w:color="7ba0cd" w:themeColor="accent1" w:themeTint="BF"/>
      </w:tblBorders>
    </w:tblPr>
    <w:trPr/>
    <w:tcPr/>
    <w:tblStylePr w:type="firstRow">
      <w:rPr>
        <w:b w:val="on"/>
        <w:color w:val="ffffff" w:themeColor="background1"/>
        <w:sz w:val="20"/>
        <w:szCs w:val="20"/>
      </w:rPr>
      <w:tcPr>
        <w:tcBorders>
          <w:top w:val="single" w:sz="8" w:color="7ba0cd" w:themeColor="accent1" w:themeTint="BF"/>
          <w:left w:val="single" w:sz="8" w:color="7ba0cd" w:themeColor="accent1" w:themeTint="BF"/>
          <w:bottom w:val="single" w:sz="8" w:color="7ba0cd" w:themeColor="accent1" w:themeTint="BF"/>
          <w:right w:val="single" w:sz="8" w:color="7ba0cd" w:themeColor="accent1" w:themeTint="BF"/>
        </w:tcBorders>
        <w:shd w:val="clear" w:color="auto" w:fill="4f81bd" w:themeFill="accent1"/>
      </w:tcPr>
    </w:tblStylePr>
    <w:tblStylePr w:type="lastRow">
      <w:rPr>
        <w:b w:val="on"/>
        <w:sz w:val="20"/>
        <w:szCs w:val="20"/>
      </w:rPr>
      <w:tcPr>
        <w:tcBorders>
          <w:top w:val="double" w:sz="6" w:color="7ba0cd" w:themeColor="accent1" w:themeTint="BF"/>
          <w:left w:val="single" w:sz="8" w:color="7ba0cd" w:themeColor="accent1" w:themeTint="BF"/>
          <w:bottom w:val="single" w:sz="8" w:color="7ba0cd" w:themeColor="accent1" w:themeTint="BF"/>
          <w:right w:val="single" w:sz="8" w:color="7ba0cd" w:themeColor="accent1" w:themeTint="BF"/>
        </w:tcBorders>
      </w:tcPr>
    </w:tblStylePr>
    <w:tblStylePr w:type="firstCol">
      <w:rPr>
        <w:b w:val="on"/>
        <w:sz w:val="20"/>
        <w:szCs w:val="20"/>
      </w:rPr>
      <w:tcPr/>
    </w:tblStylePr>
    <w:tblStylePr w:type="lastCol">
      <w:rPr>
        <w:b w:val="on"/>
        <w:sz w:val="20"/>
        <w:szCs w:val="20"/>
      </w:rPr>
      <w:tcPr/>
    </w:tblStylePr>
    <w:tblStylePr w:type="band1Vert">
      <w:rPr>
        <w:sz w:val="20"/>
        <w:szCs w:val="20"/>
      </w:rPr>
      <w:tcPr>
        <w:shd w:val="clear" w:color="auto" w:fill="d3dfee" w:themeFill="accent1" w:themeFillTint="3F"/>
      </w:tcPr>
    </w:tblStylePr>
    <w:tblStylePr w:type="band1Horz">
      <w:rPr>
        <w:sz w:val="20"/>
        <w:szCs w:val="20"/>
      </w:rPr>
      <w:tcPr>
        <w:shd w:val="clear" w:color="auto" w:fill="d3dfee" w:themeFill="accent1" w:themeFillTint="3F"/>
      </w:tcPr>
    </w:tblStylePr>
    <w:tblStylePr w:type="band2Horz">
      <w:rPr>
        <w:sz w:val="20"/>
        <w:szCs w:val="20"/>
      </w:rPr>
      <w:tcPr/>
    </w:tblStyle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8" Type="http://schemas.openxmlformats.org/officeDocument/2006/relationships/header" Target="header3.xml" />
  <Relationship Id="rId9" Type="http://schemas.openxmlformats.org/officeDocument/2006/relationships/footer" Target="footer1.xml" />
  <Relationship Id="rId10" Type="http://schemas.openxmlformats.org/officeDocument/2006/relationships/footer" Target="footer2.xml" />
  <Relationship Id="rId11" Type="http://schemas.openxmlformats.org/officeDocument/2006/relationships/footer" Target="footer3.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7</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2023-01-18T14:51:00Z</dcterms:created>
  <dcterms:modified xsi:type="dcterms:W3CDTF">2023-01-18T14:51:00Z</dcterms:modified>
</cp:coreProperties>
</file>