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<?xml version="1.0" encoding="UTF-8" standalone="yes"?>
<Relationships xmlns="http://schemas.openxmlformats.org/package/2006/relationships">
	<Relationship Id="rId3" Type="http://schemas.openxmlformats.org/officeDocument/2006/relationships/extended-properties" Target="docProps/app.xml"/>
	<Relationship Id="rId2" Type="http://schemas.openxmlformats.org/package/2006/relationships/metadata/core-properties" Target="docProps/core.xml"/>
	<Relationship Id="rId1" Type="http://schemas.openxmlformats.org/officeDocument/2006/relationships/officeDocument" Target="word/document.xml"/>
</Relationships>
</file>

<file path=word/document.xml><?xml version="1.0" encoding="utf-8"?>
<!--Generated by Windward Reports version 11.1.42.0 (.net), jvm: null. os: Windows Server "Longhorn", osver: 6.1--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wpc="http://schemas.microsoft.com/office/word/2010/wordprocessingCanvas" xmlns:w14="http://schemas.microsoft.com/office/word/2010/wordml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widowControl w:val="off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b w:val="on"/>
          <w:color w:val="548dd4" w:themeColor="text2" w:themeTint="99"/>
          <w:sz w:val="36"/>
          <w:szCs w:val="36"/>
        </w:rPr>
      </w:pPr>
      <w:r>
        <w:drawing>
          <wp:anchor distT="0" distB="0" distL="114300" distR="114300" simplePos="0" relativeHeight="10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250825</wp:posOffset>
            </wp:positionV>
            <wp:extent cx="875665" cy="668655"/>
            <wp:wrapSquare wrapText="bothSides"/>
            <wp:docPr id="1" name="Picture_1" descr="Picture_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b w:val="on"/>
          <w:color w:val="548dd4" w:themeColor="text2" w:themeTint="99"/>
          <w:sz w:val="36"/>
          <w:szCs w:val="36"/>
        </w:rPr>
        <w:t xml:space="preserve"> </w:t>
      </w:r>
    </w:p>
    <w:p>
      <w:pPr>
        <w:widowControl w:val="off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ajorHAnsi" w:hAnsiTheme="majorHAnsi"/>
          <w:b w:val="on"/>
          <w:color w:val="548dd4" w:themeColor="text2" w:themeTint="99"/>
          <w:sz w:val="36"/>
          <w:szCs w:val="36"/>
        </w:rPr>
      </w:pPr>
      <w:r>
        <w:rPr>
          <w:rFonts w:asciiTheme="majorHAnsi" w:hAnsiTheme="majorHAnsi"/>
          <w:b w:val="on"/>
          <w:color w:val="548dd4" w:themeColor="text2" w:themeTint="99"/>
          <w:sz w:val="36"/>
          <w:szCs w:val="36"/>
        </w:rPr>
        <w:t xml:space="preserve">Grant All-Detail Report</w:t>
      </w:r>
    </w:p>
    <w:p>
      <w:pPr>
        <w:widowControl w:val="off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on"/>
          <w:color w:val="548dd4" w:themeColor="text2" w:themeTint="99"/>
          <w:sz w:val="36"/>
          <w:szCs w:val="36"/>
        </w:rPr>
        <w:t xml:space="preserve">Buffer Law 2023</w:t>
      </w:r>
    </w:p>
    <w:p>
      <w:pPr>
        <w:widowControl w:val="off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</w:p>
    <w:p>
      <w:pPr>
        <w:widowControl w:val="off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b w:val="on"/>
          <w:color w:val="548dd4" w:themeColor="text2" w:themeTint="99"/>
          <w:sz w:val="24"/>
          <w:szCs w:val="24"/>
        </w:rPr>
      </w:pPr>
    </w:p>
    <w:p>
      <w:pPr>
        <w:widowControl w:val="off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color w:val="548dd4" w:themeColor="text2" w:themeTint="99"/>
          <w:sz w:val="24"/>
          <w:szCs w:val="24"/>
        </w:rPr>
      </w:pPr>
      <w:r>
        <w:rPr>
          <w:rFonts w:asciiTheme="majorHAnsi" w:hAnsiTheme="majorHAnsi"/>
          <w:b w:val="on"/>
          <w:color w:val="548dd4" w:themeColor="text2" w:themeTint="99"/>
          <w:sz w:val="24"/>
          <w:szCs w:val="24"/>
        </w:rPr>
        <w:t xml:space="preserve">Grant Title -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 xml:space="preserve">2023 - Buffer Law (Carlton SWCD) </w:t>
      </w:r>
    </w:p>
    <w:p>
      <w:pPr>
        <w:widowControl w:val="off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b w:val="on"/>
          <w:color w:val="548dd4" w:themeColor="text2" w:themeTint="99"/>
          <w:sz w:val="24"/>
          <w:szCs w:val="24"/>
        </w:rPr>
      </w:pPr>
      <w:r>
        <w:rPr>
          <w:rFonts w:asciiTheme="majorHAnsi" w:hAnsiTheme="majorHAnsi"/>
          <w:b w:val="on"/>
          <w:color w:val="548dd4" w:themeColor="text2" w:themeTint="99"/>
          <w:sz w:val="24"/>
          <w:szCs w:val="24"/>
        </w:rPr>
        <w:t xml:space="preserve">Grant ID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 xml:space="preserve">- P23-2539</w:t>
      </w:r>
    </w:p>
    <w:p>
      <w:pPr>
        <w:widowControl w:val="off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color w:val="548dd4" w:themeColor="text2" w:themeTint="99"/>
          <w:sz w:val="20"/>
          <w:szCs w:val="20"/>
        </w:rPr>
      </w:pPr>
      <w:r>
        <w:rPr>
          <w:rFonts w:asciiTheme="majorHAnsi" w:hAnsiTheme="majorHAnsi"/>
          <w:b w:val="on"/>
          <w:color w:val="548dd4" w:themeColor="text2" w:themeTint="99"/>
          <w:sz w:val="24"/>
          <w:szCs w:val="24"/>
        </w:rPr>
        <w:t xml:space="preserve">Organization -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 xml:space="preserve">Carlton SWCD</w:t>
      </w:r>
      <w:r>
        <w:rPr>
          <w:rFonts w:asciiTheme="majorHAnsi" w:hAnsiTheme="majorHAnsi"/>
          <w:color w:val="548dd4" w:themeColor="text2" w:themeTint="99"/>
          <w:sz w:val="20"/>
          <w:szCs w:val="20"/>
        </w:rPr>
        <w:tab/>
      </w:r>
    </w:p>
    <w:p>
      <w:pPr>
        <w:widowControl w:val="off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b w:val="on"/>
          <w:color w:val="548dd4" w:themeColor="text2" w:themeTint="99"/>
          <w:sz w:val="24"/>
          <w:szCs w:val="24"/>
        </w:rPr>
      </w:pPr>
    </w:p>
    <w:tbl>
      <w:tblPr>
        <w:tblStyle w:val="LightGrid-Accent1"/>
        <w:tblW w:w="5001" w:type="pct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3001"/>
        <w:gridCol w:w="4508"/>
        <w:gridCol w:w="3093"/>
        <w:gridCol w:w="3800"/>
      </w:tblGrid>
      <w:tr>
        <w:trPr/>
        <w:tc>
          <w:tcPr>
            <w:tcW w:w="10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Original Awarded Amount</w:t>
            </w:r>
          </w:p>
        </w:tc>
        <w:tc>
          <w:tcPr>
            <w:tcW w:w="15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/>
              <w:t xml:space="preserve">$2,500.00</w:t>
            </w: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Grant Execution Date</w:t>
            </w:r>
          </w:p>
        </w:tc>
        <w:tc>
          <w:tcPr>
            <w:tcW w:w="13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/>
              <w:t xml:space="preserve">1/13/2023</w:t>
            </w:r>
          </w:p>
        </w:tc>
      </w:tr>
      <w:tr>
        <w:trPr/>
        <w:tc>
          <w:tcPr>
            <w:tcW w:w="10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Required Match Amount</w:t>
            </w:r>
          </w:p>
        </w:tc>
        <w:tc>
          <w:tcPr>
            <w:tcW w:w="15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$0.00</w:t>
            </w: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Original Grant End Date</w:t>
            </w:r>
          </w:p>
        </w:tc>
        <w:tc>
          <w:tcPr>
            <w:tcW w:w="13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12/31/2025</w:t>
            </w:r>
          </w:p>
        </w:tc>
      </w:tr>
      <w:tr>
        <w:trPr>
          <w:trHeight w:val="61" w:hRule="atLeast"/>
        </w:trPr>
        <w:tc>
          <w:tcPr>
            <w:tcW w:w="10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Required Match %</w:t>
            </w:r>
          </w:p>
        </w:tc>
        <w:tc>
          <w:tcPr>
            <w:tcW w:w="15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0%</w:t>
            </w: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Grant Day To Day Contact</w:t>
            </w:r>
          </w:p>
        </w:tc>
        <w:tc>
          <w:tcPr>
            <w:tcW w:w="13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Brad  Matlack</w:t>
            </w:r>
          </w:p>
        </w:tc>
      </w:tr>
      <w:tr>
        <w:trPr>
          <w:trHeight w:val="61" w:hRule="atLeast"/>
        </w:trPr>
        <w:tc>
          <w:tcPr>
            <w:tcW w:w="102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Current Awarded Amount</w:t>
            </w:r>
          </w:p>
        </w:tc>
        <w:tc>
          <w:tcPr>
            <w:tcW w:w="1542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$2,500.00</w:t>
            </w:r>
          </w:p>
        </w:tc>
        <w:tc>
          <w:tcPr>
            <w:tcW w:w="1058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Current End Date</w:t>
            </w:r>
          </w:p>
        </w:tc>
        <w:tc>
          <w:tcPr>
            <w:tcW w:w="1374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12/31/2025</w:t>
            </w:r>
          </w:p>
        </w:tc>
      </w:tr>
    </w:tbl>
    <w:p>
      <w:pPr>
        <w:pStyle w:val="Heading2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Budget Summary </w:t>
      </w:r>
      <w:bookmarkStart w:id="0" w:name="_Hlk521488527"/>
      <w:bookmarkEnd w:id="0"/>
    </w:p>
    <w:tbl>
      <w:tblPr>
        <w:tblStyle w:val="LightGrid-Accent1"/>
        <w:tblW w:w="3639" w:type="pct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ff" w:lastColumn="off" w:noHBand="on" w:noVBand="off"/>
      </w:tblPr>
      <w:tblGrid>
        <w:gridCol w:w="2976"/>
        <w:gridCol w:w="2571"/>
        <w:gridCol w:w="2494"/>
        <w:gridCol w:w="2439"/>
      </w:tblGrid>
      <w:tr>
        <w:trPr/>
        <w:tc>
          <w:tcPr>
            <w:tcW w:w="141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ff"/>
                <w:color w:val="ffffff" w:themeColor="background1"/>
              </w:rPr>
            </w:pPr>
          </w:p>
        </w:tc>
        <w:tc>
          <w:tcPr>
            <w:tcW w:w="12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  <w:vAlign w:val="bottom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Budgeted</w:t>
            </w:r>
          </w:p>
        </w:tc>
        <w:tc>
          <w:tcPr>
            <w:tcW w:w="11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  <w:vAlign w:val="bottom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Spent</w:t>
            </w:r>
          </w:p>
        </w:tc>
        <w:tc>
          <w:tcPr>
            <w:tcW w:w="11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Balance Remaining*</w:t>
            </w:r>
          </w:p>
        </w:tc>
      </w:tr>
      <w:tr>
        <w:trPr>
          <w:trHeight w:val="60" w:hRule="atLeast"/>
        </w:trPr>
        <w:tc>
          <w:tcPr>
            <w:tcW w:w="141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Total Grant Amount</w:t>
            </w:r>
          </w:p>
        </w:tc>
        <w:tc>
          <w:tcPr>
            <w:tcW w:w="12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/>
            </w:pPr>
            <w:r>
              <w:rPr/>
              <w:t xml:space="preserve">$2,500.00</w:t>
            </w:r>
          </w:p>
        </w:tc>
        <w:tc>
          <w:tcPr>
            <w:tcW w:w="11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/>
            </w:pPr>
            <w:r>
              <w:rPr/>
              <w:t xml:space="preserve">$0.00</w:t>
            </w:r>
          </w:p>
        </w:tc>
        <w:tc>
          <w:tcPr>
            <w:tcW w:w="11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/>
            </w:pPr>
            <w:r>
              <w:rPr/>
              <w:t xml:space="preserve">$2,500.00</w:t>
            </w:r>
          </w:p>
        </w:tc>
      </w:tr>
      <w:tr>
        <w:trPr>
          <w:trHeight w:val="61" w:hRule="atLeast"/>
        </w:trPr>
        <w:tc>
          <w:tcPr>
            <w:tcW w:w="141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Total Match Amount</w:t>
            </w:r>
          </w:p>
        </w:tc>
        <w:tc>
          <w:tcPr>
            <w:tcW w:w="12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/>
            </w:pPr>
            <w:r>
              <w:rPr/>
              <w:t xml:space="preserve">$0.00</w:t>
            </w:r>
          </w:p>
        </w:tc>
        <w:tc>
          <w:tcPr>
            <w:tcW w:w="11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/>
            </w:pPr>
            <w:r>
              <w:rPr/>
              <w:t xml:space="preserve">$0.00</w:t>
            </w:r>
          </w:p>
        </w:tc>
        <w:tc>
          <w:tcPr>
            <w:tcW w:w="11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/>
            </w:pPr>
            <w:r>
              <w:rPr/>
              <w:t xml:space="preserve">$0.00</w:t>
            </w:r>
          </w:p>
        </w:tc>
      </w:tr>
      <w:tr>
        <w:trPr>
          <w:trHeight w:val="61" w:hRule="atLeast"/>
        </w:trPr>
        <w:tc>
          <w:tcPr>
            <w:tcW w:w="141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Total Other Funds</w:t>
            </w:r>
          </w:p>
        </w:tc>
        <w:tc>
          <w:tcPr>
            <w:tcW w:w="12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/>
            </w:pPr>
            <w:r>
              <w:rPr/>
              <w:t xml:space="preserve">$0.00</w:t>
            </w:r>
          </w:p>
        </w:tc>
        <w:tc>
          <w:tcPr>
            <w:tcW w:w="11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/>
            </w:pPr>
            <w:r>
              <w:rPr/>
              <w:t xml:space="preserve">$0.00</w:t>
            </w:r>
          </w:p>
        </w:tc>
        <w:tc>
          <w:tcPr>
            <w:tcW w:w="11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/>
            </w:pPr>
            <w:r>
              <w:rPr/>
              <w:t xml:space="preserve">$0.00</w:t>
            </w:r>
          </w:p>
        </w:tc>
      </w:tr>
      <w:tr>
        <w:trPr>
          <w:trHeight w:val="61" w:hRule="atLeast"/>
        </w:trPr>
        <w:tc>
          <w:tcPr>
            <w:tcW w:w="141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on"/>
              </w:rPr>
            </w:pPr>
            <w:r>
              <w:rPr>
                <w:b w:val="on"/>
              </w:rPr>
              <w:t xml:space="preserve">Total</w:t>
            </w:r>
          </w:p>
        </w:tc>
        <w:tc>
          <w:tcPr>
            <w:tcW w:w="12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 w:val="on"/>
              </w:rPr>
            </w:pPr>
            <w:r>
              <w:rPr>
                <w:b w:val="on"/>
              </w:rPr>
              <w:t xml:space="preserve">$2,500.00</w:t>
            </w:r>
          </w:p>
        </w:tc>
        <w:tc>
          <w:tcPr>
            <w:tcW w:w="11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 w:val="on"/>
              </w:rPr>
            </w:pPr>
            <w:r>
              <w:rPr>
                <w:b w:val="on"/>
              </w:rPr>
              <w:t xml:space="preserve">$0.00</w:t>
            </w:r>
          </w:p>
        </w:tc>
        <w:tc>
          <w:tcPr>
            <w:tcW w:w="11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 w:val="on"/>
              </w:rPr>
            </w:pPr>
            <w:r>
              <w:rPr>
                <w:b w:val="on"/>
              </w:rPr>
              <w:t xml:space="preserve">$2,500.00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rPr>
          <w:i w:val="on"/>
          <w:color w:val="4f81bd" w:themeColor="accent1"/>
          <w:sz w:val="20"/>
          <w:szCs w:val="20"/>
        </w:rPr>
      </w:pPr>
      <w:r>
        <w:rPr>
          <w:i w:val="on"/>
          <w:color w:val="4f81bd" w:themeColor="accent1"/>
          <w:sz w:val="20"/>
          <w:szCs w:val="20"/>
        </w:rPr>
        <w:t xml:space="preserve">*Grant balance remaining is the difference between the Awarded Amount and the Spent Amount. Other values compare budgeted and spent amounts.</w:t>
      </w:r>
    </w:p>
    <w:p>
      <w:pPr>
        <w:pStyle w:val="Heading2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 w:val="off"/>
          <w:sz w:val="24"/>
          <w:szCs w:val="24"/>
        </w:rPr>
      </w:pPr>
      <w:r>
        <w:rPr>
          <w:sz w:val="24"/>
          <w:szCs w:val="24"/>
        </w:rPr>
        <w:t xml:space="preserve">Budget Details </w:t>
      </w:r>
    </w:p>
    <w:tbl>
      <w:tblPr>
        <w:tblStyle w:val="LightGrid-Accent1"/>
        <w:tblW w:w="5000" w:type="pct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ayout w:type="fixed"/>
        <w:tblLook w:firstRow="on" w:lastRow="off" w:firstColumn="off" w:lastColumn="off" w:noHBand="on" w:noVBand="off"/>
      </w:tblPr>
      <w:tblGrid>
        <w:gridCol w:w="3528"/>
        <w:gridCol w:w="1619"/>
        <w:gridCol w:w="1351"/>
        <w:gridCol w:w="3061"/>
        <w:gridCol w:w="1351"/>
        <w:gridCol w:w="1257"/>
        <w:gridCol w:w="1353"/>
        <w:gridCol w:w="880"/>
      </w:tblGrid>
      <w:tr>
        <w:trPr>
          <w:cantSplit w:val="on"/>
          <w:tblHeader w:val="on"/>
        </w:trPr>
        <w:tc>
          <w:tcPr>
            <w:tcW w:w="120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bottom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Name</w:t>
            </w:r>
          </w:p>
        </w:tc>
        <w:tc>
          <w:tcPr>
            <w:tcW w:w="5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bottom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Category</w:t>
            </w:r>
          </w:p>
        </w:tc>
        <w:tc>
          <w:tcPr>
            <w:tcW w:w="4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bottom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Source Type</w:t>
            </w:r>
          </w:p>
        </w:tc>
        <w:tc>
          <w:tcPr>
            <w:tcW w:w="10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bottom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Source Description</w:t>
            </w:r>
          </w:p>
        </w:tc>
        <w:tc>
          <w:tcPr>
            <w:tcW w:w="4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bottom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Budgeted</w:t>
            </w:r>
          </w:p>
        </w:tc>
        <w:tc>
          <w:tcPr>
            <w:tcW w:w="43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bottom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Spent</w:t>
            </w:r>
          </w:p>
        </w:tc>
        <w:tc>
          <w:tcPr>
            <w:tcW w:w="4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bottom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Last Transaction Date</w:t>
            </w:r>
          </w:p>
        </w:tc>
        <w:tc>
          <w:tcPr>
            <w:tcW w:w="3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bottom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Matching Fund</w:t>
            </w:r>
          </w:p>
        </w:tc>
      </w:tr>
      <w:tr>
        <w:trPr>
          <w:cantSplit w:val="on"/>
        </w:trPr>
        <w:tc>
          <w:tcPr>
            <w:tcW w:w="120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Technical Assistance      </w:t>
            </w:r>
          </w:p>
        </w:tc>
        <w:tc>
          <w:tcPr>
            <w:tcW w:w="5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Technical/Engineering Assistance</w:t>
            </w:r>
          </w:p>
        </w:tc>
        <w:tc>
          <w:tcPr>
            <w:tcW w:w="4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Current State Grant</w:t>
            </w:r>
          </w:p>
        </w:tc>
        <w:tc>
          <w:tcPr>
            <w:tcW w:w="10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2023 - Buffer Law (Carlton SWCD)</w:t>
            </w:r>
          </w:p>
        </w:tc>
        <w:tc>
          <w:tcPr>
            <w:tcW w:w="4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/>
            </w:pPr>
            <w:r>
              <w:rPr/>
              <w:t xml:space="preserve">$2,500.00 </w:t>
            </w:r>
          </w:p>
        </w:tc>
        <w:tc>
          <w:tcPr>
            <w:tcW w:w="43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/>
            </w:pPr>
            <w:r>
              <w:rPr/>
              <w:t xml:space="preserve"> </w:t>
            </w:r>
          </w:p>
        </w:tc>
        <w:tc>
          <w:tcPr>
            <w:tcW w:w="4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/>
            </w:pPr>
          </w:p>
        </w:tc>
        <w:tc>
          <w:tcPr>
            <w:tcW w:w="3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N</w:t>
            </w:r>
          </w:p>
        </w:tc>
      </w:tr>
    </w:tbl>
    <w:p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b w:val="off"/>
          <w:sz w:val="20"/>
          <w:szCs w:val="20"/>
        </w:rPr>
      </w:pPr>
      <w:r>
        <w:rPr>
          <w:b w:val="off"/>
          <w:sz w:val="20"/>
          <w:szCs w:val="20"/>
        </w:rPr>
        <w:t xml:space="preserve"> 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</w:rPr>
      </w:pPr>
    </w:p>
    <w:p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Activity Details Summary</w:t>
      </w:r>
    </w:p>
    <w:tbl>
      <w:tblPr>
        <w:tblStyle w:val="LightGrid-Accent1"/>
        <w:tblW w:w="5000" w:type="pct"/>
        <w:tblLook w:firstRow="on" w:lastRow="off" w:firstColumn="on" w:lastColumn="off" w:noHBand="on" w:noVBand="off"/>
      </w:tblPr>
      <w:tblGrid>
        <w:gridCol w:w="3685"/>
        <w:gridCol w:w="2035"/>
        <w:gridCol w:w="2564"/>
        <w:gridCol w:w="3166"/>
        <w:gridCol w:w="2950"/>
      </w:tblGrid>
      <w:tr>
        <w:trPr>
          <w:cantSplit w:val="on"/>
          <w:trHeight w:val="286" w:hRule="atLeast"/>
          <w:tblHeader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nil"/>
              <w:right w:val="single" w:sz="8" w:color="4f81bd" w:themeColor="accent1"/>
            </w:tcBorders>
            <w:shd w:val="clear" w:color="auto" w:fill="4f81bd" w:themeFill="accent1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Details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nil"/>
              <w:right w:val="single" w:sz="8" w:color="4f81bd" w:themeColor="accent1"/>
            </w:tcBorders>
            <w:shd w:val="clear" w:color="auto" w:fill="4f81bd" w:themeFill="accent1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Total Action Count 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nil"/>
              <w:right w:val="single" w:sz="8" w:color="4f81bd" w:themeColor="accent1"/>
            </w:tcBorders>
            <w:shd w:val="clear" w:color="auto" w:fill="4f81bd" w:themeFill="accent1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Total Activity Mapped  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nil"/>
              <w:right w:val="single" w:sz="8" w:color="4f81bd" w:themeColor="accent1"/>
            </w:tcBorders>
            <w:shd w:val="clear" w:color="auto" w:fill="4f81bd" w:themeFill="accent1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nil"/>
              <w:right w:val="single" w:sz="8" w:color="4f81bd" w:themeColor="accent1"/>
            </w:tcBorders>
            <w:shd w:val="clear" w:color="auto" w:fill="4f81bd" w:themeFill="accent1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 / Unit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b w:val="on"/>
          <w:sz w:val="20"/>
          <w:szCs w:val="20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rPr/>
      </w:pPr>
      <w:r>
        <w:rPr>
          <w:rFonts w:asciiTheme="majorHAnsi" w:hAnsiTheme="majorHAnsi"/>
          <w:b w:val="on"/>
          <w:color w:val="4f81bd" w:themeColor="accent1"/>
          <w:sz w:val="24"/>
          <w:szCs w:val="24"/>
        </w:rPr>
        <w:t xml:space="preserve">Proposed Activity Indicators</w:t>
      </w:r>
    </w:p>
    <w:tbl>
      <w:tblPr>
        <w:tblStyle w:val="LightGrid-Accent1"/>
        <w:tblW w:w="14598" w:type="auto"/>
        <w:tblBorders>
          <w:top w:val="single" w:sz="6" w:color="4f81bd" w:themeColor="accent1"/>
          <w:left w:val="single" w:sz="6" w:color="4f81bd" w:themeColor="accent1"/>
          <w:bottom w:val="single" w:sz="6" w:color="4f81bd" w:themeColor="accent1"/>
          <w:right w:val="single" w:sz="6" w:color="4f81bd" w:themeColor="accent1"/>
          <w:insideH w:val="single" w:sz="6" w:color="4f81bd" w:themeColor="accent1"/>
          <w:insideV w:val="single" w:sz="6" w:color="4f81bd" w:themeColor="accent1"/>
        </w:tblBorders>
        <w:tblLayout w:type="fixed"/>
        <w:tblLook w:firstRow="off" w:lastRow="off" w:firstColumn="on" w:lastColumn="off" w:noHBand="on" w:noVBand="off"/>
      </w:tblPr>
      <w:tblGrid>
        <w:gridCol w:w="2718"/>
        <w:gridCol w:w="2970"/>
        <w:gridCol w:w="2160"/>
        <w:gridCol w:w="1710"/>
        <w:gridCol w:w="2016"/>
        <w:gridCol w:w="3024"/>
      </w:tblGrid>
      <w:tr>
        <w:trPr>
          <w:cantSplit w:val="on"/>
          <w:tblHeader w:val="on"/>
        </w:trPr>
        <w:tc>
          <w:tcPr>
            <w:tcW w:w="27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Activity Name</w:t>
            </w:r>
          </w:p>
        </w:tc>
        <w:tc>
          <w:tcPr>
            <w:tcW w:w="29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b w:val="on"/>
                <w:color w:val="ffffff" w:themeColor="background1"/>
              </w:rPr>
            </w:pPr>
            <w:r>
              <w:rPr>
                <w:rFonts w:asciiTheme="majorHAnsi" w:hAnsiTheme="majorHAnsi"/>
                <w:b w:val="on"/>
                <w:color w:val="ffffff" w:themeColor="background1"/>
              </w:rPr>
              <w:t xml:space="preserve">Indicator Name</w:t>
            </w:r>
          </w:p>
        </w:tc>
        <w:tc>
          <w:tcPr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b w:val="on"/>
                <w:color w:val="ffffff" w:themeColor="background1"/>
              </w:rPr>
            </w:pPr>
            <w:r>
              <w:rPr>
                <w:rFonts w:asciiTheme="majorHAnsi" w:hAnsiTheme="majorHAnsi"/>
                <w:b w:val="on"/>
                <w:color w:val="ffffff" w:themeColor="background1"/>
              </w:rPr>
              <w:t xml:space="preserve">Value &amp; Units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b w:val="on"/>
                <w:color w:val="ffffff" w:themeColor="background1"/>
              </w:rPr>
            </w:pPr>
            <w:r>
              <w:rPr>
                <w:rFonts w:asciiTheme="majorHAnsi" w:hAnsiTheme="majorHAnsi"/>
                <w:b w:val="on"/>
                <w:color w:val="ffffff" w:themeColor="background1"/>
              </w:rPr>
              <w:t xml:space="preserve">Waterbody</w:t>
            </w:r>
          </w:p>
        </w:tc>
        <w:tc>
          <w:tcPr>
            <w:tcW w:w="20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b w:val="on"/>
                <w:color w:val="ffffff" w:themeColor="background1"/>
              </w:rPr>
            </w:pPr>
            <w:r>
              <w:rPr>
                <w:rFonts w:asciiTheme="majorHAnsi" w:hAnsiTheme="majorHAnsi"/>
                <w:b w:val="on"/>
                <w:color w:val="ffffff" w:themeColor="background1"/>
              </w:rPr>
              <w:t xml:space="preserve">Calculation Tool</w:t>
            </w:r>
          </w:p>
        </w:tc>
        <w:tc>
          <w:tcPr>
            <w:tcW w:w="30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b w:val="on"/>
                <w:color w:val="ffffff" w:themeColor="background1"/>
              </w:rPr>
            </w:pPr>
            <w:r>
              <w:rPr>
                <w:rFonts w:asciiTheme="majorHAnsi" w:hAnsiTheme="majorHAnsi"/>
                <w:b w:val="on"/>
                <w:color w:val="ffffff" w:themeColor="background1"/>
              </w:rPr>
              <w:t xml:space="preserve">Comments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b w:val="on"/>
          <w:sz w:val="20"/>
          <w:szCs w:val="20"/>
        </w:rPr>
      </w:pPr>
    </w:p>
    <w:p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Final Indicators Summary</w:t>
      </w:r>
    </w:p>
    <w:tbl>
      <w:tblPr>
        <w:tblStyle w:val="MediumShading1-Accent1"/>
        <w:tblW w:w="3617" w:type="pct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5044"/>
        <w:gridCol w:w="2427"/>
        <w:gridCol w:w="2945"/>
      </w:tblGrid>
      <w:tr>
        <w:trPr>
          <w:trHeight w:val="286" w:hRule="atLeast"/>
        </w:trPr>
        <w:tc>
          <w:tcPr>
            <w:tcW w:w="22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cstheme="majorBidi"/>
              </w:rPr>
            </w:pPr>
            <w:r>
              <w:rPr>
                <w:rFonts w:cstheme="majorBidi"/>
                <w:color w:val="ffffff" w:themeColor="background1"/>
              </w:rPr>
              <w:t xml:space="preserve">Indicator Name</w:t>
            </w:r>
          </w:p>
        </w:tc>
        <w:tc>
          <w:tcPr>
            <w:tcW w:w="122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cstheme="majorBidi"/>
              </w:rPr>
            </w:pPr>
            <w:r>
              <w:rPr>
                <w:rFonts w:cstheme="majorBidi"/>
                <w:color w:val="ffffff" w:themeColor="background1"/>
              </w:rPr>
              <w:t xml:space="preserve">Total Value </w:t>
            </w:r>
          </w:p>
        </w:tc>
        <w:tc>
          <w:tcPr>
            <w:tcW w:w="15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cstheme="majorBidi"/>
              </w:rPr>
            </w:pPr>
            <w:r>
              <w:rPr>
                <w:rFonts w:cstheme="majorBidi"/>
                <w:color w:val="ffffff" w:themeColor="background1"/>
              </w:rPr>
              <w:t xml:space="preserve">Unit  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b w:val="on"/>
          <w:sz w:val="20"/>
          <w:szCs w:val="20"/>
        </w:rPr>
      </w:pPr>
    </w:p>
    <w:p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sz w:val="20"/>
          <w:szCs w:val="20"/>
        </w:rPr>
      </w:pPr>
      <w:r>
        <w:rPr>
          <w:sz w:val="24"/>
          <w:szCs w:val="24"/>
        </w:rPr>
        <w:t xml:space="preserve">Grant Activity </w:t>
      </w:r>
    </w:p>
    <w:tbl>
      <w:tblPr>
        <w:tblStyle w:val="LightGrid-Accent1"/>
        <w:tblW w:w="5000" w:type="pct"/>
        <w:tblBorders>
          <w:top w:val="single" w:sz="6" w:color="c6d9f0" w:themeColor="text2" w:themeTint="33"/>
          <w:left w:val="single" w:sz="6" w:color="c6d9f0" w:themeColor="text2" w:themeTint="33"/>
          <w:bottom w:val="single" w:sz="6" w:color="c6d9f0" w:themeColor="text2" w:themeTint="33"/>
          <w:right w:val="single" w:sz="6" w:color="c6d9f0" w:themeColor="text2" w:themeTint="33"/>
          <w:insideH w:val="single" w:sz="6" w:color="c6d9f0" w:themeColor="text2" w:themeTint="33"/>
          <w:insideV w:val="single" w:sz="6" w:color="c6d9f0" w:themeColor="text2" w:themeTint="33"/>
        </w:tblBorders>
        <w:tblLook w:firstRow="on" w:lastRow="off" w:firstColumn="on" w:lastColumn="off" w:noHBand="on" w:noVBand="off"/>
      </w:tblPr>
      <w:tblGrid>
        <w:gridCol w:w="3148"/>
        <w:gridCol w:w="4262"/>
        <w:gridCol w:w="3707"/>
        <w:gridCol w:w="3283"/>
      </w:tblGrid>
      <w:tr>
        <w:trPr>
          <w:trHeight w:val="523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>
            <w:pPr>
              <w:pStyle w:val="Heading2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60" w:lineRule="auto"/>
              <w:outlineLvl w:val="1"/>
              <w:rPr>
                <w:rFonts w:asciiTheme="minorHAnsi" w:hAnsiTheme="minorHAnsi"/>
                <w:b w:val="on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on"/>
                <w:color w:val="ffffff" w:themeColor="background1"/>
                <w:sz w:val="22"/>
                <w:szCs w:val="22"/>
              </w:rPr>
              <w:t xml:space="preserve">Grant Activity - </w:t>
            </w:r>
            <w:r>
              <w:rPr>
                <w:rFonts w:asciiTheme="minorHAnsi" w:hAnsiTheme="minorHAnsi"/>
                <w:b w:val="on"/>
                <w:color w:val="ffffff" w:themeColor="background1"/>
                <w:sz w:val="22"/>
                <w:szCs w:val="22"/>
              </w:rPr>
              <w:t xml:space="preserve">Technical Assistance </w:t>
            </w:r>
            <w:r>
              <w:rPr>
                <w:rFonts w:asciiTheme="minorHAnsi" w:hAnsiTheme="minorHAnsi"/>
                <w:b w:val="on"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>
        <w:trPr>
          <w:trHeight w:val="353" w:hRule="atLeast"/>
        </w:trPr>
        <w:tc>
          <w:tcPr>
            <w:tcW w:w="10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3923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This funding will be used to communicate and coordinate buffer law activities including outreach, technical assistance to landowners, and coordination with agencies.</w:t>
            </w:r>
          </w:p>
        </w:tc>
      </w:tr>
      <w:tr>
        <w:trPr>
          <w:trHeight w:val="353" w:hRule="atLeast"/>
        </w:trPr>
        <w:tc>
          <w:tcPr>
            <w:tcW w:w="10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Category</w:t>
            </w:r>
          </w:p>
        </w:tc>
        <w:tc>
          <w:tcPr>
            <w:tcW w:w="3923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TECHNICAL/ENGINEERING ASSISTANCE</w:t>
            </w:r>
          </w:p>
        </w:tc>
      </w:tr>
      <w:tr>
        <w:trPr>
          <w:trHeight w:val="353" w:hRule="atLeast"/>
        </w:trPr>
        <w:tc>
          <w:tcPr>
            <w:tcW w:w="10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Start Date</w:t>
            </w:r>
          </w:p>
        </w:tc>
        <w:tc>
          <w:tcPr>
            <w:tcW w:w="14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  <w:tc>
          <w:tcPr>
            <w:tcW w:w="12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End Date</w:t>
            </w:r>
          </w:p>
        </w:tc>
        <w:tc>
          <w:tcPr>
            <w:tcW w:w="119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03" w:hRule="atLeast"/>
        </w:trPr>
        <w:tc>
          <w:tcPr>
            <w:tcW w:w="10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Has Rates and Hours?</w:t>
            </w:r>
          </w:p>
        </w:tc>
        <w:tc>
          <w:tcPr>
            <w:tcW w:w="3923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none" w:pos="8970"/>
              </w:tabs>
              <w:rPr/>
            </w:pPr>
            <w:r>
              <w:rPr/>
              <w:t xml:space="preserve">No</w:t>
            </w:r>
            <w:r>
              <w:rPr/>
              <w:tab/>
            </w:r>
          </w:p>
        </w:tc>
      </w:tr>
      <w:tr>
        <w:trPr>
          <w:trHeight w:val="353" w:hRule="atLeast"/>
        </w:trPr>
        <w:tc>
          <w:tcPr>
            <w:tcW w:w="10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Results</w:t>
            </w:r>
          </w:p>
        </w:tc>
        <w:tc>
          <w:tcPr>
            <w:tcW w:w="3923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 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p>
      <w:pPr>
        <w:pStyle w:val="Heading2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Grant Attachments</w:t>
      </w:r>
    </w:p>
    <w:tbl>
      <w:tblPr>
        <w:tblStyle w:val="LightGrid-Accent1"/>
        <w:tblW w:w="5000" w:type="pct"/>
        <w:tblBorders>
          <w:top w:val="single" w:sz="8" w:color="95b3d7" w:themeColor="accent1" w:themeTint="99"/>
          <w:left w:val="single" w:sz="8" w:color="95b3d7" w:themeColor="accent1" w:themeTint="99"/>
          <w:bottom w:val="single" w:sz="8" w:color="95b3d7" w:themeColor="accent1" w:themeTint="99"/>
          <w:right w:val="single" w:sz="8" w:color="95b3d7" w:themeColor="accent1" w:themeTint="99"/>
          <w:insideH w:val="single" w:sz="8" w:color="95b3d7" w:themeColor="accent1" w:themeTint="99"/>
          <w:insideV w:val="single" w:sz="8" w:color="95b3d7" w:themeColor="accent1" w:themeTint="99"/>
        </w:tblBorders>
        <w:tblLook w:firstRow="on" w:lastRow="off" w:firstColumn="on" w:lastColumn="off" w:noHBand="on" w:noVBand="off"/>
      </w:tblPr>
      <w:tblGrid>
        <w:gridCol w:w="5292"/>
        <w:gridCol w:w="2849"/>
        <w:gridCol w:w="6259"/>
      </w:tblGrid>
      <w:tr>
        <w:trPr>
          <w:cantSplit w:val="on"/>
          <w:tblHeader w:val="on"/>
        </w:trPr>
        <w:tc>
          <w:tcPr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Document Name</w:t>
            </w:r>
          </w:p>
        </w:tc>
        <w:tc>
          <w:tcPr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Document Type</w:t>
            </w:r>
          </w:p>
        </w:tc>
        <w:tc>
          <w:tcPr>
            <w:tcW w:w="22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</w:tr>
      <w:tr>
        <w:trPr>
          <w:cantSplit w:val="on"/>
        </w:trPr>
        <w:tc>
          <w:tcPr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</w:rPr>
              <w:t xml:space="preserve">2023 SWCD Local Capacity and Buffer Law Implementation</w:t>
            </w:r>
          </w:p>
        </w:tc>
        <w:tc>
          <w:tcPr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Grant Agreement</w:t>
            </w:r>
          </w:p>
        </w:tc>
        <w:tc>
          <w:tcPr>
            <w:tcW w:w="22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2023 SWCD Local Capacity and Buffer Law Implementation - Carlton SWCD</w:t>
            </w:r>
          </w:p>
        </w:tc>
      </w:tr>
      <w:tr>
        <w:trPr>
          <w:cantSplit w:val="on"/>
        </w:trPr>
        <w:tc>
          <w:tcPr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</w:rPr>
              <w:t xml:space="preserve">2023 SWCD Local Capacity and Buffer Law Implementation EXECUTED</w:t>
            </w:r>
          </w:p>
        </w:tc>
        <w:tc>
          <w:tcPr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Grant Agreement</w:t>
            </w:r>
          </w:p>
        </w:tc>
        <w:tc>
          <w:tcPr>
            <w:tcW w:w="22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2023 SWCD Local Capacity and Buffer Law Implementation - Carlton SWCD</w:t>
            </w:r>
          </w:p>
        </w:tc>
      </w:tr>
      <w:tr>
        <w:trPr>
          <w:cantSplit w:val="on"/>
        </w:trPr>
        <w:tc>
          <w:tcPr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</w:rPr>
              <w:t xml:space="preserve">Work Plan</w:t>
            </w:r>
          </w:p>
        </w:tc>
        <w:tc>
          <w:tcPr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Workflow Generated</w:t>
            </w:r>
          </w:p>
        </w:tc>
        <w:tc>
          <w:tcPr>
            <w:tcW w:w="22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Workflow Generated  - Work Plan - 09/12/2022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b w:val="on"/>
          <w:sz w:val="20"/>
          <w:szCs w:val="20"/>
        </w:rPr>
      </w:pPr>
    </w:p>
    <w:sectPr>
      <w:headerReference w:type="default" r:id="rId5"/>
      <w:headerReference w:type="first" r:id="rId6"/>
      <w:headerReference w:type="even" r:id="rId8"/>
      <w:footerReference w:type="default" r:id="rId9"/>
      <w:footerReference w:type="first" r:id="rId10"/>
      <w:footerReference w:type="even" r:id="rId11"/>
      <w:type w:val="continuous"/>
      <w:pgSz w:w="15840" w:h="12240" w:orient="landscape"/>
      <w:pgMar w:top="720" w:right="720" w:bottom="720" w:left="720" w:header="720" w:footer="720" w:gutter="0"/>
      <w:pgBorders w:offsetFrom="page">
        <w:top w:val="nil"/>
        <w:left w:val="nil"/>
        <w:bottom w:val="nil"/>
        <w:right w:val="nil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0"/>
    <w:family w:val="swiss"/>
    <w:pitch w:val="variable"/>
  </w:font>
  <w:font w:name="Calibri">
    <w:panose1 w:val="020F0502020204030204"/>
    <w:charset w:val="00"/>
    <w:family w:val="swiss"/>
    <w:pitch w:val="variable"/>
  </w:font>
  <w:font w:name="Cambria">
    <w:panose1 w:val="02040503050406030204"/>
    <w:charset w:val="00"/>
    <w:family w:val="roman"/>
    <w:pitch w:val="variable"/>
  </w:font>
  <w:font w:name="MS Mincho">
    <w:charset w:val="01"/>
    <w:family w:val="nil"/>
    <w:pitch w:val="default"/>
  </w:font>
  <w:font w:name="Times New Roman">
    <w:panose1 w:val="02020603050405020304"/>
    <w:charset w:val="0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wpc="http://schemas.microsoft.com/office/word/2010/wordprocessingCanvas" xmlns:w14="http://schemas.microsoft.com/office/word/2010/wordml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  <w:pBdr>
        <w:top w:val="nil"/>
        <w:left w:val="nil"/>
        <w:bottom w:val="nil"/>
        <w:right w:val="nil"/>
        <w:between w:val="nil"/>
      </w:pBdr>
      <w:rPr/>
    </w:pPr>
    <w:r>
      <w:rPr>
        <w:sz w:val="20"/>
        <w:szCs w:val="20"/>
      </w:rPr>
      <w:t xml:space="preserve">Report created on:</w:t>
    </w:r>
    <w:fldSimple w:instr=" PRINTDATE  \@ &quot;M/d/yy&quot; ">
      <w:r>
        <w:rPr>
          <w:sz w:val="20"/>
          <w:szCs w:val="20"/>
        </w:rPr>
        <w:t xml:space="preserve">1/18/23</w:t>
      </w:r>
    </w:fldSimple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 xml:space="preserve">Page </w:t>
    </w:r>
    <w:r>
      <w:rPr>
        <w:b w:val="on"/>
        <w:sz w:val="20"/>
        <w:szCs w:val="20"/>
      </w:rPr>
      <w:fldChar w:fldCharType="begin"/>
    </w:r>
    <w:r>
      <w:rPr>
        <w:b w:val="on"/>
        <w:sz w:val="20"/>
        <w:szCs w:val="20"/>
      </w:rPr>
      <w:instrText> PAGE </w:instrText>
    </w:r>
    <w:r>
      <w:rPr>
        <w:b w:val="on"/>
        <w:sz w:val="20"/>
        <w:szCs w:val="20"/>
      </w:rPr>
      <w:r>
        <w:fldChar w:fldCharType="separate"/>
      </w:r>
    </w:r>
    <w:r>
      <w:rPr>
        <w:b w:val="on"/>
        <w:sz w:val="20"/>
        <w:szCs w:val="20"/>
      </w:rPr>
      <w:t xml:space="preserve">1</w:t>
    </w:r>
    <w:r>
      <w:rPr>
        <w:b w:val="on"/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b w:val="on"/>
        <w:sz w:val="20"/>
        <w:szCs w:val="20"/>
      </w:rPr>
      <w:fldChar w:fldCharType="begin"/>
    </w:r>
    <w:r>
      <w:rPr>
        <w:b w:val="on"/>
        <w:sz w:val="20"/>
        <w:szCs w:val="20"/>
      </w:rPr>
      <w:instrText> NUMPAGES </w:instrText>
    </w:r>
    <w:r>
      <w:rPr>
        <w:b w:val="on"/>
        <w:sz w:val="20"/>
        <w:szCs w:val="20"/>
      </w:rPr>
      <w:r>
        <w:fldChar w:fldCharType="separate"/>
      </w:r>
    </w:r>
    <w:r>
      <w:rPr>
        <w:b w:val="on"/>
        <w:sz w:val="20"/>
        <w:szCs w:val="20"/>
      </w:rPr>
      <w:t xml:space="preserve">2</w:t>
    </w:r>
    <w:r>
      <w:rPr>
        <w:b w:val="on"/>
        <w:sz w:val="20"/>
        <w:szCs w:val="20"/>
      </w:rPr>
      <w:fldChar w:fldCharType="end"/>
    </w:r>
    <w:r>
      <w:rPr/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wpc="http://schemas.microsoft.com/office/word/2010/wordprocessingCanvas" xmlns:w14="http://schemas.microsoft.com/office/word/2010/wordml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  <w:pBdr>
        <w:top w:val="nil"/>
        <w:left w:val="nil"/>
        <w:bottom w:val="nil"/>
        <w:right w:val="nil"/>
        <w:between w:val="nil"/>
      </w:pBdr>
      <w:rPr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wpc="http://schemas.microsoft.com/office/word/2010/wordprocessingCanvas" xmlns:w14="http://schemas.microsoft.com/office/word/2010/wordml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  <w:pBdr>
        <w:top w:val="nil"/>
        <w:left w:val="nil"/>
        <w:bottom w:val="nil"/>
        <w:right w:val="nil"/>
        <w:between w:val="nil"/>
      </w:pBdr>
      <w:rPr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wpc="http://schemas.microsoft.com/office/word/2010/wordprocessingCanvas" xmlns:w14="http://schemas.microsoft.com/office/word/2010/wordml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  <w:pBdr>
        <w:top w:val="nil"/>
        <w:left w:val="nil"/>
        <w:bottom w:val="nil"/>
        <w:right w:val="nil"/>
        <w:between w:val="nil"/>
      </w:pBdr>
      <w:rPr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wpc="http://schemas.microsoft.com/office/word/2010/wordprocessingCanvas" xmlns:w14="http://schemas.microsoft.com/office/word/2010/wordml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  <w:pBdr>
        <w:top w:val="nil"/>
        <w:left w:val="nil"/>
        <w:bottom w:val="nil"/>
        <w:right w:val="nil"/>
        <w:between w:val="nil"/>
      </w:pBdr>
      <w:rPr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wpc="http://schemas.microsoft.com/office/word/2010/wordprocessingCanvas" xmlns:w14="http://schemas.microsoft.com/office/word/2010/wordml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  <w:pBdr>
        <w:top w:val="nil"/>
        <w:left w:val="nil"/>
        <w:bottom w:val="nil"/>
        <w:right w:val="nil"/>
        <w:between w:val="nil"/>
      </w:pBdr>
      <w:rPr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defaultTabStop w:val="720"/>
  <w:compat>
    <w:compatSetting w:name="compatibilityMode" w:uri="http://schemas.microsoft.com/office/word" w:val="14"/>
  </w:compat>
  <w:clrSchemeMapping w:bg1="light1" w:t2="dark2" w:bg2="light2" w:t1="dark1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hAnsiTheme="minorHAnsi" w:cstheme="minorBidi" w:eastAsiaTheme="minorHAnsi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</w:pBdr>
    </w:pPr>
    <w:rPr>
      <w:rFonts w:eastAsiaTheme="minorEastAsia"/>
      <w:sz w:val="22"/>
      <w:szCs w:val="22"/>
    </w:rPr>
  </w:style>
  <w:style w:type="paragraph" w:styleId="Heading2">
    <w:name w:val="heading 2"/>
    <w:basedOn w:val="Normal"/>
    <w:link w:val="Heading2Char"/>
    <w:pPr>
      <w:keepNext w:val="on"/>
      <w:keepLines w:val="on"/>
      <w:pBdr>
        <w:top w:val="nil"/>
        <w:left w:val="nil"/>
        <w:bottom w:val="nil"/>
        <w:right w:val="nil"/>
        <w:between w:val="nil"/>
      </w:pBdr>
      <w:spacing w:before="200" w:after="0"/>
      <w:outlineLvl w:val="1"/>
    </w:pPr>
    <w:rPr>
      <w:rFonts w:asciiTheme="majorHAnsi" w:hAnsiTheme="majorHAnsi" w:cstheme="majorBidi" w:eastAsiaTheme="majorEastAsia"/>
      <w:b w:val="on"/>
      <w:color w:val="4f81bd" w:themeColor="accent1"/>
      <w:sz w:val="26"/>
      <w:szCs w:val="26"/>
    </w:rPr>
  </w:style>
  <w:style w:type="character" w:default="1" w:styleId="DefaultParagraphFont">
    <w:name w:val="Default Paragraph Font"/>
    <w:pPr>
      <w:pBdr>
        <w:top w:val="nil"/>
        <w:left w:val="nil"/>
        <w:bottom w:val="nil"/>
        <w:right w:val="nil"/>
        <w:between w:val="nil"/>
      </w:pBdr>
    </w:pPr>
    <w:rPr>
      <w:sz w:val="22"/>
      <w:szCs w:val="22"/>
    </w:rPr>
  </w:style>
  <w:style w:type="table" w:default="1" w:styleId="TableNormal">
    <w:name w:val="Normal Table"/>
    <w:pPr>
      <w:pBdr>
        <w:top w:val="nil"/>
        <w:left w:val="nil"/>
        <w:bottom w:val="nil"/>
        <w:right w:val="nil"/>
        <w:between w:val="nil"/>
      </w:pBdr>
    </w:pPr>
    <w:rPr>
      <w:sz w:val="22"/>
      <w:szCs w:val="22"/>
    </w:rPr>
    <w:tblPr>
      <w:tblW w:w="0" w:type="dxa"/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default="1" w:styleId="NoList">
    <w:name w:val="No List"/>
    <w:pPr>
      <w:pBdr>
        <w:top w:val="nil"/>
        <w:left w:val="nil"/>
        <w:bottom w:val="nil"/>
        <w:right w:val="nil"/>
        <w:between w:val="nil"/>
      </w:pBdr>
    </w:pPr>
    <w:rPr>
      <w:sz w:val="22"/>
      <w:szCs w:val="22"/>
    </w:rPr>
  </w:style>
  <w:style w:type="table" w:styleId="TableGrid">
    <w:name w:val="Table Grid"/>
    <w:basedOn w:val="TableNormal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/>
    <w:tblPr>
      <w:tblW w:w="0" w:type="dxa"/>
      <w:tblBorders>
        <w:top w:val="single" w:sz="4" w:color="auto"/>
        <w:left w:val="single" w:sz="4" w:color="auto"/>
        <w:bottom w:val="single" w:sz="4" w:color="auto"/>
        <w:right w:val="single" w:sz="4" w:color="auto"/>
        <w:insideH w:val="single" w:sz="4" w:color="auto"/>
        <w:insideV w:val="single" w:sz="4" w:color="auto"/>
      </w:tblBorders>
    </w:tblPr>
    <w:trPr/>
    <w:tcPr/>
  </w:style>
  <w:style w:type="character" w:styleId="Heading2Char">
    <w:name w:val="Heading 2 Char"/>
    <w:basedOn w:val="DefaultParagraphFont"/>
    <w:link w:val="Heading2"/>
    <w:pPr>
      <w:pBdr>
        <w:top w:val="nil"/>
        <w:left w:val="nil"/>
        <w:bottom w:val="nil"/>
        <w:right w:val="nil"/>
        <w:between w:val="nil"/>
      </w:pBdr>
    </w:pPr>
    <w:rPr>
      <w:rFonts w:asciiTheme="majorHAnsi" w:hAnsiTheme="majorHAnsi" w:cstheme="majorBidi" w:eastAsiaTheme="majorEastAsia"/>
      <w:b w:val="on"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pPr>
      <w:pBdr>
        <w:top w:val="nil"/>
        <w:left w:val="nil"/>
        <w:bottom w:val="nil"/>
        <w:right w:val="nil"/>
        <w:between w:val="nil"/>
      </w:pBdr>
      <w:tabs>
        <w:tab w:val="center" w:leader="none" w:pos="4680"/>
        <w:tab w:val="right" w:leader="none" w:pos="9360"/>
      </w:tabs>
      <w:spacing w:after="0" w:line="240" w:lineRule="auto"/>
    </w:pPr>
    <w:rPr/>
  </w:style>
  <w:style w:type="character" w:styleId="HeaderChar">
    <w:name w:val="Header Char"/>
    <w:basedOn w:val="DefaultParagraphFont"/>
    <w:link w:val="Header"/>
    <w:pPr>
      <w:pBdr>
        <w:top w:val="nil"/>
        <w:left w:val="nil"/>
        <w:bottom w:val="nil"/>
        <w:right w:val="nil"/>
        <w:between w:val="nil"/>
      </w:pBdr>
    </w:pPr>
    <w:rPr>
      <w:rFonts w:eastAsiaTheme="minorEastAsia"/>
    </w:rPr>
  </w:style>
  <w:style w:type="paragraph" w:styleId="Footer">
    <w:name w:val="footer"/>
    <w:basedOn w:val="Normal"/>
    <w:link w:val="FooterChar"/>
    <w:pPr>
      <w:pBdr>
        <w:top w:val="nil"/>
        <w:left w:val="nil"/>
        <w:bottom w:val="nil"/>
        <w:right w:val="nil"/>
        <w:between w:val="nil"/>
      </w:pBdr>
      <w:tabs>
        <w:tab w:val="center" w:leader="none" w:pos="4680"/>
        <w:tab w:val="right" w:leader="none" w:pos="9360"/>
      </w:tabs>
      <w:spacing w:after="0" w:line="240" w:lineRule="auto"/>
    </w:pPr>
    <w:rPr/>
  </w:style>
  <w:style w:type="character" w:styleId="FooterChar">
    <w:name w:val="Footer Char"/>
    <w:basedOn w:val="DefaultParagraphFont"/>
    <w:link w:val="Footer"/>
    <w:pPr>
      <w:pBdr>
        <w:top w:val="nil"/>
        <w:left w:val="nil"/>
        <w:bottom w:val="nil"/>
        <w:right w:val="nil"/>
        <w:between w:val="nil"/>
      </w:pBdr>
    </w:pPr>
    <w:rPr>
      <w:rFonts w:eastAsiaTheme="minorEastAsia"/>
    </w:rPr>
  </w:style>
  <w:style w:type="table" w:styleId="MediumShading1-Accent1">
    <w:name w:val="Medium Shading 1 Accent 1"/>
    <w:basedOn w:val="TableNormal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/>
    <w:tblPr>
      <w:tblW w:w="0" w:type="dxa"/>
      <w:tblBorders>
        <w:top w:val="single" w:sz="8" w:color="7ba0cd" w:themeColor="accent1" w:themeTint="BF"/>
        <w:left w:val="single" w:sz="8" w:color="7ba0cd" w:themeColor="accent1" w:themeTint="BF"/>
        <w:bottom w:val="single" w:sz="8" w:color="7ba0cd" w:themeColor="accent1" w:themeTint="BF"/>
        <w:right w:val="single" w:sz="8" w:color="7ba0cd" w:themeColor="accent1" w:themeTint="BF"/>
        <w:insideH w:val="single" w:sz="8" w:color="7ba0cd" w:themeColor="accent1" w:themeTint="BF"/>
      </w:tblBorders>
    </w:tblPr>
    <w:trPr/>
    <w:tcPr/>
    <w:tblStylePr w:type="firstRow">
      <w:rPr>
        <w:b w:val="on"/>
        <w:color w:val="ffffff" w:themeColor="background1"/>
        <w:sz w:val="20"/>
        <w:szCs w:val="20"/>
      </w:rPr>
      <w:tcPr>
        <w:tcBorders>
          <w:top w:val="single" w:sz="8" w:color="7ba0cd" w:themeColor="accent1" w:themeTint="BF"/>
          <w:left w:val="single" w:sz="8" w:color="7ba0cd" w:themeColor="accent1" w:themeTint="BF"/>
          <w:bottom w:val="single" w:sz="8" w:color="7ba0cd" w:themeColor="accent1" w:themeTint="BF"/>
          <w:right w:val="single" w:sz="8" w:color="7ba0cd" w:themeColor="accent1" w:themeTint="BF"/>
        </w:tcBorders>
        <w:shd w:val="clear" w:color="auto" w:fill="4f81bd" w:themeFill="accent1"/>
      </w:tcPr>
    </w:tblStylePr>
    <w:tblStylePr w:type="lastRow">
      <w:rPr>
        <w:b w:val="on"/>
        <w:sz w:val="20"/>
        <w:szCs w:val="20"/>
      </w:rPr>
      <w:tcPr>
        <w:tcBorders>
          <w:top w:val="double" w:sz="6" w:color="7ba0cd" w:themeColor="accent1" w:themeTint="BF"/>
          <w:left w:val="single" w:sz="8" w:color="7ba0cd" w:themeColor="accent1" w:themeTint="BF"/>
          <w:bottom w:val="single" w:sz="8" w:color="7ba0cd" w:themeColor="accent1" w:themeTint="BF"/>
          <w:right w:val="single" w:sz="8" w:color="7ba0cd" w:themeColor="accent1" w:themeTint="BF"/>
        </w:tcBorders>
      </w:tcPr>
    </w:tblStylePr>
    <w:tblStylePr w:type="firstCol">
      <w:rPr>
        <w:b w:val="on"/>
        <w:sz w:val="20"/>
        <w:szCs w:val="20"/>
      </w:rPr>
      <w:tcPr/>
    </w:tblStylePr>
    <w:tblStylePr w:type="lastCol">
      <w:rPr>
        <w:b w:val="on"/>
        <w:sz w:val="20"/>
        <w:szCs w:val="20"/>
      </w:rPr>
      <w:tcPr/>
    </w:tblStylePr>
    <w:tblStylePr w:type="band1Vert">
      <w:rPr>
        <w:sz w:val="20"/>
        <w:szCs w:val="20"/>
      </w:rPr>
      <w:tcPr>
        <w:shd w:val="clear" w:color="auto" w:fill="d3dfee" w:themeFill="accent1" w:themeFillTint="3F"/>
      </w:tcPr>
    </w:tblStylePr>
    <w:tblStylePr w:type="band1Horz">
      <w:rPr>
        <w:sz w:val="20"/>
        <w:szCs w:val="20"/>
      </w:rPr>
      <w:tcPr>
        <w:shd w:val="clear" w:color="auto" w:fill="d3dfee" w:themeFill="accent1" w:themeFillTint="3F"/>
      </w:tcPr>
    </w:tblStylePr>
    <w:tblStylePr w:type="band2Horz">
      <w:rPr>
        <w:sz w:val="20"/>
        <w:szCs w:val="20"/>
      </w:rPr>
      <w:tcPr/>
    </w:tblStylePr>
  </w:style>
  <w:style w:type="table" w:styleId="LightGrid-Accent1">
    <w:name w:val="Light Grid Accent 1"/>
    <w:basedOn w:val="TableNormal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/>
    <w:tblPr>
      <w:tblW w:w="0" w:type="dxa"/>
      <w:tblBorders>
        <w:top w:val="single" w:sz="8" w:color="4f81bd" w:themeColor="accent1"/>
        <w:left w:val="single" w:sz="8" w:color="4f81bd" w:themeColor="accent1"/>
        <w:bottom w:val="single" w:sz="8" w:color="4f81bd" w:themeColor="accent1"/>
        <w:right w:val="single" w:sz="8" w:color="4f81bd" w:themeColor="accent1"/>
        <w:insideH w:val="single" w:sz="8" w:color="4f81bd" w:themeColor="accent1"/>
        <w:insideV w:val="single" w:sz="8" w:color="4f81bd" w:themeColor="accent1"/>
      </w:tblBorders>
    </w:tblPr>
    <w:trPr/>
    <w:tcPr/>
    <w:tblStylePr w:type="firstRow">
      <w:rPr>
        <w:rFonts w:asciiTheme="majorHAnsi" w:hAnsiTheme="majorHAnsi" w:cstheme="majorBidi" w:eastAsiaTheme="majorEastAsia"/>
        <w:b w:val="on"/>
        <w:sz w:val="20"/>
        <w:szCs w:val="20"/>
      </w:rPr>
      <w:tcPr>
        <w:tcBorders>
          <w:top w:val="single" w:sz="8" w:color="4f81bd" w:themeColor="accent1"/>
          <w:left w:val="single" w:sz="8" w:color="4f81bd" w:themeColor="accent1"/>
          <w:bottom w:val="single" w:sz="18" w:color="4f81bd" w:themeColor="accent1"/>
          <w:right w:val="single" w:sz="8" w:color="4f81bd" w:themeColor="accent1"/>
        </w:tcBorders>
      </w:tcPr>
    </w:tblStylePr>
    <w:tblStylePr w:type="lastRow">
      <w:rPr>
        <w:rFonts w:asciiTheme="majorHAnsi" w:hAnsiTheme="majorHAnsi" w:cstheme="majorBidi" w:eastAsiaTheme="majorEastAsia"/>
        <w:b w:val="on"/>
        <w:sz w:val="20"/>
        <w:szCs w:val="20"/>
      </w:rPr>
      <w:tcPr>
        <w:tcBorders>
          <w:top w:val="double" w:sz="6" w:color="4f81bd" w:themeColor="accent1"/>
          <w:left w:val="single" w:sz="8" w:color="4f81bd" w:themeColor="accent1"/>
          <w:bottom w:val="single" w:sz="8" w:color="4f81bd" w:themeColor="accent1"/>
          <w:right w:val="single" w:sz="8" w:color="4f81bd" w:themeColor="accent1"/>
        </w:tcBorders>
      </w:tcPr>
    </w:tblStylePr>
    <w:tblStylePr w:type="firstCol">
      <w:rPr>
        <w:rFonts w:asciiTheme="majorHAnsi" w:hAnsiTheme="majorHAnsi" w:cstheme="majorBidi" w:eastAsiaTheme="majorEastAsia"/>
        <w:b w:val="on"/>
        <w:sz w:val="20"/>
        <w:szCs w:val="20"/>
      </w:rPr>
      <w:tcPr/>
    </w:tblStylePr>
    <w:tblStylePr w:type="lastCol">
      <w:rPr>
        <w:rFonts w:asciiTheme="majorHAnsi" w:hAnsiTheme="majorHAnsi" w:cstheme="majorBidi" w:eastAsiaTheme="majorEastAsia"/>
        <w:b w:val="on"/>
        <w:sz w:val="20"/>
        <w:szCs w:val="20"/>
      </w:rPr>
      <w:tcPr>
        <w:tcBorders>
          <w:top w:val="single" w:sz="8" w:color="4f81bd" w:themeColor="accent1"/>
          <w:left w:val="single" w:sz="8" w:color="4f81bd" w:themeColor="accent1"/>
          <w:bottom w:val="single" w:sz="8" w:color="4f81bd" w:themeColor="accent1"/>
          <w:right w:val="single" w:sz="8" w:color="4f81bd" w:themeColor="accent1"/>
        </w:tcBorders>
      </w:tcPr>
    </w:tblStylePr>
    <w:tblStylePr w:type="band1Vert">
      <w:rPr>
        <w:sz w:val="20"/>
        <w:szCs w:val="20"/>
      </w:rPr>
      <w:tcPr>
        <w:tcBorders>
          <w:top w:val="single" w:sz="8" w:color="4f81bd" w:themeColor="accent1"/>
          <w:left w:val="single" w:sz="8" w:color="4f81bd" w:themeColor="accent1"/>
          <w:bottom w:val="single" w:sz="8" w:color="4f81bd" w:themeColor="accent1"/>
          <w:right w:val="single" w:sz="8" w:color="4f81bd" w:themeColor="accent1"/>
        </w:tcBorders>
        <w:shd w:val="clear" w:color="auto" w:fill="d3dfee" w:themeFill="accent1" w:themeFillTint="3F"/>
      </w:tcPr>
    </w:tblStylePr>
    <w:tblStylePr w:type="band1Horz">
      <w:rPr>
        <w:sz w:val="20"/>
        <w:szCs w:val="20"/>
      </w:rPr>
      <w:tcPr>
        <w:tcBorders>
          <w:top w:val="single" w:sz="8" w:color="4f81bd" w:themeColor="accent1"/>
          <w:left w:val="single" w:sz="8" w:color="4f81bd" w:themeColor="accent1"/>
          <w:bottom w:val="single" w:sz="8" w:color="4f81bd" w:themeColor="accent1"/>
          <w:right w:val="single" w:sz="8" w:color="4f81bd" w:themeColor="accent1"/>
        </w:tcBorders>
        <w:shd w:val="clear" w:color="auto" w:fill="d3dfee" w:themeFill="accent1" w:themeFillTint="3F"/>
      </w:tcPr>
    </w:tblStylePr>
    <w:tblStylePr w:type="band2Horz">
      <w:rPr>
        <w:sz w:val="20"/>
        <w:szCs w:val="20"/>
      </w:rPr>
      <w:tcPr>
        <w:tcBorders>
          <w:top w:val="single" w:sz="8" w:color="4f81bd" w:themeColor="accent1"/>
          <w:left w:val="single" w:sz="8" w:color="4f81bd" w:themeColor="accent1"/>
          <w:bottom w:val="single" w:sz="8" w:color="4f81bd" w:themeColor="accent1"/>
          <w:right w:val="single" w:sz="8" w:color="4f81bd" w:themeColor="accent1"/>
        </w:tcBorders>
      </w:tcPr>
    </w:tblStylePr>
  </w:style>
</w:styles>
</file>

<file path=word/_rels/document.xml.rels><?xml version="1.0" encoding="utf-8"?>
<Relationships xmlns="http://schemas.openxmlformats.org/package/2006/relationships">
  <Relationship Id="rId1" Type="http://schemas.openxmlformats.org/officeDocument/2006/relationships/settings" Target="settings.xml" />
  <Relationship Id="rId2" Type="http://schemas.openxmlformats.org/officeDocument/2006/relationships/fontTable" Target="fontTable.xml" />
  <Relationship Id="rId3" Type="http://schemas.openxmlformats.org/officeDocument/2006/relationships/styles" Target="styles.xml" />
  <Relationship Id="rId4" Type="http://schemas.openxmlformats.org/officeDocument/2006/relationships/theme" Target="theme/theme1.xml" />
  <Relationship Id="rId5" Type="http://schemas.openxmlformats.org/officeDocument/2006/relationships/header" Target="header1.xml" />
  <Relationship Id="rId6" Type="http://schemas.openxmlformats.org/officeDocument/2006/relationships/header" Target="header2.xml" />
  <Relationship Id="rId8" Type="http://schemas.openxmlformats.org/officeDocument/2006/relationships/header" Target="header3.xml" />
  <Relationship Id="rId9" Type="http://schemas.openxmlformats.org/officeDocument/2006/relationships/footer" Target="footer1.xml" />
  <Relationship Id="rId10" Type="http://schemas.openxmlformats.org/officeDocument/2006/relationships/footer" Target="footer2.xml" />
  <Relationship Id="rId11" Type="http://schemas.openxmlformats.org/officeDocument/2006/relationships/footer" Target="footer3.xml" />
  <Relationship Id="rId7" Type="http://schemas.openxmlformats.org/officeDocument/2006/relationships/image" Target="media/image1.png" />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Application>Microsoft Office Word</Application>
  <Company>Board of Water and Soil Resources (BWSR)</Company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2023-01-18T14:53:00Z</dcterms:created>
  <dcterms:modified xsi:type="dcterms:W3CDTF">2023-01-18T14:53:00Z</dcterms:modified>
</cp:coreProperties>
</file>