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B986" w14:textId="77777777" w:rsidR="00302AF4" w:rsidRDefault="00302AF4">
      <w:pPr>
        <w:pStyle w:val="BodyText"/>
        <w:spacing w:before="1"/>
        <w:rPr>
          <w:rFonts w:ascii="Times New Roman"/>
          <w:sz w:val="26"/>
        </w:rPr>
      </w:pPr>
    </w:p>
    <w:p w14:paraId="094D174F" w14:textId="77777777" w:rsidR="00302AF4" w:rsidRDefault="004566A3">
      <w:pPr>
        <w:pStyle w:val="BodyText"/>
        <w:ind w:left="3115"/>
        <w:rPr>
          <w:rFonts w:ascii="Times New Roman"/>
          <w:sz w:val="20"/>
        </w:rPr>
      </w:pPr>
      <w:r>
        <w:rPr>
          <w:rFonts w:ascii="Times New Roman"/>
          <w:noProof/>
          <w:sz w:val="20"/>
        </w:rPr>
        <w:drawing>
          <wp:inline distT="0" distB="0" distL="0" distR="0" wp14:anchorId="414F378C" wp14:editId="1712D818">
            <wp:extent cx="2120670" cy="14201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20670" cy="1420177"/>
                    </a:xfrm>
                    <a:prstGeom prst="rect">
                      <a:avLst/>
                    </a:prstGeom>
                  </pic:spPr>
                </pic:pic>
              </a:graphicData>
            </a:graphic>
          </wp:inline>
        </w:drawing>
      </w:r>
    </w:p>
    <w:p w14:paraId="6D83EC11" w14:textId="77777777" w:rsidR="00302AF4" w:rsidRDefault="00302AF4">
      <w:pPr>
        <w:pStyle w:val="BodyText"/>
        <w:rPr>
          <w:rFonts w:ascii="Times New Roman"/>
          <w:sz w:val="20"/>
        </w:rPr>
      </w:pPr>
    </w:p>
    <w:p w14:paraId="7904351E" w14:textId="77777777" w:rsidR="00302AF4" w:rsidRDefault="00302AF4">
      <w:pPr>
        <w:pStyle w:val="BodyText"/>
        <w:rPr>
          <w:rFonts w:ascii="Times New Roman"/>
          <w:sz w:val="20"/>
        </w:rPr>
      </w:pPr>
    </w:p>
    <w:p w14:paraId="3176C44C" w14:textId="77777777" w:rsidR="00302AF4" w:rsidRDefault="00302AF4">
      <w:pPr>
        <w:pStyle w:val="BodyText"/>
        <w:rPr>
          <w:rFonts w:ascii="Times New Roman"/>
          <w:sz w:val="17"/>
        </w:rPr>
      </w:pPr>
    </w:p>
    <w:p w14:paraId="34556FF3" w14:textId="77777777" w:rsidR="00302AF4" w:rsidRDefault="004566A3">
      <w:pPr>
        <w:pStyle w:val="Heading1"/>
        <w:spacing w:before="92" w:line="547" w:lineRule="auto"/>
        <w:ind w:left="4075" w:right="2365" w:hanging="1710"/>
        <w:jc w:val="both"/>
      </w:pPr>
      <w:r>
        <w:t xml:space="preserve">Funding Guidelines and Grant Procedures </w:t>
      </w:r>
      <w:r>
        <w:rPr>
          <w:u w:val="single"/>
        </w:rPr>
        <w:t>Our Mission</w:t>
      </w:r>
    </w:p>
    <w:p w14:paraId="4CB49D09" w14:textId="77777777" w:rsidR="00302AF4" w:rsidRDefault="004566A3">
      <w:pPr>
        <w:pStyle w:val="BodyText"/>
        <w:spacing w:before="2" w:line="288" w:lineRule="auto"/>
        <w:ind w:left="100" w:right="102"/>
        <w:jc w:val="both"/>
      </w:pPr>
      <w:r>
        <w:t>The Rumson Education Foundation is dedicated to enhancing the educational experience of all Deane-Porter and Forrestdale School students. Through community fundraising and an annual collaborative grant making process, the REF provides funding for innovative projects, initiatives and equipment that enrich the curriculum and the learning environment within the Rumson School District.</w:t>
      </w:r>
    </w:p>
    <w:p w14:paraId="47F9415A" w14:textId="77777777" w:rsidR="00302AF4" w:rsidRDefault="00302AF4">
      <w:pPr>
        <w:pStyle w:val="BodyText"/>
        <w:spacing w:before="2"/>
        <w:rPr>
          <w:sz w:val="28"/>
        </w:rPr>
      </w:pPr>
    </w:p>
    <w:p w14:paraId="404D06CB" w14:textId="77777777" w:rsidR="00302AF4" w:rsidRDefault="004566A3">
      <w:pPr>
        <w:pStyle w:val="Heading1"/>
      </w:pPr>
      <w:r>
        <w:rPr>
          <w:u w:val="single"/>
        </w:rPr>
        <w:t>Grant Eligibility</w:t>
      </w:r>
    </w:p>
    <w:p w14:paraId="660A5F34" w14:textId="77777777" w:rsidR="00302AF4" w:rsidRDefault="00302AF4">
      <w:pPr>
        <w:pStyle w:val="BodyText"/>
        <w:spacing w:before="9"/>
        <w:rPr>
          <w:b/>
          <w:sz w:val="30"/>
        </w:rPr>
      </w:pPr>
    </w:p>
    <w:p w14:paraId="36F33657" w14:textId="77777777" w:rsidR="00302AF4" w:rsidRDefault="004566A3">
      <w:pPr>
        <w:pStyle w:val="BodyText"/>
        <w:spacing w:line="288" w:lineRule="auto"/>
        <w:ind w:left="100" w:right="105"/>
        <w:jc w:val="both"/>
      </w:pPr>
      <w:r>
        <w:t>Teachers, administrators, staff members and individual members of the community are eligible to apply for grants from the REF.</w:t>
      </w:r>
    </w:p>
    <w:p w14:paraId="2B788963" w14:textId="77777777" w:rsidR="00302AF4" w:rsidRDefault="00302AF4">
      <w:pPr>
        <w:pStyle w:val="BodyText"/>
        <w:spacing w:before="10"/>
        <w:rPr>
          <w:sz w:val="25"/>
        </w:rPr>
      </w:pPr>
    </w:p>
    <w:p w14:paraId="4A3B7661" w14:textId="77777777" w:rsidR="00302AF4" w:rsidRDefault="004566A3">
      <w:pPr>
        <w:pStyle w:val="Heading1"/>
      </w:pPr>
      <w:r>
        <w:rPr>
          <w:u w:val="single"/>
        </w:rPr>
        <w:t>Grant Criteria and Considerations</w:t>
      </w:r>
    </w:p>
    <w:p w14:paraId="663931CA" w14:textId="77777777" w:rsidR="00302AF4" w:rsidRDefault="00302AF4">
      <w:pPr>
        <w:pStyle w:val="BodyText"/>
        <w:spacing w:before="4"/>
        <w:rPr>
          <w:b/>
          <w:sz w:val="33"/>
        </w:rPr>
      </w:pPr>
    </w:p>
    <w:p w14:paraId="3B380852" w14:textId="77777777" w:rsidR="00302AF4" w:rsidRDefault="004566A3">
      <w:pPr>
        <w:pStyle w:val="BodyText"/>
        <w:spacing w:before="1"/>
        <w:ind w:left="100"/>
        <w:jc w:val="both"/>
      </w:pPr>
      <w:r>
        <w:t>The REF has proudly funded grants that have met some or all of the following criteria:</w:t>
      </w:r>
    </w:p>
    <w:p w14:paraId="6FA407E1" w14:textId="77777777" w:rsidR="00302AF4" w:rsidRDefault="004566A3">
      <w:pPr>
        <w:pStyle w:val="ListParagraph"/>
        <w:numPr>
          <w:ilvl w:val="0"/>
          <w:numId w:val="1"/>
        </w:numPr>
        <w:tabs>
          <w:tab w:val="left" w:pos="371"/>
        </w:tabs>
        <w:spacing w:before="54" w:line="288" w:lineRule="auto"/>
        <w:ind w:right="105" w:firstLine="0"/>
        <w:rPr>
          <w:sz w:val="24"/>
        </w:rPr>
      </w:pPr>
      <w:r>
        <w:rPr>
          <w:sz w:val="24"/>
        </w:rPr>
        <w:t xml:space="preserve">Grants that enhance the existing academic program, curriculum, guidance </w:t>
      </w:r>
      <w:r>
        <w:rPr>
          <w:spacing w:val="-6"/>
          <w:sz w:val="24"/>
        </w:rPr>
        <w:t xml:space="preserve">or </w:t>
      </w:r>
      <w:r>
        <w:rPr>
          <w:sz w:val="24"/>
        </w:rPr>
        <w:t>counseling functions, and District staff development;</w:t>
      </w:r>
    </w:p>
    <w:p w14:paraId="02CF37A1" w14:textId="77777777" w:rsidR="00302AF4" w:rsidRDefault="00302AF4">
      <w:pPr>
        <w:pStyle w:val="BodyText"/>
        <w:spacing w:before="10"/>
        <w:rPr>
          <w:sz w:val="25"/>
        </w:rPr>
      </w:pPr>
    </w:p>
    <w:p w14:paraId="6295DCC0" w14:textId="77777777" w:rsidR="00302AF4" w:rsidRDefault="004566A3">
      <w:pPr>
        <w:pStyle w:val="ListParagraph"/>
        <w:numPr>
          <w:ilvl w:val="0"/>
          <w:numId w:val="1"/>
        </w:numPr>
        <w:tabs>
          <w:tab w:val="left" w:pos="266"/>
        </w:tabs>
        <w:spacing w:line="288" w:lineRule="auto"/>
        <w:ind w:right="112" w:firstLine="0"/>
        <w:rPr>
          <w:sz w:val="24"/>
        </w:rPr>
      </w:pPr>
      <w:r>
        <w:rPr>
          <w:sz w:val="24"/>
        </w:rPr>
        <w:t>Grants that will enrich, not duplicate or replace, the current curriculum and educational structure of the District;</w:t>
      </w:r>
    </w:p>
    <w:p w14:paraId="2A42939C" w14:textId="77777777" w:rsidR="00302AF4" w:rsidRDefault="00302AF4">
      <w:pPr>
        <w:pStyle w:val="BodyText"/>
        <w:spacing w:before="10"/>
        <w:rPr>
          <w:sz w:val="25"/>
        </w:rPr>
      </w:pPr>
    </w:p>
    <w:p w14:paraId="57259AB1" w14:textId="77777777" w:rsidR="00302AF4" w:rsidRDefault="004566A3">
      <w:pPr>
        <w:pStyle w:val="ListParagraph"/>
        <w:numPr>
          <w:ilvl w:val="0"/>
          <w:numId w:val="1"/>
        </w:numPr>
        <w:tabs>
          <w:tab w:val="left" w:pos="251"/>
        </w:tabs>
        <w:ind w:left="250" w:hanging="151"/>
        <w:rPr>
          <w:sz w:val="24"/>
        </w:rPr>
      </w:pPr>
      <w:r>
        <w:rPr>
          <w:sz w:val="24"/>
        </w:rPr>
        <w:t>Grants that reflect the strategic vision and goals of the District;</w:t>
      </w:r>
    </w:p>
    <w:p w14:paraId="58AC5C07" w14:textId="77777777" w:rsidR="00302AF4" w:rsidRDefault="00302AF4">
      <w:pPr>
        <w:pStyle w:val="BodyText"/>
        <w:spacing w:before="9"/>
        <w:rPr>
          <w:sz w:val="30"/>
        </w:rPr>
      </w:pPr>
    </w:p>
    <w:p w14:paraId="67536FAD" w14:textId="77777777" w:rsidR="00302AF4" w:rsidRDefault="004566A3">
      <w:pPr>
        <w:pStyle w:val="ListParagraph"/>
        <w:numPr>
          <w:ilvl w:val="0"/>
          <w:numId w:val="1"/>
        </w:numPr>
        <w:tabs>
          <w:tab w:val="left" w:pos="326"/>
        </w:tabs>
        <w:spacing w:line="288" w:lineRule="auto"/>
        <w:ind w:right="100" w:firstLine="0"/>
        <w:rPr>
          <w:sz w:val="24"/>
        </w:rPr>
      </w:pPr>
      <w:r>
        <w:rPr>
          <w:sz w:val="24"/>
        </w:rPr>
        <w:t>Grants that impact a broad number of students and have lasting or sustainable educational value;</w:t>
      </w:r>
    </w:p>
    <w:p w14:paraId="06F038B6" w14:textId="77777777" w:rsidR="00302AF4" w:rsidRDefault="00302AF4">
      <w:pPr>
        <w:spacing w:line="288" w:lineRule="auto"/>
        <w:rPr>
          <w:sz w:val="24"/>
        </w:rPr>
        <w:sectPr w:rsidR="00302AF4">
          <w:type w:val="continuous"/>
          <w:pgSz w:w="12240" w:h="15840"/>
          <w:pgMar w:top="1500" w:right="1340" w:bottom="280" w:left="1340" w:header="720" w:footer="720" w:gutter="0"/>
          <w:cols w:space="720"/>
        </w:sectPr>
      </w:pPr>
    </w:p>
    <w:p w14:paraId="48BC5111" w14:textId="77777777" w:rsidR="00302AF4" w:rsidRDefault="004566A3">
      <w:pPr>
        <w:pStyle w:val="ListParagraph"/>
        <w:numPr>
          <w:ilvl w:val="0"/>
          <w:numId w:val="1"/>
        </w:numPr>
        <w:tabs>
          <w:tab w:val="left" w:pos="251"/>
        </w:tabs>
        <w:spacing w:before="80"/>
        <w:ind w:left="250" w:hanging="151"/>
        <w:rPr>
          <w:sz w:val="24"/>
        </w:rPr>
      </w:pPr>
      <w:r>
        <w:rPr>
          <w:sz w:val="24"/>
        </w:rPr>
        <w:lastRenderedPageBreak/>
        <w:t>Grants that are innovative and creative in teaching and/or learning tied to curriculum;</w:t>
      </w:r>
    </w:p>
    <w:p w14:paraId="7B7EE6CB" w14:textId="77777777" w:rsidR="00302AF4" w:rsidRDefault="00302AF4">
      <w:pPr>
        <w:pStyle w:val="BodyText"/>
        <w:spacing w:before="8"/>
        <w:rPr>
          <w:sz w:val="30"/>
        </w:rPr>
      </w:pPr>
    </w:p>
    <w:p w14:paraId="4E68EFFB" w14:textId="77777777" w:rsidR="00302AF4" w:rsidRDefault="004566A3">
      <w:pPr>
        <w:pStyle w:val="ListParagraph"/>
        <w:numPr>
          <w:ilvl w:val="0"/>
          <w:numId w:val="1"/>
        </w:numPr>
        <w:tabs>
          <w:tab w:val="left" w:pos="311"/>
        </w:tabs>
        <w:spacing w:before="1" w:line="288" w:lineRule="auto"/>
        <w:ind w:right="109" w:firstLine="0"/>
        <w:rPr>
          <w:sz w:val="24"/>
        </w:rPr>
      </w:pPr>
      <w:r>
        <w:rPr>
          <w:sz w:val="24"/>
        </w:rPr>
        <w:t xml:space="preserve">Grants whose results can be evaluated by some measure of quality and can </w:t>
      </w:r>
      <w:r>
        <w:rPr>
          <w:spacing w:val="-8"/>
          <w:sz w:val="24"/>
        </w:rPr>
        <w:t xml:space="preserve">be </w:t>
      </w:r>
      <w:r>
        <w:rPr>
          <w:sz w:val="24"/>
        </w:rPr>
        <w:t>expanded and replicated if successful.</w:t>
      </w:r>
    </w:p>
    <w:p w14:paraId="2ACB624D" w14:textId="77777777" w:rsidR="00302AF4" w:rsidRDefault="00302AF4">
      <w:pPr>
        <w:pStyle w:val="BodyText"/>
        <w:rPr>
          <w:sz w:val="26"/>
        </w:rPr>
      </w:pPr>
    </w:p>
    <w:p w14:paraId="5786EFF3" w14:textId="77777777" w:rsidR="00302AF4" w:rsidRDefault="00302AF4">
      <w:pPr>
        <w:pStyle w:val="BodyText"/>
        <w:spacing w:before="11"/>
        <w:rPr>
          <w:sz w:val="25"/>
        </w:rPr>
      </w:pPr>
    </w:p>
    <w:p w14:paraId="6EB01E28" w14:textId="77777777" w:rsidR="00302AF4" w:rsidRDefault="004566A3">
      <w:pPr>
        <w:pStyle w:val="Heading1"/>
        <w:ind w:left="100" w:right="0"/>
        <w:jc w:val="both"/>
      </w:pPr>
      <w:r>
        <w:t>The REF has traditionally not funded the following types of grants:</w:t>
      </w:r>
    </w:p>
    <w:p w14:paraId="7581DF69" w14:textId="77777777" w:rsidR="00302AF4" w:rsidRDefault="00302AF4">
      <w:pPr>
        <w:pStyle w:val="BodyText"/>
        <w:spacing w:before="9"/>
        <w:rPr>
          <w:b/>
          <w:sz w:val="30"/>
        </w:rPr>
      </w:pPr>
    </w:p>
    <w:p w14:paraId="1264BB27" w14:textId="77777777" w:rsidR="00302AF4" w:rsidRDefault="004566A3">
      <w:pPr>
        <w:pStyle w:val="ListParagraph"/>
        <w:numPr>
          <w:ilvl w:val="0"/>
          <w:numId w:val="1"/>
        </w:numPr>
        <w:tabs>
          <w:tab w:val="left" w:pos="326"/>
        </w:tabs>
        <w:spacing w:line="288" w:lineRule="auto"/>
        <w:ind w:right="102" w:firstLine="0"/>
        <w:rPr>
          <w:sz w:val="24"/>
        </w:rPr>
      </w:pPr>
      <w:r>
        <w:rPr>
          <w:sz w:val="24"/>
        </w:rPr>
        <w:t xml:space="preserve">Grants that replace or relieve existing responsibility for public funding of </w:t>
      </w:r>
      <w:r>
        <w:rPr>
          <w:spacing w:val="-3"/>
          <w:sz w:val="24"/>
        </w:rPr>
        <w:t xml:space="preserve">school </w:t>
      </w:r>
      <w:r>
        <w:rPr>
          <w:sz w:val="24"/>
        </w:rPr>
        <w:t>programs;</w:t>
      </w:r>
    </w:p>
    <w:p w14:paraId="3D6C9252" w14:textId="77777777" w:rsidR="00302AF4" w:rsidRDefault="00302AF4">
      <w:pPr>
        <w:pStyle w:val="BodyText"/>
        <w:spacing w:before="10"/>
        <w:rPr>
          <w:sz w:val="25"/>
        </w:rPr>
      </w:pPr>
    </w:p>
    <w:p w14:paraId="093634C0" w14:textId="77777777" w:rsidR="00302AF4" w:rsidRDefault="004566A3">
      <w:pPr>
        <w:pStyle w:val="ListParagraph"/>
        <w:numPr>
          <w:ilvl w:val="0"/>
          <w:numId w:val="1"/>
        </w:numPr>
        <w:tabs>
          <w:tab w:val="left" w:pos="251"/>
        </w:tabs>
        <w:ind w:left="250" w:hanging="151"/>
        <w:rPr>
          <w:sz w:val="24"/>
        </w:rPr>
      </w:pPr>
      <w:r>
        <w:rPr>
          <w:sz w:val="24"/>
        </w:rPr>
        <w:t>Grants that fund teacher stipends or substitute teacher fees;</w:t>
      </w:r>
    </w:p>
    <w:p w14:paraId="7F925EDF" w14:textId="77777777" w:rsidR="00302AF4" w:rsidRDefault="00302AF4">
      <w:pPr>
        <w:pStyle w:val="BodyText"/>
        <w:spacing w:before="9"/>
        <w:rPr>
          <w:sz w:val="30"/>
        </w:rPr>
      </w:pPr>
    </w:p>
    <w:p w14:paraId="2D4E88E6" w14:textId="77777777" w:rsidR="00302AF4" w:rsidRDefault="004566A3">
      <w:pPr>
        <w:pStyle w:val="ListParagraph"/>
        <w:numPr>
          <w:ilvl w:val="0"/>
          <w:numId w:val="1"/>
        </w:numPr>
        <w:tabs>
          <w:tab w:val="left" w:pos="266"/>
        </w:tabs>
        <w:spacing w:line="288" w:lineRule="auto"/>
        <w:ind w:right="112" w:firstLine="0"/>
        <w:rPr>
          <w:sz w:val="24"/>
        </w:rPr>
      </w:pPr>
      <w:r>
        <w:rPr>
          <w:sz w:val="24"/>
        </w:rPr>
        <w:t>Grants that require costs associated with District capital expenditures and instructional materials typically funded by state budgets;</w:t>
      </w:r>
    </w:p>
    <w:p w14:paraId="38E6AB02" w14:textId="77777777" w:rsidR="00302AF4" w:rsidRDefault="00302AF4">
      <w:pPr>
        <w:pStyle w:val="BodyText"/>
        <w:spacing w:before="10"/>
        <w:rPr>
          <w:sz w:val="25"/>
        </w:rPr>
      </w:pPr>
    </w:p>
    <w:p w14:paraId="043B4233" w14:textId="77777777" w:rsidR="00302AF4" w:rsidRDefault="004566A3">
      <w:pPr>
        <w:pStyle w:val="ListParagraph"/>
        <w:numPr>
          <w:ilvl w:val="0"/>
          <w:numId w:val="1"/>
        </w:numPr>
        <w:tabs>
          <w:tab w:val="left" w:pos="251"/>
        </w:tabs>
        <w:ind w:left="250" w:hanging="151"/>
        <w:rPr>
          <w:sz w:val="24"/>
        </w:rPr>
      </w:pPr>
      <w:r>
        <w:rPr>
          <w:sz w:val="24"/>
        </w:rPr>
        <w:t>Grants that fund food or standard consumable classroom supplies;</w:t>
      </w:r>
    </w:p>
    <w:p w14:paraId="7067432A" w14:textId="77777777" w:rsidR="00302AF4" w:rsidRDefault="00302AF4">
      <w:pPr>
        <w:pStyle w:val="BodyText"/>
        <w:spacing w:before="9"/>
        <w:rPr>
          <w:sz w:val="30"/>
        </w:rPr>
      </w:pPr>
    </w:p>
    <w:p w14:paraId="44889BA4" w14:textId="77777777" w:rsidR="00302AF4" w:rsidRDefault="004566A3">
      <w:pPr>
        <w:pStyle w:val="ListParagraph"/>
        <w:numPr>
          <w:ilvl w:val="0"/>
          <w:numId w:val="1"/>
        </w:numPr>
        <w:tabs>
          <w:tab w:val="left" w:pos="251"/>
        </w:tabs>
        <w:ind w:left="250" w:hanging="151"/>
        <w:rPr>
          <w:sz w:val="24"/>
        </w:rPr>
      </w:pPr>
      <w:r>
        <w:rPr>
          <w:sz w:val="24"/>
        </w:rPr>
        <w:t>Grants that fund transportation;</w:t>
      </w:r>
    </w:p>
    <w:p w14:paraId="47C7C64F" w14:textId="77777777" w:rsidR="00302AF4" w:rsidRDefault="00302AF4">
      <w:pPr>
        <w:pStyle w:val="BodyText"/>
        <w:spacing w:before="9"/>
        <w:rPr>
          <w:sz w:val="30"/>
        </w:rPr>
      </w:pPr>
    </w:p>
    <w:p w14:paraId="560F9579" w14:textId="77777777" w:rsidR="00302AF4" w:rsidRDefault="004566A3">
      <w:pPr>
        <w:pStyle w:val="ListParagraph"/>
        <w:numPr>
          <w:ilvl w:val="0"/>
          <w:numId w:val="1"/>
        </w:numPr>
        <w:tabs>
          <w:tab w:val="left" w:pos="251"/>
        </w:tabs>
        <w:ind w:left="250" w:hanging="151"/>
        <w:rPr>
          <w:sz w:val="24"/>
        </w:rPr>
      </w:pPr>
      <w:r>
        <w:rPr>
          <w:sz w:val="24"/>
        </w:rPr>
        <w:t>Grants that fund one-time speakers, assemblies, performances or presentations;</w:t>
      </w:r>
    </w:p>
    <w:p w14:paraId="2EE61574" w14:textId="77777777" w:rsidR="00302AF4" w:rsidRDefault="00302AF4">
      <w:pPr>
        <w:pStyle w:val="BodyText"/>
        <w:spacing w:before="9"/>
        <w:rPr>
          <w:sz w:val="30"/>
        </w:rPr>
      </w:pPr>
    </w:p>
    <w:p w14:paraId="4BD1DC74" w14:textId="77777777" w:rsidR="00302AF4" w:rsidRDefault="004566A3">
      <w:pPr>
        <w:pStyle w:val="ListParagraph"/>
        <w:numPr>
          <w:ilvl w:val="0"/>
          <w:numId w:val="1"/>
        </w:numPr>
        <w:tabs>
          <w:tab w:val="left" w:pos="281"/>
        </w:tabs>
        <w:spacing w:line="288" w:lineRule="auto"/>
        <w:ind w:right="113" w:firstLine="0"/>
        <w:rPr>
          <w:sz w:val="24"/>
        </w:rPr>
      </w:pPr>
      <w:r>
        <w:rPr>
          <w:sz w:val="24"/>
        </w:rPr>
        <w:t>Grants that fund non-specific expenses. Please use the budget worksheet within the application to clearly define and list budget items.</w:t>
      </w:r>
    </w:p>
    <w:p w14:paraId="4D033BC3" w14:textId="77777777" w:rsidR="00302AF4" w:rsidRDefault="00302AF4">
      <w:pPr>
        <w:pStyle w:val="BodyText"/>
        <w:spacing w:before="10"/>
        <w:rPr>
          <w:sz w:val="25"/>
        </w:rPr>
      </w:pPr>
    </w:p>
    <w:p w14:paraId="101877B7" w14:textId="77777777" w:rsidR="00302AF4" w:rsidRDefault="004566A3">
      <w:pPr>
        <w:pStyle w:val="ListParagraph"/>
        <w:numPr>
          <w:ilvl w:val="0"/>
          <w:numId w:val="1"/>
        </w:numPr>
        <w:tabs>
          <w:tab w:val="left" w:pos="251"/>
        </w:tabs>
        <w:spacing w:before="1"/>
        <w:ind w:left="250" w:hanging="151"/>
        <w:rPr>
          <w:sz w:val="24"/>
        </w:rPr>
      </w:pPr>
      <w:r>
        <w:rPr>
          <w:sz w:val="24"/>
        </w:rPr>
        <w:t>Grants that require ongoing costs or maintenance.</w:t>
      </w:r>
    </w:p>
    <w:p w14:paraId="15B57316" w14:textId="77777777" w:rsidR="00302AF4" w:rsidRDefault="00302AF4">
      <w:pPr>
        <w:pStyle w:val="BodyText"/>
        <w:rPr>
          <w:sz w:val="26"/>
        </w:rPr>
      </w:pPr>
    </w:p>
    <w:p w14:paraId="6D0CD108" w14:textId="77777777" w:rsidR="00302AF4" w:rsidRDefault="00302AF4">
      <w:pPr>
        <w:pStyle w:val="BodyText"/>
        <w:spacing w:before="5"/>
        <w:rPr>
          <w:sz w:val="33"/>
        </w:rPr>
      </w:pPr>
    </w:p>
    <w:p w14:paraId="1FBC0908" w14:textId="77777777" w:rsidR="00302AF4" w:rsidRDefault="004566A3">
      <w:pPr>
        <w:pStyle w:val="BodyText"/>
        <w:spacing w:line="288" w:lineRule="auto"/>
        <w:ind w:left="100" w:right="100"/>
        <w:jc w:val="both"/>
      </w:pPr>
      <w:r>
        <w:t>The above funding guidelines, procedures and requirements represent the guiding principles of the REF. Under various circumstances, the Board of Directors may choose to provide or not provide funding which may differ from the terms of these guidelines.</w:t>
      </w:r>
    </w:p>
    <w:p w14:paraId="0BB34BC1" w14:textId="77777777" w:rsidR="00302AF4" w:rsidRDefault="00302AF4">
      <w:pPr>
        <w:pStyle w:val="BodyText"/>
        <w:spacing w:before="9"/>
        <w:rPr>
          <w:sz w:val="25"/>
        </w:rPr>
      </w:pPr>
    </w:p>
    <w:p w14:paraId="0C587664" w14:textId="1525DF48" w:rsidR="00E00CD0" w:rsidRDefault="004566A3" w:rsidP="00E00CD0">
      <w:pPr>
        <w:pStyle w:val="BodyText"/>
        <w:spacing w:line="288" w:lineRule="auto"/>
        <w:ind w:left="100" w:right="134"/>
        <w:jc w:val="both"/>
      </w:pPr>
      <w:r>
        <w:t xml:space="preserve">REF welcomes inquiries prior to writing grant applications to discuss viability of projects. Please contact the </w:t>
      </w:r>
      <w:r w:rsidR="00E00CD0">
        <w:t>following REF Board Members with any questions:</w:t>
      </w:r>
    </w:p>
    <w:p w14:paraId="3E119247" w14:textId="71531F6D" w:rsidR="00E00CD0" w:rsidRDefault="00E00CD0" w:rsidP="00D5549D">
      <w:pPr>
        <w:pStyle w:val="BodyText"/>
        <w:ind w:firstLine="720"/>
      </w:pPr>
      <w:r>
        <w:t xml:space="preserve">Lauren </w:t>
      </w:r>
      <w:proofErr w:type="spellStart"/>
      <w:r>
        <w:t>Salata</w:t>
      </w:r>
      <w:proofErr w:type="spellEnd"/>
      <w:r w:rsidR="00D5549D">
        <w:t xml:space="preserve"> and Ciara Dagostino</w:t>
      </w:r>
      <w:r>
        <w:t xml:space="preserve"> </w:t>
      </w:r>
    </w:p>
    <w:p w14:paraId="1CE98C37" w14:textId="2744C549" w:rsidR="00D5549D" w:rsidRDefault="00D5549D" w:rsidP="00D5549D">
      <w:pPr>
        <w:pStyle w:val="BodyText"/>
        <w:ind w:firstLine="720"/>
      </w:pPr>
      <w:hyperlink r:id="rId6" w:history="1">
        <w:r w:rsidRPr="008D7758">
          <w:rPr>
            <w:rStyle w:val="Hyperlink"/>
          </w:rPr>
          <w:t>Rumsoneducationfoundation@gmail.com</w:t>
        </w:r>
      </w:hyperlink>
    </w:p>
    <w:p w14:paraId="0529AD8E" w14:textId="145136F2" w:rsidR="00E00CD0" w:rsidRDefault="00E00CD0" w:rsidP="00E00CD0">
      <w:pPr>
        <w:pStyle w:val="Heading1"/>
        <w:rPr>
          <w:u w:val="single"/>
        </w:rPr>
      </w:pPr>
    </w:p>
    <w:p w14:paraId="4BA21843" w14:textId="77777777" w:rsidR="00D5549D" w:rsidRDefault="00D5549D" w:rsidP="00E00CD0">
      <w:pPr>
        <w:pStyle w:val="Heading1"/>
        <w:rPr>
          <w:u w:val="single"/>
        </w:rPr>
      </w:pPr>
    </w:p>
    <w:p w14:paraId="4F3C16BE" w14:textId="77777777" w:rsidR="00D5549D" w:rsidRDefault="00D5549D" w:rsidP="00E00CD0">
      <w:pPr>
        <w:pStyle w:val="Heading1"/>
        <w:rPr>
          <w:u w:val="single"/>
        </w:rPr>
      </w:pPr>
    </w:p>
    <w:p w14:paraId="2E1AA099" w14:textId="2489A2ED" w:rsidR="00302AF4" w:rsidRDefault="004566A3" w:rsidP="00E00CD0">
      <w:pPr>
        <w:pStyle w:val="Heading1"/>
        <w:sectPr w:rsidR="00302AF4">
          <w:pgSz w:w="12240" w:h="15840"/>
          <w:pgMar w:top="1360" w:right="1340" w:bottom="280" w:left="1340" w:header="720" w:footer="720" w:gutter="0"/>
          <w:cols w:space="720"/>
        </w:sectPr>
      </w:pPr>
      <w:r>
        <w:rPr>
          <w:u w:val="single"/>
        </w:rPr>
        <w:t>Grant Appli</w:t>
      </w:r>
      <w:r w:rsidR="00E00CD0">
        <w:rPr>
          <w:u w:val="single"/>
        </w:rPr>
        <w:t>c</w:t>
      </w:r>
      <w:r>
        <w:rPr>
          <w:u w:val="single"/>
        </w:rPr>
        <w:t>ation Proces</w:t>
      </w:r>
      <w:r w:rsidR="00E00CD0">
        <w:rPr>
          <w:u w:val="single"/>
        </w:rPr>
        <w:t>s</w:t>
      </w:r>
    </w:p>
    <w:p w14:paraId="4E8FC8A0" w14:textId="53B2CB6E" w:rsidR="00302AF4" w:rsidRDefault="004566A3">
      <w:pPr>
        <w:pStyle w:val="ListParagraph"/>
        <w:numPr>
          <w:ilvl w:val="0"/>
          <w:numId w:val="1"/>
        </w:numPr>
        <w:tabs>
          <w:tab w:val="left" w:pos="311"/>
        </w:tabs>
        <w:spacing w:before="80" w:line="288" w:lineRule="auto"/>
        <w:ind w:right="112" w:firstLine="0"/>
        <w:jc w:val="both"/>
        <w:rPr>
          <w:sz w:val="24"/>
        </w:rPr>
      </w:pPr>
      <w:r>
        <w:rPr>
          <w:sz w:val="24"/>
        </w:rPr>
        <w:lastRenderedPageBreak/>
        <w:t xml:space="preserve">Grant applications are accepted from </w:t>
      </w:r>
      <w:r w:rsidR="00071D25">
        <w:rPr>
          <w:sz w:val="24"/>
        </w:rPr>
        <w:t xml:space="preserve">November 28, </w:t>
      </w:r>
      <w:proofErr w:type="gramStart"/>
      <w:r w:rsidR="00071D25">
        <w:rPr>
          <w:sz w:val="24"/>
        </w:rPr>
        <w:t>2022</w:t>
      </w:r>
      <w:proofErr w:type="gramEnd"/>
      <w:r>
        <w:rPr>
          <w:sz w:val="24"/>
        </w:rPr>
        <w:t xml:space="preserve"> through </w:t>
      </w:r>
      <w:r w:rsidR="00071D25">
        <w:rPr>
          <w:sz w:val="24"/>
        </w:rPr>
        <w:t>December 16, 2022</w:t>
      </w:r>
      <w:r>
        <w:rPr>
          <w:spacing w:val="-3"/>
          <w:sz w:val="24"/>
        </w:rPr>
        <w:t xml:space="preserve">. </w:t>
      </w:r>
      <w:r>
        <w:rPr>
          <w:sz w:val="24"/>
        </w:rPr>
        <w:t xml:space="preserve">Applications received after </w:t>
      </w:r>
      <w:r w:rsidR="00071D25">
        <w:rPr>
          <w:sz w:val="24"/>
        </w:rPr>
        <w:t>December 16, 2022</w:t>
      </w:r>
      <w:r>
        <w:rPr>
          <w:sz w:val="24"/>
        </w:rPr>
        <w:t>, will be returned to the applicant and they may be resubmitted in the following year for competitive review.</w:t>
      </w:r>
    </w:p>
    <w:p w14:paraId="7D10810E" w14:textId="77777777" w:rsidR="00302AF4" w:rsidRDefault="00302AF4">
      <w:pPr>
        <w:pStyle w:val="BodyText"/>
        <w:spacing w:before="8"/>
        <w:rPr>
          <w:sz w:val="25"/>
        </w:rPr>
      </w:pPr>
    </w:p>
    <w:p w14:paraId="7D33FB9B" w14:textId="77777777" w:rsidR="00302AF4" w:rsidRDefault="004566A3">
      <w:pPr>
        <w:pStyle w:val="ListParagraph"/>
        <w:numPr>
          <w:ilvl w:val="0"/>
          <w:numId w:val="1"/>
        </w:numPr>
        <w:tabs>
          <w:tab w:val="left" w:pos="251"/>
        </w:tabs>
        <w:spacing w:before="1" w:line="288" w:lineRule="auto"/>
        <w:ind w:right="104" w:firstLine="0"/>
        <w:jc w:val="both"/>
        <w:rPr>
          <w:sz w:val="24"/>
        </w:rPr>
      </w:pPr>
      <w:r>
        <w:rPr>
          <w:sz w:val="24"/>
        </w:rPr>
        <w:t>Grant application forms can be downloaded from the “Grants” tab at the top of the</w:t>
      </w:r>
      <w:r>
        <w:rPr>
          <w:spacing w:val="-15"/>
          <w:sz w:val="24"/>
        </w:rPr>
        <w:t xml:space="preserve"> </w:t>
      </w:r>
      <w:r>
        <w:rPr>
          <w:sz w:val="24"/>
        </w:rPr>
        <w:t>REF website (www.RumsonEducationFoundation.org).</w:t>
      </w:r>
    </w:p>
    <w:p w14:paraId="4E485D86" w14:textId="77777777" w:rsidR="00302AF4" w:rsidRDefault="00302AF4">
      <w:pPr>
        <w:pStyle w:val="BodyText"/>
        <w:spacing w:before="10"/>
        <w:rPr>
          <w:sz w:val="25"/>
        </w:rPr>
      </w:pPr>
    </w:p>
    <w:p w14:paraId="4938AD07" w14:textId="77777777" w:rsidR="00302AF4" w:rsidRDefault="004566A3">
      <w:pPr>
        <w:pStyle w:val="ListParagraph"/>
        <w:numPr>
          <w:ilvl w:val="0"/>
          <w:numId w:val="1"/>
        </w:numPr>
        <w:tabs>
          <w:tab w:val="left" w:pos="281"/>
        </w:tabs>
        <w:spacing w:line="288" w:lineRule="auto"/>
        <w:ind w:right="99" w:firstLine="0"/>
        <w:jc w:val="both"/>
        <w:rPr>
          <w:sz w:val="24"/>
        </w:rPr>
      </w:pPr>
      <w:r>
        <w:rPr>
          <w:sz w:val="24"/>
        </w:rPr>
        <w:t xml:space="preserve">Accompanying documentation must be attached to the application. This may include, but is not limited to, catalog/webpages of materials to be purchased and </w:t>
      </w:r>
      <w:r>
        <w:rPr>
          <w:spacing w:val="-3"/>
          <w:sz w:val="24"/>
        </w:rPr>
        <w:t xml:space="preserve">current </w:t>
      </w:r>
      <w:r>
        <w:rPr>
          <w:sz w:val="24"/>
        </w:rPr>
        <w:t>educational research relating to the project.</w:t>
      </w:r>
    </w:p>
    <w:p w14:paraId="1E52CD19" w14:textId="77777777" w:rsidR="00302AF4" w:rsidRDefault="00302AF4">
      <w:pPr>
        <w:pStyle w:val="BodyText"/>
        <w:spacing w:before="9"/>
        <w:rPr>
          <w:sz w:val="25"/>
        </w:rPr>
      </w:pPr>
    </w:p>
    <w:p w14:paraId="6992EC9B" w14:textId="77777777" w:rsidR="00302AF4" w:rsidRDefault="004566A3">
      <w:pPr>
        <w:pStyle w:val="ListParagraph"/>
        <w:numPr>
          <w:ilvl w:val="0"/>
          <w:numId w:val="1"/>
        </w:numPr>
        <w:tabs>
          <w:tab w:val="left" w:pos="251"/>
        </w:tabs>
        <w:ind w:left="250" w:hanging="151"/>
        <w:jc w:val="both"/>
        <w:rPr>
          <w:sz w:val="24"/>
        </w:rPr>
      </w:pPr>
      <w:r>
        <w:rPr>
          <w:sz w:val="24"/>
        </w:rPr>
        <w:t>Required signatures must be completed on all applications.</w:t>
      </w:r>
    </w:p>
    <w:p w14:paraId="448BDCCF" w14:textId="77777777" w:rsidR="00302AF4" w:rsidRDefault="00302AF4">
      <w:pPr>
        <w:pStyle w:val="BodyText"/>
        <w:spacing w:before="9"/>
        <w:rPr>
          <w:sz w:val="30"/>
        </w:rPr>
      </w:pPr>
    </w:p>
    <w:p w14:paraId="44A2DD9F" w14:textId="77777777" w:rsidR="00302AF4" w:rsidRDefault="004566A3">
      <w:pPr>
        <w:pStyle w:val="ListParagraph"/>
        <w:numPr>
          <w:ilvl w:val="0"/>
          <w:numId w:val="1"/>
        </w:numPr>
        <w:tabs>
          <w:tab w:val="left" w:pos="296"/>
        </w:tabs>
        <w:spacing w:line="288" w:lineRule="auto"/>
        <w:ind w:right="101" w:firstLine="0"/>
        <w:jc w:val="both"/>
        <w:rPr>
          <w:sz w:val="24"/>
        </w:rPr>
      </w:pPr>
      <w:r>
        <w:rPr>
          <w:b/>
          <w:sz w:val="24"/>
        </w:rPr>
        <w:t>Technology</w:t>
      </w:r>
      <w:r>
        <w:rPr>
          <w:sz w:val="24"/>
        </w:rPr>
        <w:t>: Grant applicants should obtain technology related budgetary numbers from Louis Pelissier, District IT Manager (lpelissier@rumsonschool.org). Some equipment may be required to be purchased through the District Technology Department.</w:t>
      </w:r>
    </w:p>
    <w:p w14:paraId="371CF03C" w14:textId="77777777" w:rsidR="00302AF4" w:rsidRDefault="00302AF4">
      <w:pPr>
        <w:pStyle w:val="BodyText"/>
        <w:spacing w:before="7"/>
        <w:rPr>
          <w:sz w:val="25"/>
        </w:rPr>
      </w:pPr>
    </w:p>
    <w:p w14:paraId="6AFDBB5F" w14:textId="0A85411F" w:rsidR="00302AF4" w:rsidRDefault="004566A3" w:rsidP="00E00CD0">
      <w:pPr>
        <w:pStyle w:val="ListParagraph"/>
        <w:numPr>
          <w:ilvl w:val="0"/>
          <w:numId w:val="1"/>
        </w:numPr>
        <w:tabs>
          <w:tab w:val="left" w:pos="251"/>
        </w:tabs>
        <w:spacing w:before="1" w:line="288" w:lineRule="auto"/>
        <w:ind w:right="302" w:firstLine="0"/>
        <w:rPr>
          <w:sz w:val="24"/>
        </w:rPr>
      </w:pPr>
      <w:r>
        <w:rPr>
          <w:sz w:val="24"/>
        </w:rPr>
        <w:t xml:space="preserve">Completed applications can be submitted </w:t>
      </w:r>
      <w:r w:rsidR="00947C75">
        <w:rPr>
          <w:sz w:val="24"/>
        </w:rPr>
        <w:t xml:space="preserve">via email to Lauren Salat and Ciara Dagostino at </w:t>
      </w:r>
      <w:hyperlink r:id="rId7" w:history="1">
        <w:r w:rsidR="008E5E7E" w:rsidRPr="008D7758">
          <w:rPr>
            <w:rStyle w:val="Hyperlink"/>
            <w:sz w:val="24"/>
          </w:rPr>
          <w:t>rumsoneducationfoundation@gmail.com</w:t>
        </w:r>
      </w:hyperlink>
      <w:r w:rsidR="008E5E7E">
        <w:rPr>
          <w:sz w:val="24"/>
        </w:rPr>
        <w:t>.</w:t>
      </w:r>
    </w:p>
    <w:p w14:paraId="352002C7" w14:textId="77777777" w:rsidR="008E5E7E" w:rsidRPr="008E5E7E" w:rsidRDefault="008E5E7E" w:rsidP="008E5E7E">
      <w:pPr>
        <w:pStyle w:val="ListParagraph"/>
        <w:rPr>
          <w:sz w:val="24"/>
        </w:rPr>
      </w:pPr>
    </w:p>
    <w:p w14:paraId="49B83B16" w14:textId="77777777" w:rsidR="008E5E7E" w:rsidRPr="00E00CD0" w:rsidRDefault="008E5E7E" w:rsidP="008E5E7E">
      <w:pPr>
        <w:pStyle w:val="ListParagraph"/>
        <w:tabs>
          <w:tab w:val="left" w:pos="251"/>
        </w:tabs>
        <w:spacing w:before="1" w:line="288" w:lineRule="auto"/>
        <w:ind w:right="302"/>
        <w:rPr>
          <w:sz w:val="24"/>
        </w:rPr>
      </w:pPr>
    </w:p>
    <w:p w14:paraId="54FD22AD" w14:textId="77777777" w:rsidR="00302AF4" w:rsidRDefault="00302AF4">
      <w:pPr>
        <w:pStyle w:val="BodyText"/>
        <w:spacing w:before="10"/>
        <w:rPr>
          <w:sz w:val="33"/>
        </w:rPr>
      </w:pPr>
    </w:p>
    <w:p w14:paraId="0E282FE7" w14:textId="77777777" w:rsidR="00302AF4" w:rsidRDefault="004566A3">
      <w:pPr>
        <w:pStyle w:val="Heading1"/>
      </w:pPr>
      <w:r>
        <w:t>Grant Review Process</w:t>
      </w:r>
    </w:p>
    <w:p w14:paraId="36C2575B" w14:textId="77777777" w:rsidR="00302AF4" w:rsidRDefault="00302AF4">
      <w:pPr>
        <w:pStyle w:val="BodyText"/>
        <w:spacing w:before="9"/>
        <w:rPr>
          <w:b/>
          <w:sz w:val="30"/>
        </w:rPr>
      </w:pPr>
    </w:p>
    <w:p w14:paraId="589E1EDD" w14:textId="77777777" w:rsidR="00302AF4" w:rsidRDefault="004566A3">
      <w:pPr>
        <w:pStyle w:val="ListParagraph"/>
        <w:numPr>
          <w:ilvl w:val="0"/>
          <w:numId w:val="1"/>
        </w:numPr>
        <w:tabs>
          <w:tab w:val="left" w:pos="251"/>
        </w:tabs>
        <w:spacing w:line="288" w:lineRule="auto"/>
        <w:ind w:right="528" w:firstLine="0"/>
        <w:rPr>
          <w:sz w:val="24"/>
        </w:rPr>
      </w:pPr>
      <w:r>
        <w:rPr>
          <w:sz w:val="24"/>
        </w:rPr>
        <w:t xml:space="preserve">Completed applications will be acknowledged through email and will be assigned </w:t>
      </w:r>
      <w:r>
        <w:rPr>
          <w:spacing w:val="-18"/>
          <w:sz w:val="24"/>
        </w:rPr>
        <w:t xml:space="preserve">a </w:t>
      </w:r>
      <w:r>
        <w:rPr>
          <w:sz w:val="24"/>
        </w:rPr>
        <w:t>unique Grant Number.</w:t>
      </w:r>
    </w:p>
    <w:p w14:paraId="4512F833" w14:textId="77777777" w:rsidR="00302AF4" w:rsidRDefault="00302AF4">
      <w:pPr>
        <w:pStyle w:val="BodyText"/>
        <w:spacing w:before="10"/>
        <w:rPr>
          <w:sz w:val="25"/>
        </w:rPr>
      </w:pPr>
    </w:p>
    <w:p w14:paraId="03C8964C" w14:textId="77777777" w:rsidR="00302AF4" w:rsidRDefault="004566A3">
      <w:pPr>
        <w:pStyle w:val="ListParagraph"/>
        <w:numPr>
          <w:ilvl w:val="0"/>
          <w:numId w:val="1"/>
        </w:numPr>
        <w:tabs>
          <w:tab w:val="left" w:pos="251"/>
        </w:tabs>
        <w:spacing w:line="288" w:lineRule="auto"/>
        <w:ind w:right="543" w:firstLine="0"/>
        <w:rPr>
          <w:sz w:val="24"/>
        </w:rPr>
      </w:pPr>
      <w:r>
        <w:rPr>
          <w:sz w:val="24"/>
        </w:rPr>
        <w:t xml:space="preserve">Each grant will be reviewed by the Board of Directors with input from Dr. </w:t>
      </w:r>
      <w:r>
        <w:rPr>
          <w:spacing w:val="-3"/>
          <w:sz w:val="24"/>
        </w:rPr>
        <w:t xml:space="preserve">Bormann. </w:t>
      </w:r>
      <w:r>
        <w:rPr>
          <w:sz w:val="24"/>
        </w:rPr>
        <w:t>Only the REF can grant or deny an application.</w:t>
      </w:r>
    </w:p>
    <w:p w14:paraId="413A85F3" w14:textId="77777777" w:rsidR="00302AF4" w:rsidRDefault="00302AF4">
      <w:pPr>
        <w:pStyle w:val="BodyText"/>
        <w:spacing w:before="10"/>
        <w:rPr>
          <w:sz w:val="25"/>
        </w:rPr>
      </w:pPr>
    </w:p>
    <w:p w14:paraId="7D3198C9" w14:textId="77777777" w:rsidR="00302AF4" w:rsidRDefault="004566A3">
      <w:pPr>
        <w:pStyle w:val="ListParagraph"/>
        <w:numPr>
          <w:ilvl w:val="0"/>
          <w:numId w:val="1"/>
        </w:numPr>
        <w:tabs>
          <w:tab w:val="left" w:pos="251"/>
        </w:tabs>
        <w:spacing w:line="288" w:lineRule="auto"/>
        <w:ind w:right="480" w:firstLine="0"/>
        <w:rPr>
          <w:sz w:val="24"/>
        </w:rPr>
      </w:pPr>
      <w:r>
        <w:rPr>
          <w:sz w:val="24"/>
        </w:rPr>
        <w:t xml:space="preserve">Applicants will be notified if the Board of Directors need clarification or additional details about any aspect of the proposed project. Once an application has been submitted, communication will be limited to the acknowledgement and this request, </w:t>
      </w:r>
      <w:r>
        <w:rPr>
          <w:spacing w:val="-9"/>
          <w:sz w:val="24"/>
        </w:rPr>
        <w:t xml:space="preserve">if </w:t>
      </w:r>
      <w:r>
        <w:rPr>
          <w:sz w:val="24"/>
        </w:rPr>
        <w:t>applicable.</w:t>
      </w:r>
    </w:p>
    <w:p w14:paraId="72BF4B3B" w14:textId="77777777" w:rsidR="00302AF4" w:rsidRDefault="00302AF4">
      <w:pPr>
        <w:pStyle w:val="BodyText"/>
        <w:spacing w:before="8"/>
        <w:rPr>
          <w:sz w:val="25"/>
        </w:rPr>
      </w:pPr>
    </w:p>
    <w:p w14:paraId="2FB60C26" w14:textId="71658D7F" w:rsidR="00302AF4" w:rsidRDefault="004566A3">
      <w:pPr>
        <w:pStyle w:val="ListParagraph"/>
        <w:numPr>
          <w:ilvl w:val="0"/>
          <w:numId w:val="1"/>
        </w:numPr>
        <w:tabs>
          <w:tab w:val="left" w:pos="251"/>
        </w:tabs>
        <w:spacing w:line="288" w:lineRule="auto"/>
        <w:ind w:right="169" w:firstLine="0"/>
        <w:rPr>
          <w:sz w:val="24"/>
        </w:rPr>
      </w:pPr>
      <w:r>
        <w:rPr>
          <w:sz w:val="24"/>
        </w:rPr>
        <w:t xml:space="preserve">Applicants will be notified by email from the Board of Directors if their grant application was accepted or denied by </w:t>
      </w:r>
      <w:r w:rsidR="00947C75">
        <w:rPr>
          <w:sz w:val="24"/>
        </w:rPr>
        <w:t xml:space="preserve">January </w:t>
      </w:r>
      <w:r w:rsidR="00D84428">
        <w:rPr>
          <w:sz w:val="24"/>
        </w:rPr>
        <w:t>30, 2023.</w:t>
      </w:r>
    </w:p>
    <w:p w14:paraId="75FCCF10" w14:textId="77777777" w:rsidR="00302AF4" w:rsidRDefault="00302AF4">
      <w:pPr>
        <w:spacing w:line="288" w:lineRule="auto"/>
        <w:rPr>
          <w:sz w:val="24"/>
        </w:rPr>
        <w:sectPr w:rsidR="00302AF4">
          <w:pgSz w:w="12240" w:h="15840"/>
          <w:pgMar w:top="1360" w:right="1340" w:bottom="280" w:left="1340" w:header="720" w:footer="720" w:gutter="0"/>
          <w:cols w:space="720"/>
        </w:sectPr>
      </w:pPr>
    </w:p>
    <w:p w14:paraId="7EA0A107" w14:textId="77777777" w:rsidR="00302AF4" w:rsidRDefault="00302AF4">
      <w:pPr>
        <w:pStyle w:val="BodyText"/>
        <w:spacing w:before="9"/>
        <w:rPr>
          <w:sz w:val="12"/>
        </w:rPr>
      </w:pPr>
    </w:p>
    <w:p w14:paraId="734E926F" w14:textId="77777777" w:rsidR="00302AF4" w:rsidRDefault="004566A3">
      <w:pPr>
        <w:pStyle w:val="ListParagraph"/>
        <w:numPr>
          <w:ilvl w:val="0"/>
          <w:numId w:val="1"/>
        </w:numPr>
        <w:tabs>
          <w:tab w:val="left" w:pos="251"/>
        </w:tabs>
        <w:spacing w:before="93" w:line="288" w:lineRule="auto"/>
        <w:ind w:right="1087" w:firstLine="0"/>
        <w:rPr>
          <w:sz w:val="24"/>
        </w:rPr>
      </w:pPr>
      <w:r>
        <w:rPr>
          <w:sz w:val="24"/>
        </w:rPr>
        <w:t xml:space="preserve">Please note that the amount of the grant cannot be changed once it has </w:t>
      </w:r>
      <w:r>
        <w:rPr>
          <w:spacing w:val="-5"/>
          <w:sz w:val="24"/>
        </w:rPr>
        <w:t xml:space="preserve">been </w:t>
      </w:r>
      <w:r>
        <w:rPr>
          <w:sz w:val="24"/>
        </w:rPr>
        <w:t>approved.</w:t>
      </w:r>
    </w:p>
    <w:p w14:paraId="2854A722" w14:textId="77777777" w:rsidR="00302AF4" w:rsidRDefault="00302AF4">
      <w:pPr>
        <w:pStyle w:val="BodyText"/>
        <w:spacing w:before="10"/>
        <w:rPr>
          <w:sz w:val="25"/>
        </w:rPr>
      </w:pPr>
    </w:p>
    <w:p w14:paraId="529C921A" w14:textId="26CA401A" w:rsidR="00302AF4" w:rsidRDefault="004566A3">
      <w:pPr>
        <w:pStyle w:val="ListParagraph"/>
        <w:numPr>
          <w:ilvl w:val="0"/>
          <w:numId w:val="1"/>
        </w:numPr>
        <w:tabs>
          <w:tab w:val="left" w:pos="251"/>
        </w:tabs>
        <w:spacing w:line="288" w:lineRule="auto"/>
        <w:ind w:right="208" w:firstLine="0"/>
        <w:rPr>
          <w:sz w:val="24"/>
        </w:rPr>
      </w:pPr>
      <w:r>
        <w:rPr>
          <w:sz w:val="24"/>
        </w:rPr>
        <w:t xml:space="preserve">Please keep in mind that not all applications can be approved. REF strives to grant </w:t>
      </w:r>
      <w:r>
        <w:rPr>
          <w:spacing w:val="-9"/>
          <w:sz w:val="24"/>
        </w:rPr>
        <w:t xml:space="preserve">as </w:t>
      </w:r>
      <w:r>
        <w:rPr>
          <w:sz w:val="24"/>
        </w:rPr>
        <w:t xml:space="preserve">many quality applications as possible each </w:t>
      </w:r>
      <w:r w:rsidR="002C6CB6">
        <w:rPr>
          <w:sz w:val="24"/>
        </w:rPr>
        <w:t>year but</w:t>
      </w:r>
      <w:r>
        <w:rPr>
          <w:sz w:val="24"/>
        </w:rPr>
        <w:t xml:space="preserve"> operates on the financial generosity of the community and a limited funding budget.</w:t>
      </w:r>
    </w:p>
    <w:p w14:paraId="5B9DC59D" w14:textId="77777777" w:rsidR="00302AF4" w:rsidRDefault="00302AF4">
      <w:pPr>
        <w:pStyle w:val="BodyText"/>
        <w:spacing w:before="4"/>
        <w:rPr>
          <w:sz w:val="28"/>
        </w:rPr>
      </w:pPr>
    </w:p>
    <w:p w14:paraId="4EB2ED87" w14:textId="77777777" w:rsidR="00302AF4" w:rsidRDefault="004566A3">
      <w:pPr>
        <w:ind w:left="2826" w:right="2836"/>
        <w:jc w:val="center"/>
        <w:rPr>
          <w:i/>
          <w:sz w:val="24"/>
        </w:rPr>
      </w:pPr>
      <w:r>
        <w:rPr>
          <w:i/>
          <w:sz w:val="24"/>
        </w:rPr>
        <w:t>Thank you!</w:t>
      </w:r>
    </w:p>
    <w:sectPr w:rsidR="00302AF4">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50E26"/>
    <w:multiLevelType w:val="hybridMultilevel"/>
    <w:tmpl w:val="DCF2CAE8"/>
    <w:lvl w:ilvl="0" w:tplc="E15635C8">
      <w:numFmt w:val="bullet"/>
      <w:lvlText w:val="•"/>
      <w:lvlJc w:val="left"/>
      <w:pPr>
        <w:ind w:left="100" w:hanging="271"/>
      </w:pPr>
      <w:rPr>
        <w:rFonts w:ascii="Arial" w:eastAsia="Arial" w:hAnsi="Arial" w:cs="Arial" w:hint="default"/>
        <w:w w:val="100"/>
        <w:sz w:val="24"/>
        <w:szCs w:val="24"/>
      </w:rPr>
    </w:lvl>
    <w:lvl w:ilvl="1" w:tplc="9466756E">
      <w:numFmt w:val="bullet"/>
      <w:lvlText w:val="•"/>
      <w:lvlJc w:val="left"/>
      <w:pPr>
        <w:ind w:left="1046" w:hanging="271"/>
      </w:pPr>
      <w:rPr>
        <w:rFonts w:hint="default"/>
      </w:rPr>
    </w:lvl>
    <w:lvl w:ilvl="2" w:tplc="84AC46AA">
      <w:numFmt w:val="bullet"/>
      <w:lvlText w:val="•"/>
      <w:lvlJc w:val="left"/>
      <w:pPr>
        <w:ind w:left="1992" w:hanging="271"/>
      </w:pPr>
      <w:rPr>
        <w:rFonts w:hint="default"/>
      </w:rPr>
    </w:lvl>
    <w:lvl w:ilvl="3" w:tplc="7854D2CC">
      <w:numFmt w:val="bullet"/>
      <w:lvlText w:val="•"/>
      <w:lvlJc w:val="left"/>
      <w:pPr>
        <w:ind w:left="2938" w:hanging="271"/>
      </w:pPr>
      <w:rPr>
        <w:rFonts w:hint="default"/>
      </w:rPr>
    </w:lvl>
    <w:lvl w:ilvl="4" w:tplc="6740675E">
      <w:numFmt w:val="bullet"/>
      <w:lvlText w:val="•"/>
      <w:lvlJc w:val="left"/>
      <w:pPr>
        <w:ind w:left="3884" w:hanging="271"/>
      </w:pPr>
      <w:rPr>
        <w:rFonts w:hint="default"/>
      </w:rPr>
    </w:lvl>
    <w:lvl w:ilvl="5" w:tplc="F828BEC6">
      <w:numFmt w:val="bullet"/>
      <w:lvlText w:val="•"/>
      <w:lvlJc w:val="left"/>
      <w:pPr>
        <w:ind w:left="4830" w:hanging="271"/>
      </w:pPr>
      <w:rPr>
        <w:rFonts w:hint="default"/>
      </w:rPr>
    </w:lvl>
    <w:lvl w:ilvl="6" w:tplc="32EA853A">
      <w:numFmt w:val="bullet"/>
      <w:lvlText w:val="•"/>
      <w:lvlJc w:val="left"/>
      <w:pPr>
        <w:ind w:left="5776" w:hanging="271"/>
      </w:pPr>
      <w:rPr>
        <w:rFonts w:hint="default"/>
      </w:rPr>
    </w:lvl>
    <w:lvl w:ilvl="7" w:tplc="AADE9A52">
      <w:numFmt w:val="bullet"/>
      <w:lvlText w:val="•"/>
      <w:lvlJc w:val="left"/>
      <w:pPr>
        <w:ind w:left="6722" w:hanging="271"/>
      </w:pPr>
      <w:rPr>
        <w:rFonts w:hint="default"/>
      </w:rPr>
    </w:lvl>
    <w:lvl w:ilvl="8" w:tplc="B8842E84">
      <w:numFmt w:val="bullet"/>
      <w:lvlText w:val="•"/>
      <w:lvlJc w:val="left"/>
      <w:pPr>
        <w:ind w:left="7668" w:hanging="271"/>
      </w:pPr>
      <w:rPr>
        <w:rFonts w:hint="default"/>
      </w:rPr>
    </w:lvl>
  </w:abstractNum>
  <w:num w:numId="1" w16cid:durableId="206058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F4"/>
    <w:rsid w:val="00071D25"/>
    <w:rsid w:val="0013794E"/>
    <w:rsid w:val="00265131"/>
    <w:rsid w:val="002C6CB6"/>
    <w:rsid w:val="00302AF4"/>
    <w:rsid w:val="004566A3"/>
    <w:rsid w:val="008E5E7E"/>
    <w:rsid w:val="00947C75"/>
    <w:rsid w:val="00AF5F46"/>
    <w:rsid w:val="00C95DB0"/>
    <w:rsid w:val="00D5549D"/>
    <w:rsid w:val="00D84428"/>
    <w:rsid w:val="00E0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4C1B2D"/>
  <w15:docId w15:val="{8B766D8C-9349-8547-9B6D-0367A0B8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26" w:right="283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0CD0"/>
    <w:rPr>
      <w:color w:val="0000FF" w:themeColor="hyperlink"/>
      <w:u w:val="single"/>
    </w:rPr>
  </w:style>
  <w:style w:type="character" w:styleId="UnresolvedMention">
    <w:name w:val="Unresolved Mention"/>
    <w:basedOn w:val="DefaultParagraphFont"/>
    <w:uiPriority w:val="99"/>
    <w:semiHidden/>
    <w:unhideWhenUsed/>
    <w:rsid w:val="00E0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msoneducationfound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msoneducationfoundation@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Ciara Dagostino</cp:lastModifiedBy>
  <cp:revision>7</cp:revision>
  <dcterms:created xsi:type="dcterms:W3CDTF">2022-11-18T21:43:00Z</dcterms:created>
  <dcterms:modified xsi:type="dcterms:W3CDTF">2022-11-18T22:02:00Z</dcterms:modified>
</cp:coreProperties>
</file>