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5C" w:rsidRPr="00B153C9" w:rsidRDefault="004C1D5C" w:rsidP="00B153C9">
      <w:pPr>
        <w:spacing w:after="120" w:line="240" w:lineRule="auto"/>
        <w:jc w:val="center"/>
        <w:rPr>
          <w:rFonts w:cs="Arial"/>
          <w:b/>
          <w:bCs/>
          <w:color w:val="000000"/>
          <w:sz w:val="23"/>
          <w:szCs w:val="23"/>
          <w:u w:val="single"/>
        </w:rPr>
      </w:pPr>
      <w:r w:rsidRPr="00B153C9">
        <w:rPr>
          <w:b/>
          <w:bCs/>
          <w:color w:val="000000"/>
          <w:sz w:val="23"/>
          <w:szCs w:val="23"/>
          <w:u w:val="single"/>
        </w:rPr>
        <w:t>Administrative notice and demand for identification and credentials quo warranto</w:t>
      </w:r>
      <w:r w:rsidRPr="00B153C9">
        <w:rPr>
          <w:rFonts w:cs="Arial"/>
          <w:b/>
          <w:bCs/>
          <w:color w:val="000000"/>
          <w:sz w:val="23"/>
          <w:szCs w:val="23"/>
          <w:u w:val="single"/>
        </w:rPr>
        <w:t>.</w:t>
      </w:r>
    </w:p>
    <w:p w:rsidR="004C1D5C" w:rsidRPr="00B153C9" w:rsidRDefault="004C1D5C" w:rsidP="00B153C9">
      <w:pPr>
        <w:spacing w:after="120" w:line="240" w:lineRule="auto"/>
        <w:jc w:val="center"/>
        <w:rPr>
          <w:b/>
          <w:bCs/>
          <w:color w:val="000000"/>
          <w:sz w:val="23"/>
          <w:szCs w:val="23"/>
          <w:u w:val="single"/>
        </w:rPr>
      </w:pPr>
      <w:r w:rsidRPr="00B153C9">
        <w:rPr>
          <w:b/>
          <w:bCs/>
          <w:color w:val="000000"/>
          <w:sz w:val="23"/>
          <w:szCs w:val="23"/>
          <w:u w:val="single"/>
        </w:rPr>
        <w:t xml:space="preserve">Pursuant the Constitution for the </w:t>
      </w:r>
      <w:smartTag w:uri="urn:schemas-microsoft-com:office:smarttags" w:element="country-region">
        <w:r w:rsidRPr="00B153C9">
          <w:rPr>
            <w:b/>
            <w:bCs/>
            <w:color w:val="000000"/>
            <w:sz w:val="23"/>
            <w:szCs w:val="23"/>
            <w:u w:val="single"/>
          </w:rPr>
          <w:t>United States of America</w:t>
        </w:r>
      </w:smartTag>
      <w:r w:rsidRPr="00B153C9">
        <w:rPr>
          <w:b/>
          <w:bCs/>
          <w:color w:val="000000"/>
          <w:sz w:val="23"/>
          <w:szCs w:val="23"/>
          <w:u w:val="single"/>
        </w:rPr>
        <w:t xml:space="preserve">, its First and Ninth Amendments and the </w:t>
      </w:r>
      <w:smartTag w:uri="urn:schemas-microsoft-com:office:smarttags" w:element="State">
        <w:smartTag w:uri="urn:schemas-microsoft-com:office:smarttags" w:element="place">
          <w:r w:rsidRPr="00B153C9">
            <w:rPr>
              <w:b/>
              <w:bCs/>
              <w:color w:val="000000"/>
              <w:sz w:val="23"/>
              <w:szCs w:val="23"/>
              <w:u w:val="single"/>
            </w:rPr>
            <w:t>California</w:t>
          </w:r>
        </w:smartTag>
      </w:smartTag>
      <w:r w:rsidRPr="00B153C9">
        <w:rPr>
          <w:b/>
          <w:bCs/>
          <w:color w:val="000000"/>
          <w:sz w:val="23"/>
          <w:szCs w:val="23"/>
          <w:u w:val="single"/>
        </w:rPr>
        <w:t xml:space="preserve"> Constitution (1849)</w:t>
      </w:r>
      <w:r w:rsidRPr="00B153C9">
        <w:rPr>
          <w:rFonts w:cs="Arial"/>
          <w:b/>
          <w:bCs/>
          <w:color w:val="000000"/>
          <w:sz w:val="23"/>
          <w:szCs w:val="23"/>
          <w:u w:val="single"/>
        </w:rPr>
        <w:t>.</w:t>
      </w:r>
      <w:r w:rsidRPr="00B153C9">
        <w:rPr>
          <w:b/>
          <w:bCs/>
          <w:color w:val="000000"/>
          <w:sz w:val="23"/>
          <w:szCs w:val="23"/>
          <w:u w:val="single"/>
        </w:rPr>
        <w:t xml:space="preserve"> </w:t>
      </w:r>
    </w:p>
    <w:p w:rsidR="004C1D5C" w:rsidRPr="00B153C9" w:rsidRDefault="004C1D5C" w:rsidP="0098342E">
      <w:pPr>
        <w:spacing w:after="0" w:line="240" w:lineRule="auto"/>
        <w:jc w:val="center"/>
        <w:rPr>
          <w:rFonts w:cs="Arial Narrow"/>
          <w:b/>
          <w:bCs/>
          <w:color w:val="000000"/>
          <w:sz w:val="23"/>
          <w:szCs w:val="23"/>
        </w:rPr>
      </w:pPr>
      <w:r w:rsidRPr="00B153C9">
        <w:rPr>
          <w:b/>
          <w:bCs/>
          <w:color w:val="000000"/>
          <w:sz w:val="23"/>
          <w:szCs w:val="23"/>
        </w:rPr>
        <w:t>Original writ of quo warranto under seal</w:t>
      </w:r>
      <w:r w:rsidRPr="00B153C9">
        <w:rPr>
          <w:rFonts w:cs="Arial Narrow"/>
          <w:b/>
          <w:bCs/>
          <w:color w:val="000000"/>
          <w:sz w:val="23"/>
          <w:szCs w:val="23"/>
        </w:rPr>
        <w:t>.</w:t>
      </w:r>
    </w:p>
    <w:p w:rsidR="004C1D5C" w:rsidRPr="00B153C9" w:rsidRDefault="004C1D5C" w:rsidP="00031739">
      <w:pPr>
        <w:spacing w:after="0" w:line="240" w:lineRule="auto"/>
        <w:jc w:val="center"/>
        <w:rPr>
          <w:rFonts w:cs="Arial"/>
          <w:b/>
          <w:bCs/>
          <w:color w:val="000000"/>
          <w:sz w:val="23"/>
          <w:szCs w:val="23"/>
          <w:u w:val="single"/>
        </w:rPr>
      </w:pPr>
    </w:p>
    <w:p w:rsidR="004C1D5C" w:rsidRPr="00B153C9" w:rsidRDefault="004C1D5C" w:rsidP="00031739">
      <w:pPr>
        <w:spacing w:after="0" w:line="240" w:lineRule="auto"/>
        <w:rPr>
          <w:rFonts w:cs="Arial"/>
          <w:sz w:val="23"/>
          <w:szCs w:val="23"/>
        </w:rPr>
      </w:pPr>
      <w:r w:rsidRPr="00B153C9">
        <w:rPr>
          <w:rFonts w:cs="Arial"/>
          <w:sz w:val="23"/>
          <w:szCs w:val="23"/>
        </w:rPr>
        <w:t> </w:t>
      </w:r>
    </w:p>
    <w:p w:rsidR="004C1D5C" w:rsidRPr="00B153C9" w:rsidRDefault="004C1D5C" w:rsidP="0005782D">
      <w:pPr>
        <w:spacing w:after="0" w:line="240" w:lineRule="auto"/>
        <w:jc w:val="center"/>
        <w:rPr>
          <w:rFonts w:cs="Arial"/>
          <w:b/>
          <w:bCs/>
          <w:color w:val="000000"/>
          <w:sz w:val="23"/>
          <w:szCs w:val="23"/>
        </w:rPr>
      </w:pPr>
      <w:r w:rsidRPr="00B153C9">
        <w:rPr>
          <w:rFonts w:cs="Arial"/>
          <w:b/>
          <w:bCs/>
          <w:color w:val="000000"/>
          <w:sz w:val="23"/>
          <w:szCs w:val="23"/>
        </w:rPr>
        <w:t>JURAT</w:t>
      </w:r>
    </w:p>
    <w:p w:rsidR="004C1D5C" w:rsidRPr="00B153C9" w:rsidRDefault="004C1D5C" w:rsidP="00CC01DD">
      <w:pPr>
        <w:spacing w:after="0" w:line="240" w:lineRule="auto"/>
        <w:rPr>
          <w:rFonts w:cs="Arial"/>
          <w:sz w:val="23"/>
          <w:szCs w:val="23"/>
        </w:rPr>
      </w:pPr>
      <w:smartTag w:uri="urn:schemas-microsoft-com:office:smarttags" w:element="State">
        <w:smartTag w:uri="urn:schemas-microsoft-com:office:smarttags" w:element="place">
          <w:r w:rsidRPr="00B153C9">
            <w:rPr>
              <w:rFonts w:cs="Arial"/>
              <w:sz w:val="23"/>
              <w:szCs w:val="23"/>
            </w:rPr>
            <w:t>California</w:t>
          </w:r>
        </w:smartTag>
      </w:smartTag>
      <w:r w:rsidRPr="00B153C9">
        <w:rPr>
          <w:rFonts w:cs="Arial"/>
          <w:sz w:val="23"/>
          <w:szCs w:val="23"/>
        </w:rPr>
        <w:t xml:space="preserve"> state</w:t>
      </w:r>
    </w:p>
    <w:p w:rsidR="004C1D5C" w:rsidRPr="00B153C9" w:rsidRDefault="004C1D5C" w:rsidP="00CC01DD">
      <w:pPr>
        <w:spacing w:after="0" w:line="240" w:lineRule="auto"/>
        <w:rPr>
          <w:rFonts w:cs="Arial"/>
          <w:sz w:val="23"/>
          <w:szCs w:val="23"/>
        </w:rPr>
      </w:pPr>
      <w:r>
        <w:rPr>
          <w:rFonts w:cs="Arial"/>
          <w:sz w:val="23"/>
          <w:szCs w:val="23"/>
        </w:rPr>
        <w:t xml:space="preserve">               </w:t>
      </w:r>
      <w:r w:rsidRPr="00B153C9">
        <w:rPr>
          <w:rFonts w:cs="Arial"/>
          <w:sz w:val="23"/>
          <w:szCs w:val="23"/>
        </w:rPr>
        <w:t>county</w:t>
      </w:r>
    </w:p>
    <w:p w:rsidR="004C1D5C" w:rsidRPr="00B153C9" w:rsidRDefault="004C1D5C" w:rsidP="0005782D">
      <w:pPr>
        <w:spacing w:after="0" w:line="240" w:lineRule="auto"/>
        <w:rPr>
          <w:rFonts w:cs="Arial"/>
          <w:sz w:val="23"/>
          <w:szCs w:val="23"/>
        </w:rPr>
      </w:pPr>
      <w:r w:rsidRPr="00B153C9">
        <w:rPr>
          <w:rFonts w:cs="Arial"/>
          <w:sz w:val="23"/>
          <w:szCs w:val="23"/>
        </w:rPr>
        <w:t> </w:t>
      </w:r>
    </w:p>
    <w:p w:rsidR="004C1D5C" w:rsidRPr="00B153C9" w:rsidRDefault="004C1D5C" w:rsidP="00B94F40">
      <w:r w:rsidRPr="00B153C9">
        <w:t xml:space="preserve">Subscribed and sworn to (or affirmed) before me on this _____ day of March 2013, by </w:t>
      </w:r>
      <w:r>
        <w:t xml:space="preserve">   </w:t>
      </w:r>
      <w:r w:rsidRPr="00B153C9">
        <w:t>[</w:t>
      </w:r>
      <w:r>
        <w:t xml:space="preserve">   </w:t>
      </w:r>
      <w:r w:rsidRPr="00B153C9">
        <w:t>], proved to me on the basis of satisfactory evidence to be the person(s) who appeared before me.    </w:t>
      </w:r>
    </w:p>
    <w:p w:rsidR="004C1D5C" w:rsidRPr="00B153C9" w:rsidRDefault="004C1D5C" w:rsidP="006750A6">
      <w:pPr>
        <w:spacing w:after="0" w:line="240" w:lineRule="auto"/>
        <w:rPr>
          <w:rFonts w:cs="Arial"/>
          <w:color w:val="000000"/>
          <w:sz w:val="23"/>
          <w:szCs w:val="23"/>
        </w:rPr>
      </w:pPr>
    </w:p>
    <w:p w:rsidR="004C1D5C" w:rsidRPr="00B153C9" w:rsidRDefault="004C1D5C" w:rsidP="006750A6">
      <w:pPr>
        <w:spacing w:after="0" w:line="240" w:lineRule="auto"/>
        <w:rPr>
          <w:rFonts w:cs="Arial"/>
          <w:color w:val="000000"/>
          <w:sz w:val="23"/>
          <w:szCs w:val="23"/>
        </w:rPr>
      </w:pPr>
    </w:p>
    <w:p w:rsidR="004C1D5C" w:rsidRPr="00B153C9" w:rsidRDefault="004C1D5C" w:rsidP="0005782D">
      <w:pPr>
        <w:spacing w:after="0" w:line="240" w:lineRule="auto"/>
        <w:rPr>
          <w:rFonts w:cs="Arial"/>
          <w:color w:val="000000"/>
          <w:sz w:val="23"/>
          <w:szCs w:val="23"/>
        </w:rPr>
      </w:pPr>
      <w:r w:rsidRPr="00B153C9">
        <w:rPr>
          <w:rFonts w:cs="Arial"/>
          <w:color w:val="000000"/>
          <w:sz w:val="23"/>
          <w:szCs w:val="23"/>
        </w:rPr>
        <w:t>_____________________________________________</w:t>
      </w:r>
    </w:p>
    <w:p w:rsidR="004C1D5C" w:rsidRPr="00B153C9" w:rsidRDefault="004C1D5C" w:rsidP="0005782D">
      <w:pPr>
        <w:spacing w:after="0" w:line="240" w:lineRule="auto"/>
        <w:rPr>
          <w:rFonts w:cs="Arial"/>
          <w:sz w:val="23"/>
          <w:szCs w:val="23"/>
        </w:rPr>
      </w:pPr>
    </w:p>
    <w:p w:rsidR="004C1D5C" w:rsidRPr="00B153C9" w:rsidRDefault="004C1D5C" w:rsidP="00031739">
      <w:pPr>
        <w:spacing w:after="0" w:line="240" w:lineRule="auto"/>
        <w:rPr>
          <w:rFonts w:cs="Arial"/>
          <w:color w:val="000000"/>
          <w:sz w:val="23"/>
          <w:szCs w:val="23"/>
        </w:rPr>
      </w:pPr>
      <w:r w:rsidRPr="00B153C9">
        <w:rPr>
          <w:rFonts w:cs="Arial"/>
          <w:color w:val="000000"/>
          <w:sz w:val="23"/>
          <w:szCs w:val="23"/>
        </w:rPr>
        <w:t xml:space="preserve">                                                                           </w:t>
      </w:r>
    </w:p>
    <w:p w:rsidR="004C1D5C" w:rsidRPr="00B153C9" w:rsidRDefault="004C1D5C" w:rsidP="00031739">
      <w:pPr>
        <w:spacing w:after="0" w:line="240" w:lineRule="auto"/>
        <w:rPr>
          <w:rFonts w:cs="Arial"/>
          <w:color w:val="000000"/>
          <w:sz w:val="23"/>
          <w:szCs w:val="23"/>
        </w:rPr>
      </w:pPr>
      <w:r w:rsidRPr="00B153C9">
        <w:rPr>
          <w:rFonts w:cs="Arial"/>
          <w:color w:val="000000"/>
          <w:sz w:val="23"/>
          <w:szCs w:val="23"/>
        </w:rPr>
        <w:t xml:space="preserve">KNOW BY ALL MEN OF THESE PRESENTS: This “Good Faith Presentment” by: </w:t>
      </w:r>
      <w:r>
        <w:rPr>
          <w:rFonts w:cs="Arial"/>
          <w:color w:val="000000"/>
          <w:sz w:val="23"/>
          <w:szCs w:val="23"/>
        </w:rPr>
        <w:t xml:space="preserve">         </w:t>
      </w:r>
      <w:r w:rsidRPr="00B153C9">
        <w:rPr>
          <w:rFonts w:cs="Arial"/>
          <w:color w:val="000000"/>
          <w:sz w:val="23"/>
          <w:szCs w:val="23"/>
        </w:rPr>
        <w:t>(hereinafter “Presentor”) to Recipient(s):</w:t>
      </w:r>
    </w:p>
    <w:p w:rsidR="004C1D5C" w:rsidRPr="00B153C9" w:rsidRDefault="004C1D5C" w:rsidP="00031739">
      <w:pPr>
        <w:spacing w:after="0" w:line="240" w:lineRule="auto"/>
        <w:rPr>
          <w:rFonts w:cs="Arial"/>
          <w:color w:val="000000"/>
          <w:sz w:val="23"/>
          <w:szCs w:val="23"/>
        </w:rPr>
      </w:pPr>
    </w:p>
    <w:p w:rsidR="004C1D5C" w:rsidRPr="00B153C9" w:rsidRDefault="004C1D5C" w:rsidP="006938C5">
      <w:pPr>
        <w:spacing w:after="0" w:line="240" w:lineRule="auto"/>
        <w:rPr>
          <w:sz w:val="23"/>
          <w:szCs w:val="23"/>
        </w:rPr>
        <w:sectPr w:rsidR="004C1D5C" w:rsidRPr="00B153C9" w:rsidSect="00330EE8">
          <w:footerReference w:type="even" r:id="rId7"/>
          <w:footerReference w:type="default" r:id="rId8"/>
          <w:endnotePr>
            <w:numFmt w:val="decimal"/>
          </w:endnotePr>
          <w:pgSz w:w="12240" w:h="15840" w:code="1"/>
          <w:pgMar w:top="1152" w:right="1440" w:bottom="1152" w:left="1440" w:header="720" w:footer="720" w:gutter="0"/>
          <w:cols w:space="720"/>
          <w:docGrid w:linePitch="360"/>
        </w:sectPr>
      </w:pPr>
    </w:p>
    <w:p w:rsidR="004C1D5C" w:rsidRPr="00B153C9" w:rsidRDefault="004C1D5C" w:rsidP="00031739">
      <w:pPr>
        <w:spacing w:after="0" w:line="240" w:lineRule="auto"/>
        <w:rPr>
          <w:rFonts w:cs="Arial"/>
          <w:color w:val="000000"/>
          <w:sz w:val="23"/>
          <w:szCs w:val="23"/>
        </w:rPr>
        <w:sectPr w:rsidR="004C1D5C" w:rsidRPr="00B153C9" w:rsidSect="00330EE8">
          <w:endnotePr>
            <w:numFmt w:val="decimal"/>
          </w:endnotePr>
          <w:type w:val="continuous"/>
          <w:pgSz w:w="12240" w:h="15840" w:code="1"/>
          <w:pgMar w:top="1440" w:right="1440" w:bottom="1440" w:left="1440" w:header="720" w:footer="720" w:gutter="0"/>
          <w:cols w:num="3" w:space="720" w:equalWidth="0">
            <w:col w:w="2640" w:space="720"/>
            <w:col w:w="2640" w:space="720"/>
            <w:col w:w="2640"/>
          </w:cols>
          <w:docGrid w:linePitch="360"/>
        </w:sectPr>
      </w:pPr>
    </w:p>
    <w:p w:rsidR="004C1D5C" w:rsidRPr="00B153C9" w:rsidRDefault="004C1D5C" w:rsidP="00031739">
      <w:pPr>
        <w:spacing w:after="0" w:line="240" w:lineRule="auto"/>
        <w:rPr>
          <w:rFonts w:cs="Arial"/>
          <w:color w:val="000000"/>
          <w:sz w:val="23"/>
          <w:szCs w:val="23"/>
        </w:rPr>
      </w:pPr>
    </w:p>
    <w:p w:rsidR="004C1D5C" w:rsidRPr="00B153C9" w:rsidRDefault="004C1D5C" w:rsidP="00031739">
      <w:pPr>
        <w:spacing w:after="0" w:line="240" w:lineRule="auto"/>
        <w:rPr>
          <w:rFonts w:cs="Arial"/>
          <w:color w:val="000000"/>
          <w:sz w:val="23"/>
          <w:szCs w:val="23"/>
        </w:rPr>
      </w:pPr>
      <w:r w:rsidRPr="00B153C9">
        <w:rPr>
          <w:rFonts w:cs="Arial"/>
          <w:color w:val="000000"/>
          <w:sz w:val="23"/>
          <w:szCs w:val="23"/>
        </w:rPr>
        <w:t xml:space="preserve">Located at:  </w:t>
      </w:r>
      <w:r w:rsidRPr="00B153C9">
        <w:rPr>
          <w:rFonts w:cs="Arial"/>
          <w:color w:val="000000"/>
          <w:sz w:val="23"/>
          <w:szCs w:val="23"/>
        </w:rPr>
        <w:tab/>
      </w:r>
    </w:p>
    <w:p w:rsidR="004C1D5C" w:rsidRPr="00B153C9" w:rsidRDefault="004C1D5C" w:rsidP="00031739">
      <w:pPr>
        <w:spacing w:after="0" w:line="240" w:lineRule="auto"/>
        <w:rPr>
          <w:rFonts w:cs="Arial"/>
          <w:color w:val="000000"/>
          <w:sz w:val="23"/>
          <w:szCs w:val="23"/>
        </w:rPr>
      </w:pPr>
    </w:p>
    <w:p w:rsidR="004C1D5C" w:rsidRPr="00B153C9" w:rsidRDefault="004C1D5C" w:rsidP="001B68E9">
      <w:pPr>
        <w:spacing w:after="120" w:line="240" w:lineRule="auto"/>
        <w:rPr>
          <w:rFonts w:cs="Arial"/>
          <w:color w:val="000000"/>
          <w:sz w:val="23"/>
          <w:szCs w:val="23"/>
        </w:rPr>
      </w:pPr>
      <w:r w:rsidRPr="00B153C9">
        <w:rPr>
          <w:color w:val="000000"/>
          <w:sz w:val="23"/>
          <w:szCs w:val="23"/>
        </w:rPr>
        <w:t>Presentor hereby exercises his Sovereign right, in pursuance of Article two, section one of the California Constitution (1849), having the reasonable expectation of receiving fair and honest services from his public servants, and issues this Administrative Notice and Demand for the purpose of verifying  the credentials of the above named public servant(s), who are herein deemed “Recipient(s)” for the purpose of verifying the credentials of Recipient(s)</w:t>
      </w:r>
      <w:r w:rsidRPr="00B153C9">
        <w:rPr>
          <w:rFonts w:cs="Arial"/>
          <w:color w:val="000000"/>
          <w:sz w:val="23"/>
          <w:szCs w:val="23"/>
        </w:rPr>
        <w:t>.</w:t>
      </w:r>
    </w:p>
    <w:p w:rsidR="004C1D5C" w:rsidRPr="00B153C9" w:rsidRDefault="004C1D5C" w:rsidP="0098342E">
      <w:pPr>
        <w:spacing w:after="120" w:line="240" w:lineRule="auto"/>
        <w:rPr>
          <w:rFonts w:cs="Arial"/>
          <w:sz w:val="23"/>
          <w:szCs w:val="23"/>
        </w:rPr>
      </w:pPr>
      <w:r w:rsidRPr="00B153C9">
        <w:rPr>
          <w:color w:val="000000"/>
          <w:sz w:val="23"/>
          <w:szCs w:val="23"/>
        </w:rPr>
        <w:t>This Administrative Notice and Demand is duly issued and deemed to be actual, constructive</w:t>
      </w:r>
      <w:r w:rsidRPr="00B153C9">
        <w:rPr>
          <w:rFonts w:cs="Arial"/>
          <w:color w:val="000000"/>
          <w:sz w:val="23"/>
          <w:szCs w:val="23"/>
        </w:rPr>
        <w:t>,</w:t>
      </w:r>
      <w:r w:rsidRPr="00B153C9">
        <w:rPr>
          <w:color w:val="000000"/>
          <w:sz w:val="23"/>
          <w:szCs w:val="23"/>
        </w:rPr>
        <w:t xml:space="preserve"> and sufficient notice, which requires that you provide to Presentor within ten (10) business days from the date of receipt</w:t>
      </w:r>
      <w:r w:rsidRPr="00B153C9">
        <w:rPr>
          <w:rFonts w:cs="Arial"/>
          <w:color w:val="000000"/>
          <w:sz w:val="23"/>
          <w:szCs w:val="23"/>
        </w:rPr>
        <w:t>,</w:t>
      </w:r>
      <w:r w:rsidRPr="00B153C9">
        <w:rPr>
          <w:color w:val="000000"/>
          <w:sz w:val="23"/>
          <w:szCs w:val="23"/>
        </w:rPr>
        <w:t xml:space="preserve"> copies of the below listed documents that must be certified under penalty of perjury in accordance with 1 Stat 122, 2 Stat 298</w:t>
      </w:r>
      <w:r w:rsidRPr="00B153C9">
        <w:rPr>
          <w:rFonts w:cs="Arial"/>
          <w:color w:val="000000"/>
          <w:sz w:val="23"/>
          <w:szCs w:val="23"/>
        </w:rPr>
        <w:t>,</w:t>
      </w:r>
      <w:r w:rsidRPr="00B153C9">
        <w:rPr>
          <w:color w:val="000000"/>
          <w:sz w:val="23"/>
          <w:szCs w:val="23"/>
        </w:rPr>
        <w:t xml:space="preserve"> FRCP Rule 902, Article VI of the Constitution of the United States for the united States of America (1789) as amended, and the California Constitution (1849): </w:t>
      </w:r>
    </w:p>
    <w:p w:rsidR="004C1D5C" w:rsidRPr="00B153C9" w:rsidRDefault="004C1D5C" w:rsidP="0093460F">
      <w:pPr>
        <w:numPr>
          <w:ilvl w:val="0"/>
          <w:numId w:val="2"/>
        </w:numPr>
        <w:spacing w:after="0" w:line="240" w:lineRule="auto"/>
        <w:rPr>
          <w:rFonts w:cs="Arial"/>
          <w:color w:val="000000"/>
          <w:sz w:val="23"/>
          <w:szCs w:val="23"/>
        </w:rPr>
      </w:pPr>
      <w:r w:rsidRPr="00B153C9">
        <w:rPr>
          <w:rFonts w:cs="Arial"/>
          <w:color w:val="000000"/>
          <w:sz w:val="23"/>
          <w:szCs w:val="23"/>
        </w:rPr>
        <w:t>Certification of Election or Letter of Appointment/Commission, whichever is applicable. </w:t>
      </w:r>
    </w:p>
    <w:p w:rsidR="004C1D5C" w:rsidRPr="00B153C9" w:rsidRDefault="004C1D5C" w:rsidP="0093460F">
      <w:pPr>
        <w:numPr>
          <w:ilvl w:val="0"/>
          <w:numId w:val="2"/>
        </w:numPr>
        <w:spacing w:after="0" w:line="240" w:lineRule="auto"/>
        <w:rPr>
          <w:rFonts w:cs="Arial"/>
          <w:color w:val="000000"/>
          <w:sz w:val="23"/>
          <w:szCs w:val="23"/>
        </w:rPr>
      </w:pPr>
      <w:r w:rsidRPr="00B153C9">
        <w:rPr>
          <w:sz w:val="23"/>
          <w:szCs w:val="23"/>
        </w:rPr>
        <w:t xml:space="preserve">Oath of Office in accordance with Calif. Const. (1849) Article XI, sec. 3 and </w:t>
      </w:r>
      <w:r w:rsidRPr="00B153C9">
        <w:rPr>
          <w:rFonts w:cs="Arial"/>
          <w:color w:val="000000"/>
          <w:sz w:val="23"/>
          <w:szCs w:val="23"/>
        </w:rPr>
        <w:t>Gov. Code sec. 1360</w:t>
      </w:r>
      <w:r w:rsidRPr="00B153C9">
        <w:rPr>
          <w:rStyle w:val="EndnoteReference"/>
          <w:color w:val="000000"/>
          <w:sz w:val="23"/>
          <w:szCs w:val="23"/>
        </w:rPr>
        <w:endnoteReference w:id="1"/>
      </w:r>
      <w:r w:rsidRPr="00B153C9">
        <w:rPr>
          <w:sz w:val="23"/>
          <w:szCs w:val="23"/>
        </w:rPr>
        <w:t xml:space="preserve">. </w:t>
      </w:r>
    </w:p>
    <w:p w:rsidR="004C1D5C" w:rsidRPr="00B153C9" w:rsidRDefault="004C1D5C" w:rsidP="0093460F">
      <w:pPr>
        <w:numPr>
          <w:ilvl w:val="0"/>
          <w:numId w:val="2"/>
        </w:numPr>
        <w:spacing w:after="0" w:line="240" w:lineRule="auto"/>
        <w:rPr>
          <w:rFonts w:cs="Arial"/>
          <w:color w:val="000000"/>
          <w:sz w:val="23"/>
          <w:szCs w:val="23"/>
        </w:rPr>
      </w:pPr>
      <w:r w:rsidRPr="00B153C9">
        <w:rPr>
          <w:rFonts w:cs="Arial"/>
          <w:color w:val="000000"/>
          <w:sz w:val="23"/>
          <w:szCs w:val="23"/>
        </w:rPr>
        <w:t>Official Bond in accordance with Gov. Code secs. 1450-1462 (insurance does not fulfill the requirement of a bond</w:t>
      </w:r>
      <w:r w:rsidRPr="00B153C9">
        <w:rPr>
          <w:rStyle w:val="EndnoteReference"/>
          <w:rFonts w:cs="Arial"/>
          <w:color w:val="000000"/>
          <w:sz w:val="23"/>
          <w:szCs w:val="23"/>
        </w:rPr>
        <w:endnoteReference w:id="2"/>
      </w:r>
      <w:r w:rsidRPr="00B153C9">
        <w:rPr>
          <w:rFonts w:cs="Arial"/>
          <w:color w:val="000000"/>
          <w:sz w:val="23"/>
          <w:szCs w:val="23"/>
        </w:rPr>
        <w:t>).</w:t>
      </w:r>
    </w:p>
    <w:p w:rsidR="004C1D5C" w:rsidRPr="00B153C9" w:rsidRDefault="004C1D5C" w:rsidP="0093460F">
      <w:pPr>
        <w:numPr>
          <w:ilvl w:val="0"/>
          <w:numId w:val="2"/>
        </w:numPr>
        <w:spacing w:after="0" w:line="240" w:lineRule="auto"/>
        <w:rPr>
          <w:rFonts w:cs="Arial"/>
          <w:color w:val="000000"/>
          <w:sz w:val="23"/>
          <w:szCs w:val="23"/>
        </w:rPr>
      </w:pPr>
      <w:r w:rsidRPr="00B153C9">
        <w:rPr>
          <w:rFonts w:cs="Arial"/>
          <w:color w:val="000000"/>
          <w:sz w:val="23"/>
          <w:szCs w:val="23"/>
        </w:rPr>
        <w:t xml:space="preserve">Affidavit of Delegation of Authority. </w:t>
      </w:r>
    </w:p>
    <w:p w:rsidR="004C1D5C" w:rsidRPr="00B153C9" w:rsidRDefault="004C1D5C" w:rsidP="0093460F">
      <w:pPr>
        <w:numPr>
          <w:ilvl w:val="0"/>
          <w:numId w:val="2"/>
        </w:numPr>
        <w:spacing w:after="0" w:line="240" w:lineRule="auto"/>
        <w:rPr>
          <w:rFonts w:cs="Arial"/>
          <w:color w:val="000000"/>
          <w:sz w:val="23"/>
          <w:szCs w:val="23"/>
        </w:rPr>
      </w:pPr>
      <w:r w:rsidRPr="00B153C9">
        <w:rPr>
          <w:rFonts w:cs="Arial"/>
          <w:color w:val="000000"/>
          <w:sz w:val="23"/>
          <w:szCs w:val="23"/>
        </w:rPr>
        <w:t>Authorization to incur liability for the government corporation.</w:t>
      </w:r>
    </w:p>
    <w:p w:rsidR="004C1D5C" w:rsidRPr="00B153C9" w:rsidRDefault="004C1D5C" w:rsidP="0093460F">
      <w:pPr>
        <w:numPr>
          <w:ilvl w:val="0"/>
          <w:numId w:val="2"/>
        </w:numPr>
        <w:spacing w:after="0" w:line="240" w:lineRule="auto"/>
        <w:rPr>
          <w:rFonts w:cs="Arial"/>
          <w:color w:val="000000"/>
          <w:sz w:val="23"/>
          <w:szCs w:val="23"/>
        </w:rPr>
      </w:pPr>
      <w:r w:rsidRPr="00B153C9">
        <w:rPr>
          <w:rFonts w:cs="Arial"/>
          <w:color w:val="000000"/>
          <w:sz w:val="23"/>
          <w:szCs w:val="23"/>
        </w:rPr>
        <w:t>Employee Affidavit, if applicable. </w:t>
      </w:r>
    </w:p>
    <w:p w:rsidR="004C1D5C" w:rsidRPr="00B153C9" w:rsidRDefault="004C1D5C" w:rsidP="00E0662F">
      <w:pPr>
        <w:numPr>
          <w:ilvl w:val="0"/>
          <w:numId w:val="2"/>
        </w:numPr>
        <w:spacing w:after="0" w:line="240" w:lineRule="auto"/>
        <w:rPr>
          <w:rFonts w:cs="Arial"/>
          <w:color w:val="000000"/>
          <w:sz w:val="23"/>
          <w:szCs w:val="23"/>
        </w:rPr>
      </w:pPr>
      <w:r w:rsidRPr="00B153C9">
        <w:rPr>
          <w:rFonts w:cs="Arial"/>
          <w:color w:val="000000"/>
          <w:sz w:val="23"/>
          <w:szCs w:val="23"/>
        </w:rPr>
        <w:t>Statement of Economic Interests (</w:t>
      </w:r>
      <w:smartTag w:uri="urn:schemas-microsoft-com:office:smarttags" w:element="place">
        <w:r w:rsidRPr="00B153C9">
          <w:rPr>
            <w:rFonts w:cs="Arial"/>
            <w:color w:val="000000"/>
            <w:sz w:val="23"/>
            <w:szCs w:val="23"/>
          </w:rPr>
          <w:t>Calif.</w:t>
        </w:r>
      </w:smartTag>
      <w:r w:rsidRPr="00B153C9">
        <w:rPr>
          <w:rFonts w:cs="Arial"/>
          <w:color w:val="000000"/>
          <w:sz w:val="23"/>
          <w:szCs w:val="23"/>
        </w:rPr>
        <w:t xml:space="preserve"> Fair Political Practices Comm. Form 700).              </w:t>
      </w:r>
    </w:p>
    <w:p w:rsidR="004C1D5C" w:rsidRPr="00B153C9" w:rsidRDefault="004C1D5C" w:rsidP="004E5B7F">
      <w:pPr>
        <w:numPr>
          <w:ilvl w:val="0"/>
          <w:numId w:val="2"/>
        </w:numPr>
        <w:spacing w:after="120" w:line="240" w:lineRule="auto"/>
        <w:rPr>
          <w:rFonts w:cs="Arial"/>
          <w:color w:val="000000"/>
          <w:sz w:val="23"/>
          <w:szCs w:val="23"/>
        </w:rPr>
      </w:pPr>
      <w:r w:rsidRPr="00B153C9">
        <w:rPr>
          <w:rFonts w:cs="Arial"/>
          <w:color w:val="000000"/>
          <w:sz w:val="23"/>
          <w:szCs w:val="23"/>
        </w:rPr>
        <w:t>Pocket Commission.</w:t>
      </w:r>
    </w:p>
    <w:p w:rsidR="004C1D5C" w:rsidRPr="00B153C9" w:rsidRDefault="004C1D5C" w:rsidP="00F83C93">
      <w:pPr>
        <w:spacing w:after="0" w:line="240" w:lineRule="auto"/>
        <w:rPr>
          <w:rFonts w:cs="Arial"/>
          <w:sz w:val="23"/>
          <w:szCs w:val="23"/>
        </w:rPr>
      </w:pPr>
      <w:r w:rsidRPr="00B153C9">
        <w:rPr>
          <w:rFonts w:cs="Arial"/>
          <w:sz w:val="23"/>
          <w:szCs w:val="23"/>
        </w:rPr>
        <w:t>For attorneys/lawyers, the following additional documents:</w:t>
      </w:r>
    </w:p>
    <w:p w:rsidR="004C1D5C" w:rsidRPr="00B153C9" w:rsidRDefault="004C1D5C" w:rsidP="00E0662F">
      <w:pPr>
        <w:numPr>
          <w:ilvl w:val="0"/>
          <w:numId w:val="2"/>
        </w:numPr>
        <w:spacing w:after="0" w:line="240" w:lineRule="auto"/>
        <w:rPr>
          <w:rFonts w:cs="Arial"/>
          <w:color w:val="000000"/>
          <w:sz w:val="23"/>
          <w:szCs w:val="23"/>
        </w:rPr>
      </w:pPr>
      <w:r w:rsidRPr="00B153C9">
        <w:rPr>
          <w:rFonts w:cs="Arial"/>
          <w:color w:val="000000"/>
          <w:sz w:val="23"/>
          <w:szCs w:val="23"/>
        </w:rPr>
        <w:t>BAR Number.</w:t>
      </w:r>
    </w:p>
    <w:p w:rsidR="004C1D5C" w:rsidRPr="00B153C9" w:rsidRDefault="004C1D5C" w:rsidP="00E0662F">
      <w:pPr>
        <w:numPr>
          <w:ilvl w:val="0"/>
          <w:numId w:val="2"/>
        </w:numPr>
        <w:spacing w:after="0" w:line="240" w:lineRule="auto"/>
        <w:rPr>
          <w:rFonts w:cs="Arial"/>
          <w:color w:val="000000"/>
          <w:sz w:val="23"/>
          <w:szCs w:val="23"/>
        </w:rPr>
      </w:pPr>
      <w:r w:rsidRPr="00B153C9">
        <w:rPr>
          <w:rFonts w:cs="Arial"/>
          <w:color w:val="000000"/>
          <w:sz w:val="23"/>
          <w:szCs w:val="23"/>
        </w:rPr>
        <w:t>License to practice law.</w:t>
      </w:r>
    </w:p>
    <w:p w:rsidR="004C1D5C" w:rsidRPr="00B153C9" w:rsidRDefault="004C1D5C" w:rsidP="0093460F">
      <w:pPr>
        <w:numPr>
          <w:ilvl w:val="0"/>
          <w:numId w:val="2"/>
        </w:numPr>
        <w:spacing w:after="0" w:line="240" w:lineRule="auto"/>
        <w:rPr>
          <w:rFonts w:cs="Arial"/>
          <w:sz w:val="23"/>
          <w:szCs w:val="23"/>
        </w:rPr>
      </w:pPr>
      <w:r w:rsidRPr="00B153C9">
        <w:rPr>
          <w:rFonts w:cs="Arial"/>
          <w:color w:val="000000"/>
          <w:sz w:val="23"/>
          <w:szCs w:val="23"/>
        </w:rPr>
        <w:t>Registration Statement (Title 22 U.S.C. § 611 &amp; 612</w:t>
      </w:r>
      <w:r w:rsidRPr="00B153C9">
        <w:rPr>
          <w:rStyle w:val="EndnoteReference"/>
          <w:color w:val="000000"/>
          <w:sz w:val="23"/>
          <w:szCs w:val="23"/>
        </w:rPr>
        <w:endnoteReference w:id="3"/>
      </w:r>
      <w:r w:rsidRPr="00B153C9">
        <w:rPr>
          <w:rFonts w:cs="Arial"/>
          <w:color w:val="000000"/>
          <w:sz w:val="23"/>
          <w:szCs w:val="23"/>
        </w:rPr>
        <w:t xml:space="preserve"> r</w:t>
      </w:r>
      <w:r w:rsidRPr="00B153C9">
        <w:rPr>
          <w:rFonts w:cs="Arial"/>
          <w:sz w:val="23"/>
          <w:szCs w:val="23"/>
        </w:rPr>
        <w:t>e: foreign agent/propagandist).</w:t>
      </w:r>
    </w:p>
    <w:p w:rsidR="004C1D5C" w:rsidRPr="00B153C9" w:rsidRDefault="004C1D5C" w:rsidP="0093460F">
      <w:pPr>
        <w:numPr>
          <w:ilvl w:val="0"/>
          <w:numId w:val="2"/>
        </w:numPr>
        <w:spacing w:after="0" w:line="240" w:lineRule="auto"/>
        <w:rPr>
          <w:rFonts w:cs="Arial"/>
          <w:sz w:val="23"/>
          <w:szCs w:val="23"/>
        </w:rPr>
      </w:pPr>
      <w:r w:rsidRPr="00B153C9">
        <w:rPr>
          <w:rFonts w:cs="Arial"/>
          <w:color w:val="000000"/>
          <w:sz w:val="23"/>
          <w:szCs w:val="23"/>
        </w:rPr>
        <w:t>Loyalty and Security Clearance (Title 22 U.S.C. 272b</w:t>
      </w:r>
      <w:r w:rsidRPr="00B153C9">
        <w:rPr>
          <w:rStyle w:val="EndnoteReference"/>
          <w:color w:val="000000"/>
          <w:sz w:val="23"/>
          <w:szCs w:val="23"/>
        </w:rPr>
        <w:endnoteReference w:id="4"/>
      </w:r>
      <w:r w:rsidRPr="00B153C9">
        <w:rPr>
          <w:rFonts w:cs="Arial"/>
          <w:color w:val="000000"/>
          <w:sz w:val="23"/>
          <w:szCs w:val="23"/>
        </w:rPr>
        <w:t>).</w:t>
      </w:r>
    </w:p>
    <w:p w:rsidR="004C1D5C" w:rsidRPr="00B153C9" w:rsidRDefault="004C1D5C" w:rsidP="00FA2EC3">
      <w:pPr>
        <w:numPr>
          <w:ilvl w:val="0"/>
          <w:numId w:val="2"/>
        </w:numPr>
        <w:spacing w:after="0" w:line="240" w:lineRule="auto"/>
        <w:rPr>
          <w:rFonts w:cs="Arial"/>
          <w:color w:val="000000"/>
          <w:sz w:val="23"/>
          <w:szCs w:val="23"/>
        </w:rPr>
      </w:pPr>
      <w:r w:rsidRPr="00B153C9">
        <w:rPr>
          <w:rFonts w:cs="Arial"/>
          <w:color w:val="000000"/>
          <w:sz w:val="23"/>
          <w:szCs w:val="23"/>
        </w:rPr>
        <w:t xml:space="preserve">Copy of state BAR’s current business registration with the Secretary of State. </w:t>
      </w:r>
    </w:p>
    <w:p w:rsidR="004C1D5C" w:rsidRPr="00B153C9" w:rsidRDefault="004C1D5C" w:rsidP="004E5B7F">
      <w:pPr>
        <w:spacing w:before="120" w:after="0" w:line="240" w:lineRule="auto"/>
        <w:rPr>
          <w:rFonts w:cs="Arial"/>
          <w:sz w:val="23"/>
          <w:szCs w:val="23"/>
        </w:rPr>
      </w:pPr>
      <w:r w:rsidRPr="00B153C9">
        <w:rPr>
          <w:rFonts w:cs="Arial"/>
          <w:sz w:val="23"/>
          <w:szCs w:val="23"/>
        </w:rPr>
        <w:t>For judges, the following additional document:</w:t>
      </w:r>
    </w:p>
    <w:p w:rsidR="004C1D5C" w:rsidRPr="00B153C9" w:rsidRDefault="004C1D5C" w:rsidP="00E0662F">
      <w:pPr>
        <w:numPr>
          <w:ilvl w:val="0"/>
          <w:numId w:val="2"/>
        </w:numPr>
        <w:spacing w:after="0" w:line="240" w:lineRule="auto"/>
        <w:rPr>
          <w:rFonts w:cs="Arial"/>
          <w:color w:val="000000"/>
          <w:sz w:val="23"/>
          <w:szCs w:val="23"/>
        </w:rPr>
      </w:pPr>
      <w:r w:rsidRPr="00B153C9">
        <w:rPr>
          <w:rFonts w:cs="Arial"/>
          <w:color w:val="000000"/>
          <w:sz w:val="23"/>
          <w:szCs w:val="23"/>
        </w:rPr>
        <w:t>Oath of Office for justices and judges per 28 U.S.C. sec. 453</w:t>
      </w:r>
      <w:r w:rsidRPr="00B153C9">
        <w:rPr>
          <w:rStyle w:val="EndnoteReference"/>
          <w:color w:val="000000"/>
          <w:sz w:val="23"/>
          <w:szCs w:val="23"/>
        </w:rPr>
        <w:endnoteReference w:id="5"/>
      </w:r>
      <w:r w:rsidRPr="00B153C9">
        <w:rPr>
          <w:rFonts w:cs="Arial"/>
          <w:color w:val="000000"/>
          <w:sz w:val="23"/>
          <w:szCs w:val="23"/>
        </w:rPr>
        <w:t>.</w:t>
      </w:r>
    </w:p>
    <w:p w:rsidR="004C1D5C" w:rsidRPr="00B153C9" w:rsidRDefault="004C1D5C" w:rsidP="00031739">
      <w:pPr>
        <w:spacing w:after="0" w:line="240" w:lineRule="auto"/>
        <w:rPr>
          <w:rFonts w:cs="Arial"/>
          <w:color w:val="000000"/>
          <w:sz w:val="23"/>
          <w:szCs w:val="23"/>
        </w:rPr>
      </w:pPr>
    </w:p>
    <w:p w:rsidR="004C1D5C" w:rsidRPr="00B153C9" w:rsidRDefault="004C1D5C" w:rsidP="0098342E">
      <w:pPr>
        <w:spacing w:after="120" w:line="240" w:lineRule="auto"/>
        <w:rPr>
          <w:rFonts w:cs="Arial"/>
          <w:sz w:val="23"/>
          <w:szCs w:val="23"/>
        </w:rPr>
      </w:pPr>
      <w:r w:rsidRPr="00B153C9">
        <w:rPr>
          <w:color w:val="000000"/>
          <w:sz w:val="23"/>
          <w:szCs w:val="23"/>
        </w:rPr>
        <w:t>Please be aware that the federal court has held in</w:t>
      </w:r>
      <w:r w:rsidRPr="00B153C9">
        <w:rPr>
          <w:rFonts w:cs="Arial"/>
          <w:color w:val="000000"/>
          <w:sz w:val="23"/>
          <w:szCs w:val="23"/>
        </w:rPr>
        <w:t> </w:t>
      </w:r>
      <w:r w:rsidRPr="00B153C9">
        <w:rPr>
          <w:i/>
          <w:iCs/>
          <w:color w:val="000000"/>
          <w:sz w:val="23"/>
          <w:szCs w:val="23"/>
        </w:rPr>
        <w:t>U.S. v. Tweel</w:t>
      </w:r>
      <w:r w:rsidRPr="00B153C9">
        <w:rPr>
          <w:color w:val="000000"/>
          <w:sz w:val="23"/>
          <w:szCs w:val="23"/>
        </w:rPr>
        <w:t xml:space="preserve">, 550 F.2d 297, 299 (1977) that “Silence can  only be  equated with  fraud where  there is a  legal or  moral duty  to speak  or  where  an  inquiry left unanswered would be intentionally misleading ...”.   It is your duty and fiduciary obligation to provide the above information in a timely and truthful manner.  </w:t>
      </w:r>
    </w:p>
    <w:p w:rsidR="004C1D5C" w:rsidRPr="00B153C9" w:rsidRDefault="004C1D5C" w:rsidP="0098342E">
      <w:pPr>
        <w:spacing w:after="120" w:line="240" w:lineRule="auto"/>
        <w:rPr>
          <w:rFonts w:cs="Arial"/>
          <w:sz w:val="23"/>
          <w:szCs w:val="23"/>
        </w:rPr>
      </w:pPr>
      <w:r w:rsidRPr="00B153C9">
        <w:rPr>
          <w:color w:val="000000"/>
          <w:sz w:val="23"/>
          <w:szCs w:val="23"/>
        </w:rPr>
        <w:t xml:space="preserve">Your failure, refusal, and/or neglect to fully and timely comply with this Administrative Notice and Demand will establish, by </w:t>
      </w:r>
      <w:r w:rsidRPr="00B153C9">
        <w:rPr>
          <w:i/>
          <w:iCs/>
          <w:color w:val="000000"/>
          <w:sz w:val="23"/>
          <w:szCs w:val="23"/>
        </w:rPr>
        <w:t>tacit procuration</w:t>
      </w:r>
      <w:r w:rsidRPr="00B153C9">
        <w:rPr>
          <w:color w:val="000000"/>
          <w:sz w:val="23"/>
          <w:szCs w:val="23"/>
        </w:rPr>
        <w:t>, a default on and for the record that you have failed to qualify for your office or employment pursuant California Government Code section 1770(i)</w:t>
      </w:r>
      <w:r w:rsidRPr="00B153C9">
        <w:rPr>
          <w:rStyle w:val="EndnoteReference"/>
          <w:color w:val="000000"/>
          <w:sz w:val="23"/>
          <w:szCs w:val="23"/>
        </w:rPr>
        <w:endnoteReference w:id="6"/>
      </w:r>
      <w:r w:rsidRPr="00B153C9">
        <w:rPr>
          <w:color w:val="000000"/>
          <w:sz w:val="23"/>
          <w:szCs w:val="23"/>
        </w:rPr>
        <w:t xml:space="preserve">.  In case of such default, you are acting without lawful authority, office, and/or capacity as an officer, official, or agent for the original jurisdiction non-corporate governmental “People of the State of </w:t>
      </w:r>
      <w:smartTag w:uri="urn:schemas-microsoft-com:office:smarttags" w:element="place">
        <w:r w:rsidRPr="00B153C9">
          <w:rPr>
            <w:color w:val="000000"/>
            <w:sz w:val="23"/>
            <w:szCs w:val="23"/>
          </w:rPr>
          <w:t>California</w:t>
        </w:r>
      </w:smartTag>
      <w:r w:rsidRPr="00B153C9">
        <w:rPr>
          <w:color w:val="000000"/>
          <w:sz w:val="23"/>
          <w:szCs w:val="23"/>
        </w:rPr>
        <w:t>” pursuant the California Constitution (1849) to conduct any business or to approach Presentor or any other man, woman, child or person.</w:t>
      </w:r>
    </w:p>
    <w:p w:rsidR="004C1D5C" w:rsidRPr="00B153C9" w:rsidRDefault="004C1D5C" w:rsidP="0098342E">
      <w:pPr>
        <w:spacing w:after="0" w:line="240" w:lineRule="auto"/>
        <w:rPr>
          <w:color w:val="000000"/>
          <w:sz w:val="23"/>
          <w:szCs w:val="23"/>
        </w:rPr>
      </w:pPr>
      <w:r w:rsidRPr="00B153C9">
        <w:rPr>
          <w:color w:val="000000"/>
          <w:sz w:val="23"/>
          <w:szCs w:val="23"/>
        </w:rPr>
        <w:t xml:space="preserve">I, </w:t>
      </w:r>
      <w:r>
        <w:rPr>
          <w:color w:val="000000"/>
          <w:sz w:val="23"/>
          <w:szCs w:val="23"/>
        </w:rPr>
        <w:t xml:space="preserve">           </w:t>
      </w:r>
      <w:r w:rsidRPr="00B153C9">
        <w:rPr>
          <w:color w:val="000000"/>
          <w:sz w:val="23"/>
          <w:szCs w:val="23"/>
        </w:rPr>
        <w:t xml:space="preserve">, one of the People, in my correct public capacity and beneficiary of the original jurisdiction, being of lawful age, a competent self realized entity, a credible man upon the land, my yes be yes, my no be no, do state that the truths and facts stated herein are first hand personal knowledge, true, correct, complete, certain, not misleading; and as my Father who art in Heaven and my Creator is my Witness. </w:t>
      </w:r>
    </w:p>
    <w:p w:rsidR="004C1D5C" w:rsidRPr="00B153C9" w:rsidRDefault="004C1D5C" w:rsidP="00031739">
      <w:pPr>
        <w:spacing w:after="0" w:line="240" w:lineRule="auto"/>
        <w:rPr>
          <w:rFonts w:cs="Arial"/>
          <w:sz w:val="23"/>
          <w:szCs w:val="23"/>
        </w:rPr>
      </w:pPr>
    </w:p>
    <w:p w:rsidR="004C1D5C" w:rsidRPr="00B153C9" w:rsidRDefault="004C1D5C" w:rsidP="00031739">
      <w:pPr>
        <w:spacing w:after="0" w:line="240" w:lineRule="auto"/>
        <w:rPr>
          <w:rFonts w:cs="Arial"/>
          <w:sz w:val="23"/>
          <w:szCs w:val="23"/>
        </w:rPr>
      </w:pPr>
      <w:r w:rsidRPr="00B153C9">
        <w:rPr>
          <w:rFonts w:cs="Arial"/>
          <w:color w:val="000000"/>
          <w:sz w:val="23"/>
          <w:szCs w:val="23"/>
        </w:rPr>
        <w:t xml:space="preserve">DONE on this ________ day of ______________, two thousand thirteen, near </w:t>
      </w:r>
      <w:smartTag w:uri="urn:schemas-microsoft-com:office:smarttags" w:element="place">
        <w:r w:rsidRPr="00B153C9">
          <w:rPr>
            <w:rFonts w:cs="Arial"/>
            <w:color w:val="000000"/>
            <w:sz w:val="23"/>
            <w:szCs w:val="23"/>
          </w:rPr>
          <w:t>Ventura</w:t>
        </w:r>
      </w:smartTag>
      <w:r w:rsidRPr="00B153C9">
        <w:rPr>
          <w:rFonts w:cs="Arial"/>
          <w:color w:val="000000"/>
          <w:sz w:val="23"/>
          <w:szCs w:val="23"/>
        </w:rPr>
        <w:t xml:space="preserve"> county, </w:t>
      </w:r>
      <w:smartTag w:uri="urn:schemas-microsoft-com:office:smarttags" w:element="place">
        <w:r w:rsidRPr="00B153C9">
          <w:rPr>
            <w:rFonts w:cs="Arial"/>
            <w:color w:val="000000"/>
            <w:sz w:val="23"/>
            <w:szCs w:val="23"/>
          </w:rPr>
          <w:t>California</w:t>
        </w:r>
      </w:smartTag>
      <w:r w:rsidRPr="00B153C9">
        <w:rPr>
          <w:rFonts w:cs="Arial"/>
          <w:color w:val="000000"/>
          <w:sz w:val="23"/>
          <w:szCs w:val="23"/>
        </w:rPr>
        <w:t>.</w:t>
      </w:r>
    </w:p>
    <w:p w:rsidR="004C1D5C" w:rsidRPr="00B153C9" w:rsidRDefault="004C1D5C" w:rsidP="0042295F">
      <w:pPr>
        <w:spacing w:after="0" w:line="240" w:lineRule="auto"/>
        <w:ind w:left="3570" w:firstLine="720"/>
        <w:rPr>
          <w:rFonts w:cs="Arial"/>
          <w:sz w:val="23"/>
          <w:szCs w:val="23"/>
        </w:rPr>
      </w:pPr>
      <w:r w:rsidRPr="00B153C9">
        <w:rPr>
          <w:rFonts w:cs="Arial"/>
          <w:color w:val="000000"/>
          <w:sz w:val="23"/>
          <w:szCs w:val="23"/>
        </w:rPr>
        <w:t>Further, Presentor saith not.</w:t>
      </w:r>
    </w:p>
    <w:p w:rsidR="004C1D5C" w:rsidRPr="00B153C9" w:rsidRDefault="004C1D5C" w:rsidP="00031739">
      <w:pPr>
        <w:spacing w:after="0" w:line="240" w:lineRule="auto"/>
        <w:rPr>
          <w:rFonts w:cs="Arial"/>
          <w:sz w:val="23"/>
          <w:szCs w:val="23"/>
        </w:rPr>
      </w:pPr>
      <w:r w:rsidRPr="00B153C9">
        <w:rPr>
          <w:rFonts w:cs="Arial"/>
          <w:sz w:val="23"/>
          <w:szCs w:val="23"/>
        </w:rPr>
        <w:t> </w:t>
      </w:r>
    </w:p>
    <w:p w:rsidR="004C1D5C" w:rsidRPr="00B153C9" w:rsidRDefault="004C1D5C" w:rsidP="00031739">
      <w:pPr>
        <w:spacing w:after="0" w:line="240" w:lineRule="auto"/>
        <w:rPr>
          <w:rFonts w:cs="Arial"/>
          <w:sz w:val="23"/>
          <w:szCs w:val="23"/>
        </w:rPr>
      </w:pPr>
      <w:r w:rsidRPr="00B153C9">
        <w:rPr>
          <w:rFonts w:cs="Arial"/>
          <w:sz w:val="23"/>
          <w:szCs w:val="23"/>
        </w:rPr>
        <w:t> </w:t>
      </w:r>
    </w:p>
    <w:p w:rsidR="004C1D5C" w:rsidRPr="00B153C9" w:rsidRDefault="004C1D5C" w:rsidP="0042295F">
      <w:pPr>
        <w:spacing w:after="0" w:line="240" w:lineRule="auto"/>
        <w:ind w:left="3570" w:firstLine="720"/>
        <w:rPr>
          <w:rFonts w:cs="Arial"/>
          <w:sz w:val="23"/>
          <w:szCs w:val="23"/>
        </w:rPr>
      </w:pPr>
      <w:r w:rsidRPr="00B153C9">
        <w:rPr>
          <w:rFonts w:cs="Arial"/>
          <w:color w:val="000000"/>
          <w:sz w:val="23"/>
          <w:szCs w:val="23"/>
        </w:rPr>
        <w:t xml:space="preserve">__________________________________________ </w:t>
      </w:r>
    </w:p>
    <w:p w:rsidR="004C1D5C" w:rsidRPr="00B153C9" w:rsidRDefault="004C1D5C" w:rsidP="0042295F">
      <w:pPr>
        <w:spacing w:after="120" w:line="240" w:lineRule="auto"/>
        <w:rPr>
          <w:rFonts w:cs="Arial"/>
          <w:sz w:val="23"/>
          <w:szCs w:val="23"/>
        </w:rPr>
      </w:pPr>
      <w:r>
        <w:rPr>
          <w:rFonts w:cs="Arial"/>
          <w:color w:val="000000"/>
          <w:sz w:val="23"/>
          <w:szCs w:val="23"/>
        </w:rPr>
        <w:br w:type="page"/>
        <w:t>All re</w:t>
      </w:r>
      <w:r w:rsidRPr="00B153C9">
        <w:rPr>
          <w:rFonts w:cs="Arial"/>
          <w:color w:val="000000"/>
          <w:sz w:val="23"/>
          <w:szCs w:val="23"/>
        </w:rPr>
        <w:t xml:space="preserve">sponses are to be sent addressed as follows: </w:t>
      </w:r>
    </w:p>
    <w:p w:rsidR="004C1D5C" w:rsidRDefault="004C1D5C" w:rsidP="0042295F">
      <w:pPr>
        <w:spacing w:after="0" w:line="240" w:lineRule="auto"/>
      </w:pPr>
      <w:r>
        <w:tab/>
      </w:r>
    </w:p>
    <w:p w:rsidR="004C1D5C" w:rsidRDefault="004C1D5C" w:rsidP="0042295F">
      <w:pPr>
        <w:spacing w:after="0" w:line="240" w:lineRule="auto"/>
      </w:pPr>
    </w:p>
    <w:p w:rsidR="004C1D5C" w:rsidRDefault="004C1D5C" w:rsidP="0042295F">
      <w:pPr>
        <w:spacing w:after="0" w:line="240" w:lineRule="auto"/>
      </w:pPr>
    </w:p>
    <w:p w:rsidR="004C1D5C" w:rsidRDefault="004C1D5C" w:rsidP="00115401">
      <w:pPr>
        <w:spacing w:after="0" w:line="240" w:lineRule="auto"/>
      </w:pPr>
      <w:r>
        <w:tab/>
      </w:r>
    </w:p>
    <w:p w:rsidR="004C1D5C" w:rsidRPr="00B94F40" w:rsidRDefault="004C1D5C" w:rsidP="00B153C9">
      <w:pPr>
        <w:spacing w:after="0" w:line="240" w:lineRule="auto"/>
        <w:jc w:val="center"/>
      </w:pPr>
      <w:r>
        <w:t>End notes</w:t>
      </w:r>
    </w:p>
    <w:sectPr w:rsidR="004C1D5C" w:rsidRPr="00B94F40" w:rsidSect="00B153C9">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5C" w:rsidRDefault="004C1D5C">
      <w:r>
        <w:separator/>
      </w:r>
    </w:p>
  </w:endnote>
  <w:endnote w:type="continuationSeparator" w:id="0">
    <w:p w:rsidR="004C1D5C" w:rsidRDefault="004C1D5C">
      <w:r>
        <w:continuationSeparator/>
      </w:r>
    </w:p>
  </w:endnote>
  <w:endnote w:id="1">
    <w:p w:rsidR="004C1D5C" w:rsidRDefault="004C1D5C" w:rsidP="00556D09">
      <w:pPr>
        <w:pStyle w:val="HTMLPreformatted"/>
        <w:spacing w:after="80"/>
      </w:pPr>
      <w:r w:rsidRPr="00062BC5">
        <w:rPr>
          <w:rStyle w:val="EndnoteReference"/>
          <w:rFonts w:ascii="Calibri" w:hAnsi="Calibri"/>
          <w:sz w:val="22"/>
          <w:szCs w:val="22"/>
        </w:rPr>
        <w:endnoteRef/>
      </w:r>
      <w:r w:rsidRPr="00062BC5">
        <w:rPr>
          <w:rFonts w:ascii="Calibri" w:hAnsi="Calibri"/>
          <w:sz w:val="22"/>
          <w:szCs w:val="22"/>
        </w:rPr>
        <w:t xml:space="preserve"> </w:t>
      </w:r>
      <w:r w:rsidRPr="00DE009A">
        <w:rPr>
          <w:rFonts w:ascii="Calibri" w:hAnsi="Calibri"/>
          <w:sz w:val="22"/>
          <w:szCs w:val="22"/>
        </w:rPr>
        <w:t xml:space="preserve">California Government Code § 1360 is titled “Necessity of taking </w:t>
      </w:r>
      <w:r w:rsidRPr="00DE009A">
        <w:rPr>
          <w:rFonts w:ascii="Calibri" w:hAnsi="Calibri"/>
          <w:sz w:val="22"/>
          <w:szCs w:val="22"/>
          <w:u w:val="single"/>
        </w:rPr>
        <w:t>constitutional</w:t>
      </w:r>
      <w:r w:rsidRPr="00DE009A">
        <w:rPr>
          <w:rFonts w:ascii="Calibri" w:hAnsi="Calibri"/>
          <w:sz w:val="22"/>
          <w:szCs w:val="22"/>
        </w:rPr>
        <w:t xml:space="preserve"> oath</w:t>
      </w:r>
      <w:r>
        <w:rPr>
          <w:rFonts w:ascii="Calibri" w:hAnsi="Calibri"/>
          <w:sz w:val="22"/>
          <w:szCs w:val="22"/>
        </w:rPr>
        <w:t>.”</w:t>
      </w:r>
    </w:p>
  </w:endnote>
  <w:endnote w:id="2">
    <w:p w:rsidR="004C1D5C" w:rsidRPr="00F94E31" w:rsidRDefault="004C1D5C" w:rsidP="00556D09">
      <w:pPr>
        <w:pStyle w:val="HTMLPreformatted"/>
        <w:spacing w:after="60"/>
        <w:rPr>
          <w:rFonts w:ascii="Calibri" w:hAnsi="Calibri"/>
          <w:sz w:val="22"/>
          <w:szCs w:val="22"/>
        </w:rPr>
      </w:pPr>
      <w:r w:rsidRPr="00F94E31">
        <w:rPr>
          <w:rStyle w:val="EndnoteReference"/>
          <w:rFonts w:ascii="Calibri" w:hAnsi="Calibri"/>
          <w:sz w:val="22"/>
          <w:szCs w:val="22"/>
        </w:rPr>
        <w:endnoteRef/>
      </w:r>
      <w:r w:rsidRPr="00F94E31">
        <w:rPr>
          <w:rFonts w:ascii="Calibri" w:hAnsi="Calibri"/>
          <w:sz w:val="22"/>
          <w:szCs w:val="22"/>
        </w:rPr>
        <w:t xml:space="preserve"> California Government Code § 1450</w:t>
      </w:r>
      <w:r>
        <w:rPr>
          <w:rFonts w:ascii="Calibri" w:hAnsi="Calibri"/>
          <w:sz w:val="22"/>
          <w:szCs w:val="22"/>
        </w:rPr>
        <w:t>:</w:t>
      </w:r>
      <w:r w:rsidRPr="00F94E31">
        <w:rPr>
          <w:rFonts w:ascii="Calibri" w:hAnsi="Calibri"/>
          <w:sz w:val="22"/>
          <w:szCs w:val="22"/>
        </w:rPr>
        <w:t xml:space="preserve"> Unless otherwise provided, every official bond shall be filed</w:t>
      </w:r>
      <w:r>
        <w:rPr>
          <w:rFonts w:ascii="Calibri" w:hAnsi="Calibri"/>
          <w:sz w:val="22"/>
          <w:szCs w:val="22"/>
        </w:rPr>
        <w:t xml:space="preserve"> </w:t>
      </w:r>
      <w:r w:rsidRPr="00F94E31">
        <w:rPr>
          <w:rFonts w:ascii="Calibri" w:hAnsi="Calibri"/>
          <w:sz w:val="22"/>
          <w:szCs w:val="22"/>
        </w:rPr>
        <w:t>in the proper office within the time prescribed for filing the oath.</w:t>
      </w:r>
    </w:p>
    <w:p w:rsidR="004C1D5C" w:rsidRDefault="004C1D5C" w:rsidP="00556D09">
      <w:pPr>
        <w:pStyle w:val="HTMLPreformatted"/>
        <w:spacing w:after="60"/>
        <w:rPr>
          <w:rFonts w:ascii="Calibri" w:hAnsi="Calibri"/>
          <w:sz w:val="22"/>
          <w:szCs w:val="22"/>
        </w:rPr>
      </w:pPr>
      <w:r w:rsidRPr="00F94E31">
        <w:rPr>
          <w:rFonts w:ascii="Calibri" w:hAnsi="Calibri"/>
          <w:sz w:val="22"/>
          <w:szCs w:val="22"/>
        </w:rPr>
        <w:t xml:space="preserve">California Government Code § 1463, </w:t>
      </w:r>
      <w:r w:rsidRPr="00E378B8">
        <w:rPr>
          <w:rFonts w:ascii="Calibri" w:hAnsi="Calibri"/>
          <w:b/>
          <w:sz w:val="22"/>
          <w:szCs w:val="22"/>
        </w:rPr>
        <w:t>Insurance policies</w:t>
      </w:r>
      <w:r w:rsidRPr="00F94E31">
        <w:rPr>
          <w:rFonts w:ascii="Calibri" w:hAnsi="Calibri"/>
          <w:sz w:val="22"/>
          <w:szCs w:val="22"/>
        </w:rPr>
        <w:t>, 2</w:t>
      </w:r>
      <w:r w:rsidRPr="00F94E31">
        <w:rPr>
          <w:rFonts w:ascii="Calibri" w:hAnsi="Calibri"/>
          <w:sz w:val="22"/>
          <w:szCs w:val="22"/>
          <w:vertAlign w:val="superscript"/>
        </w:rPr>
        <w:t>nd</w:t>
      </w:r>
      <w:r w:rsidRPr="00F94E31">
        <w:rPr>
          <w:rFonts w:ascii="Calibri" w:hAnsi="Calibri"/>
          <w:sz w:val="22"/>
          <w:szCs w:val="22"/>
        </w:rPr>
        <w:t xml:space="preserve"> sentence states: “An insurance policy procured pursuant to this section </w:t>
      </w:r>
      <w:r w:rsidRPr="00E378B8">
        <w:rPr>
          <w:rFonts w:ascii="Calibri" w:hAnsi="Calibri"/>
          <w:b/>
          <w:sz w:val="22"/>
          <w:szCs w:val="22"/>
        </w:rPr>
        <w:t>may be used as a master bond</w:t>
      </w:r>
      <w:r w:rsidRPr="00F94E31">
        <w:rPr>
          <w:rFonts w:ascii="Calibri" w:hAnsi="Calibri"/>
          <w:sz w:val="22"/>
          <w:szCs w:val="22"/>
        </w:rPr>
        <w:t xml:space="preserve"> as though it were an official bond, subject to approval of the appointing power or the legislative body as provided in Section 1481.”</w:t>
      </w:r>
    </w:p>
    <w:p w:rsidR="004C1D5C" w:rsidRPr="00F94E31" w:rsidRDefault="004C1D5C" w:rsidP="00556D09">
      <w:pPr>
        <w:pStyle w:val="HTMLPreformatted"/>
        <w:spacing w:after="60"/>
        <w:rPr>
          <w:rFonts w:ascii="Calibri" w:hAnsi="Calibri"/>
          <w:sz w:val="22"/>
          <w:szCs w:val="22"/>
        </w:rPr>
      </w:pPr>
      <w:r w:rsidRPr="000F6057">
        <w:rPr>
          <w:rFonts w:ascii="Calibri" w:hAnsi="Calibri"/>
          <w:sz w:val="22"/>
          <w:szCs w:val="22"/>
        </w:rPr>
        <w:t>Section 1481, titled “</w:t>
      </w:r>
      <w:r w:rsidRPr="000F6057">
        <w:rPr>
          <w:rFonts w:ascii="Calibri" w:hAnsi="Calibri"/>
          <w:b/>
          <w:sz w:val="22"/>
          <w:szCs w:val="22"/>
        </w:rPr>
        <w:t>Master Bonds</w:t>
      </w:r>
      <w:r w:rsidRPr="000F6057">
        <w:rPr>
          <w:rFonts w:ascii="Calibri" w:hAnsi="Calibri"/>
          <w:sz w:val="22"/>
          <w:szCs w:val="22"/>
        </w:rPr>
        <w:t>,” found in Government Code Title 1, Article 2, has the heading: “</w:t>
      </w:r>
      <w:r w:rsidRPr="000F6057">
        <w:rPr>
          <w:rFonts w:ascii="Calibri" w:hAnsi="Calibri"/>
          <w:b/>
          <w:sz w:val="22"/>
          <w:szCs w:val="22"/>
        </w:rPr>
        <w:t>BONDS NOT REQUIRED BY STATUTE</w:t>
      </w:r>
      <w:r w:rsidRPr="000F6057">
        <w:rPr>
          <w:rFonts w:ascii="Calibri" w:hAnsi="Calibri"/>
          <w:sz w:val="22"/>
          <w:szCs w:val="22"/>
        </w:rPr>
        <w:t>.”</w:t>
      </w:r>
      <w:r w:rsidRPr="00F94E31">
        <w:rPr>
          <w:rFonts w:ascii="Calibri" w:hAnsi="Calibri"/>
          <w:sz w:val="22"/>
          <w:szCs w:val="22"/>
        </w:rPr>
        <w:t xml:space="preserve">  Section 1481(a) states: “When deemed expedient by the appointing power, a master official bond or other form of master bond may be used which shall provide coverage on more than one officer, employee, or agent who is required by the appointing power or the board of supervisors of a chartered or general law county to give bond.”  Section 1481(c) states: “’Legislative body’ means the board of supervisors of a county or city, or the governing board by whatever name called of a local public agency.” </w:t>
      </w:r>
    </w:p>
    <w:p w:rsidR="004C1D5C" w:rsidRPr="00F94E31" w:rsidRDefault="004C1D5C" w:rsidP="00556D09">
      <w:pPr>
        <w:pStyle w:val="EndnoteText"/>
        <w:spacing w:after="60" w:line="240" w:lineRule="auto"/>
        <w:rPr>
          <w:sz w:val="22"/>
          <w:szCs w:val="22"/>
        </w:rPr>
      </w:pPr>
      <w:r w:rsidRPr="00F94E31">
        <w:rPr>
          <w:sz w:val="22"/>
          <w:szCs w:val="22"/>
        </w:rPr>
        <w:t xml:space="preserve">West’s </w:t>
      </w:r>
      <w:r w:rsidRPr="00F94E31">
        <w:rPr>
          <w:sz w:val="22"/>
          <w:szCs w:val="22"/>
          <w:u w:val="single"/>
        </w:rPr>
        <w:t>Ann.Cal.Go</w:t>
      </w:r>
      <w:r w:rsidRPr="00F94E31">
        <w:rPr>
          <w:spacing w:val="-18"/>
          <w:sz w:val="22"/>
          <w:szCs w:val="22"/>
          <w:u w:val="single"/>
        </w:rPr>
        <w:t>v</w:t>
      </w:r>
      <w:r w:rsidRPr="00F94E31">
        <w:rPr>
          <w:sz w:val="22"/>
          <w:szCs w:val="22"/>
          <w:u w:val="single"/>
        </w:rPr>
        <w:t>.</w:t>
      </w:r>
      <w:r w:rsidRPr="00F94E31">
        <w:rPr>
          <w:spacing w:val="-7"/>
          <w:sz w:val="22"/>
          <w:szCs w:val="22"/>
          <w:u w:val="single"/>
        </w:rPr>
        <w:t xml:space="preserve"> </w:t>
      </w:r>
      <w:r w:rsidRPr="00F94E31">
        <w:rPr>
          <w:sz w:val="22"/>
          <w:szCs w:val="22"/>
          <w:u w:val="single"/>
        </w:rPr>
        <w:t>Code</w:t>
      </w:r>
      <w:r w:rsidRPr="00F94E31">
        <w:rPr>
          <w:spacing w:val="-6"/>
          <w:sz w:val="22"/>
          <w:szCs w:val="22"/>
        </w:rPr>
        <w:t xml:space="preserve"> </w:t>
      </w:r>
      <w:r w:rsidRPr="00F94E31">
        <w:rPr>
          <w:sz w:val="22"/>
          <w:szCs w:val="22"/>
        </w:rPr>
        <w:t>§ 1458, Notes of Decisions #1, Master bond, states, in part: “</w:t>
      </w:r>
      <w:r w:rsidRPr="00F94E31">
        <w:rPr>
          <w:b/>
          <w:sz w:val="22"/>
          <w:szCs w:val="22"/>
        </w:rPr>
        <w:t>Master or blanket bond cannot be used to cover elected county officials who are required to furnish bond</w:t>
      </w:r>
      <w:r w:rsidRPr="00F94E31">
        <w:rPr>
          <w:sz w:val="22"/>
          <w:szCs w:val="22"/>
        </w:rPr>
        <w:t>, but it may be used by appointing power, the elected county officials, to cover deputies or clerks or by board of supervisors to cover county employees appointed by board …”  11 Op. Atty.</w:t>
      </w:r>
      <w:r>
        <w:rPr>
          <w:sz w:val="22"/>
          <w:szCs w:val="22"/>
        </w:rPr>
        <w:t xml:space="preserve"> </w:t>
      </w:r>
      <w:r w:rsidRPr="00F94E31">
        <w:rPr>
          <w:sz w:val="22"/>
          <w:szCs w:val="22"/>
        </w:rPr>
        <w:t>Gen 159 (1948).</w:t>
      </w:r>
    </w:p>
    <w:p w:rsidR="004C1D5C" w:rsidRPr="00F94E31" w:rsidRDefault="004C1D5C" w:rsidP="00556D09">
      <w:pPr>
        <w:pStyle w:val="EndnoteText"/>
        <w:spacing w:after="60" w:line="240" w:lineRule="auto"/>
        <w:rPr>
          <w:sz w:val="22"/>
          <w:szCs w:val="22"/>
        </w:rPr>
      </w:pPr>
      <w:r w:rsidRPr="00F94E31">
        <w:rPr>
          <w:sz w:val="22"/>
          <w:szCs w:val="22"/>
        </w:rPr>
        <w:t xml:space="preserve">West’s </w:t>
      </w:r>
      <w:r w:rsidRPr="00F94E31">
        <w:rPr>
          <w:sz w:val="22"/>
          <w:szCs w:val="22"/>
          <w:u w:val="single"/>
        </w:rPr>
        <w:t>Ann.Cal.Go</w:t>
      </w:r>
      <w:r w:rsidRPr="00F94E31">
        <w:rPr>
          <w:spacing w:val="-18"/>
          <w:sz w:val="22"/>
          <w:szCs w:val="22"/>
          <w:u w:val="single"/>
        </w:rPr>
        <w:t>v</w:t>
      </w:r>
      <w:r w:rsidRPr="00F94E31">
        <w:rPr>
          <w:sz w:val="22"/>
          <w:szCs w:val="22"/>
          <w:u w:val="single"/>
        </w:rPr>
        <w:t>.</w:t>
      </w:r>
      <w:r w:rsidRPr="00F94E31">
        <w:rPr>
          <w:spacing w:val="-7"/>
          <w:sz w:val="22"/>
          <w:szCs w:val="22"/>
          <w:u w:val="single"/>
        </w:rPr>
        <w:t xml:space="preserve"> </w:t>
      </w:r>
      <w:r w:rsidRPr="00F94E31">
        <w:rPr>
          <w:sz w:val="22"/>
          <w:szCs w:val="22"/>
          <w:u w:val="single"/>
        </w:rPr>
        <w:t>Code</w:t>
      </w:r>
      <w:r w:rsidRPr="00F94E31">
        <w:rPr>
          <w:spacing w:val="-6"/>
          <w:sz w:val="22"/>
          <w:szCs w:val="22"/>
        </w:rPr>
        <w:t xml:space="preserve"> </w:t>
      </w:r>
      <w:r w:rsidRPr="00F94E31">
        <w:rPr>
          <w:sz w:val="22"/>
          <w:szCs w:val="22"/>
        </w:rPr>
        <w:t>§ 1360, Notes of Decisions #6, Failure to take oath or give bond, at 2</w:t>
      </w:r>
      <w:r w:rsidRPr="00F94E31">
        <w:rPr>
          <w:sz w:val="22"/>
          <w:szCs w:val="22"/>
          <w:vertAlign w:val="superscript"/>
        </w:rPr>
        <w:t>nd</w:t>
      </w:r>
      <w:r w:rsidRPr="00F94E31">
        <w:rPr>
          <w:sz w:val="22"/>
          <w:szCs w:val="22"/>
        </w:rPr>
        <w:t xml:space="preserve"> paragraph states: “</w:t>
      </w:r>
      <w:r w:rsidRPr="00F94E31">
        <w:rPr>
          <w:b/>
          <w:sz w:val="22"/>
          <w:szCs w:val="22"/>
        </w:rPr>
        <w:t>Until an officer-elect takes the oath of office and gives bonds according to law, he is not authorized to discharge the duties of the office</w:t>
      </w:r>
      <w:r w:rsidRPr="00F94E31">
        <w:rPr>
          <w:sz w:val="22"/>
          <w:szCs w:val="22"/>
        </w:rPr>
        <w:t xml:space="preserve"> and if he fails to do so within the time prescribed by law, the office becomes vacant.” Note #8, Presumptions, states: “The fact that a claimant of office is acting as such under a certificate of election thereto raises the presumption the he has executed his bond and taken the oath of office.”  </w:t>
      </w:r>
    </w:p>
    <w:p w:rsidR="004C1D5C" w:rsidRPr="00F94E31" w:rsidRDefault="004C1D5C" w:rsidP="00556D09">
      <w:pPr>
        <w:pStyle w:val="EndnoteText"/>
        <w:spacing w:after="60" w:line="240" w:lineRule="auto"/>
        <w:rPr>
          <w:sz w:val="22"/>
          <w:szCs w:val="22"/>
        </w:rPr>
      </w:pPr>
      <w:r w:rsidRPr="00F94E31">
        <w:rPr>
          <w:sz w:val="22"/>
          <w:szCs w:val="22"/>
        </w:rPr>
        <w:t xml:space="preserve">West’s </w:t>
      </w:r>
      <w:r w:rsidRPr="00F94E31">
        <w:rPr>
          <w:sz w:val="22"/>
          <w:szCs w:val="22"/>
          <w:u w:val="single"/>
        </w:rPr>
        <w:t>Ann.Cal.Go</w:t>
      </w:r>
      <w:r w:rsidRPr="00F94E31">
        <w:rPr>
          <w:spacing w:val="-18"/>
          <w:sz w:val="22"/>
          <w:szCs w:val="22"/>
          <w:u w:val="single"/>
        </w:rPr>
        <w:t>v</w:t>
      </w:r>
      <w:r w:rsidRPr="00F94E31">
        <w:rPr>
          <w:sz w:val="22"/>
          <w:szCs w:val="22"/>
          <w:u w:val="single"/>
        </w:rPr>
        <w:t>.</w:t>
      </w:r>
      <w:r w:rsidRPr="00F94E31">
        <w:rPr>
          <w:spacing w:val="-7"/>
          <w:sz w:val="22"/>
          <w:szCs w:val="22"/>
          <w:u w:val="single"/>
        </w:rPr>
        <w:t xml:space="preserve"> </w:t>
      </w:r>
      <w:r w:rsidRPr="00F94E31">
        <w:rPr>
          <w:sz w:val="22"/>
          <w:szCs w:val="22"/>
          <w:u w:val="single"/>
        </w:rPr>
        <w:t>Code</w:t>
      </w:r>
      <w:r w:rsidRPr="00F94E31">
        <w:rPr>
          <w:spacing w:val="-6"/>
          <w:sz w:val="22"/>
          <w:szCs w:val="22"/>
        </w:rPr>
        <w:t xml:space="preserve"> </w:t>
      </w:r>
      <w:r w:rsidRPr="00F94E31">
        <w:rPr>
          <w:sz w:val="22"/>
          <w:szCs w:val="22"/>
        </w:rPr>
        <w:t xml:space="preserve">§ 1363, Notes of Decisions #1, Additional term of office, states: </w:t>
      </w:r>
      <w:r>
        <w:rPr>
          <w:sz w:val="22"/>
          <w:szCs w:val="22"/>
        </w:rPr>
        <w:t>“</w:t>
      </w:r>
      <w:r w:rsidRPr="00F94E31">
        <w:rPr>
          <w:b/>
          <w:sz w:val="22"/>
          <w:szCs w:val="22"/>
        </w:rPr>
        <w:t>Where an officer was elected for a new term, he was required to give a new bond</w:t>
      </w:r>
      <w:r w:rsidRPr="00F94E31">
        <w:rPr>
          <w:sz w:val="22"/>
          <w:szCs w:val="22"/>
        </w:rPr>
        <w:t>.” Note #2, Judges, states: “</w:t>
      </w:r>
      <w:r w:rsidRPr="00165103">
        <w:rPr>
          <w:b/>
          <w:sz w:val="22"/>
          <w:szCs w:val="22"/>
        </w:rPr>
        <w:t>Judges of justice courts must file official bonds</w:t>
      </w:r>
      <w:r w:rsidRPr="00F94E31">
        <w:rPr>
          <w:sz w:val="22"/>
          <w:szCs w:val="22"/>
        </w:rPr>
        <w:t xml:space="preserve">, but municipal court judges are not required to do so.” Note #5, Separate offices, states: “In the absence of a statute expressly to the contrary, a person holding two separate offices was required to give to separate official bonds.” </w:t>
      </w:r>
    </w:p>
    <w:p w:rsidR="004C1D5C" w:rsidRPr="00B847AF" w:rsidRDefault="004C1D5C" w:rsidP="00556D09">
      <w:pPr>
        <w:widowControl w:val="0"/>
        <w:autoSpaceDE w:val="0"/>
        <w:autoSpaceDN w:val="0"/>
        <w:adjustRightInd w:val="0"/>
        <w:spacing w:after="60" w:line="240" w:lineRule="auto"/>
        <w:ind w:right="-20"/>
      </w:pPr>
      <w:r w:rsidRPr="00F94E31">
        <w:t>California Government Code</w:t>
      </w:r>
      <w:r w:rsidRPr="00B847AF">
        <w:t xml:space="preserve"> § 1458 reads: “The</w:t>
      </w:r>
      <w:r w:rsidRPr="00B847AF">
        <w:rPr>
          <w:spacing w:val="-4"/>
        </w:rPr>
        <w:t xml:space="preserve"> </w:t>
      </w:r>
      <w:r w:rsidRPr="00FD3EB7">
        <w:t>bonds of supervisors,</w:t>
      </w:r>
      <w:r w:rsidRPr="00FD3EB7">
        <w:rPr>
          <w:spacing w:val="-7"/>
        </w:rPr>
        <w:t xml:space="preserve"> </w:t>
      </w:r>
      <w:r w:rsidRPr="00FD3EB7">
        <w:t>treasurers,</w:t>
      </w:r>
      <w:r w:rsidRPr="00FD3EB7">
        <w:rPr>
          <w:spacing w:val="-7"/>
        </w:rPr>
        <w:t xml:space="preserve"> </w:t>
      </w:r>
      <w:r w:rsidRPr="00FD3EB7">
        <w:t>county</w:t>
      </w:r>
      <w:r w:rsidRPr="00FD3EB7">
        <w:rPr>
          <w:spacing w:val="-6"/>
        </w:rPr>
        <w:t xml:space="preserve"> </w:t>
      </w:r>
      <w:r w:rsidRPr="00FD3EB7">
        <w:t>clerks,</w:t>
      </w:r>
      <w:r w:rsidRPr="00FD3EB7">
        <w:rPr>
          <w:spacing w:val="-3"/>
        </w:rPr>
        <w:t xml:space="preserve"> </w:t>
      </w:r>
      <w:r w:rsidRPr="00FD3EB7">
        <w:t>auditors,</w:t>
      </w:r>
      <w:r w:rsidRPr="00FD3EB7">
        <w:rPr>
          <w:spacing w:val="-5"/>
        </w:rPr>
        <w:t xml:space="preserve"> </w:t>
      </w:r>
      <w:r w:rsidRPr="00FD3EB7">
        <w:t>sheri</w:t>
      </w:r>
      <w:r w:rsidRPr="00FD3EB7">
        <w:rPr>
          <w:spacing w:val="-5"/>
        </w:rPr>
        <w:t>f</w:t>
      </w:r>
      <w:r w:rsidRPr="00FD3EB7">
        <w:t>fs,</w:t>
      </w:r>
      <w:r w:rsidRPr="00FD3EB7">
        <w:rPr>
          <w:spacing w:val="-4"/>
        </w:rPr>
        <w:t xml:space="preserve"> </w:t>
      </w:r>
      <w:r w:rsidRPr="00FD3EB7">
        <w:t>tax collectors,</w:t>
      </w:r>
      <w:r w:rsidRPr="00FD3EB7">
        <w:rPr>
          <w:spacing w:val="-7"/>
        </w:rPr>
        <w:t xml:space="preserve"> </w:t>
      </w:r>
      <w:r w:rsidRPr="00FD3EB7">
        <w:t>district</w:t>
      </w:r>
      <w:r w:rsidRPr="00FD3EB7">
        <w:rPr>
          <w:spacing w:val="-6"/>
        </w:rPr>
        <w:t xml:space="preserve"> </w:t>
      </w:r>
      <w:r w:rsidRPr="00FD3EB7">
        <w:t>attorneys,</w:t>
      </w:r>
      <w:r w:rsidRPr="00FD3EB7">
        <w:rPr>
          <w:spacing w:val="-7"/>
        </w:rPr>
        <w:t xml:space="preserve"> </w:t>
      </w:r>
      <w:r w:rsidRPr="00FD3EB7">
        <w:t>recorders,</w:t>
      </w:r>
      <w:r w:rsidRPr="00FD3EB7">
        <w:rPr>
          <w:spacing w:val="-8"/>
        </w:rPr>
        <w:t xml:space="preserve"> </w:t>
      </w:r>
      <w:r w:rsidRPr="00FD3EB7">
        <w:t>assessors</w:t>
      </w:r>
      <w:r w:rsidRPr="00B847AF">
        <w:t>,</w:t>
      </w:r>
      <w:r w:rsidRPr="00B847AF">
        <w:rPr>
          <w:spacing w:val="-2"/>
        </w:rPr>
        <w:t xml:space="preserve"> </w:t>
      </w:r>
      <w:r w:rsidRPr="00B847AF">
        <w:t>surveyors,</w:t>
      </w:r>
      <w:r w:rsidRPr="00B847AF">
        <w:rPr>
          <w:spacing w:val="-5"/>
        </w:rPr>
        <w:t xml:space="preserve"> </w:t>
      </w:r>
      <w:r w:rsidRPr="00B847AF">
        <w:t>superintendents</w:t>
      </w:r>
      <w:r w:rsidRPr="00B847AF">
        <w:rPr>
          <w:spacing w:val="-15"/>
        </w:rPr>
        <w:t xml:space="preserve"> </w:t>
      </w:r>
      <w:r w:rsidRPr="00B847AF">
        <w:t>of schools,</w:t>
      </w:r>
      <w:r w:rsidRPr="00B847AF">
        <w:rPr>
          <w:spacing w:val="-6"/>
        </w:rPr>
        <w:t xml:space="preserve"> </w:t>
      </w:r>
      <w:r w:rsidRPr="00B847AF">
        <w:t>public</w:t>
      </w:r>
      <w:r w:rsidRPr="00B847AF">
        <w:rPr>
          <w:spacing w:val="-7"/>
        </w:rPr>
        <w:t xml:space="preserve"> </w:t>
      </w:r>
      <w:r w:rsidRPr="00B847AF">
        <w:t>administrators,</w:t>
      </w:r>
      <w:r w:rsidRPr="00B847AF">
        <w:rPr>
          <w:spacing w:val="-11"/>
        </w:rPr>
        <w:t xml:space="preserve"> </w:t>
      </w:r>
      <w:r w:rsidRPr="00B847AF">
        <w:t>coroners,</w:t>
      </w:r>
      <w:r w:rsidRPr="00B847AF">
        <w:rPr>
          <w:spacing w:val="-7"/>
        </w:rPr>
        <w:t xml:space="preserve"> </w:t>
      </w:r>
      <w:r w:rsidRPr="00B847AF">
        <w:t>and</w:t>
      </w:r>
      <w:r w:rsidRPr="00B847AF">
        <w:rPr>
          <w:spacing w:val="-1"/>
        </w:rPr>
        <w:t xml:space="preserve"> </w:t>
      </w:r>
      <w:r w:rsidRPr="00B847AF">
        <w:t>constables</w:t>
      </w:r>
      <w:r w:rsidRPr="00B847AF">
        <w:rPr>
          <w:spacing w:val="-6"/>
        </w:rPr>
        <w:t xml:space="preserve"> </w:t>
      </w:r>
      <w:r w:rsidRPr="00B847AF">
        <w:t>shall</w:t>
      </w:r>
      <w:r w:rsidRPr="00B847AF">
        <w:rPr>
          <w:spacing w:val="-4"/>
        </w:rPr>
        <w:t xml:space="preserve"> </w:t>
      </w:r>
      <w:r w:rsidRPr="00B847AF">
        <w:t>be</w:t>
      </w:r>
      <w:r w:rsidRPr="00B847AF">
        <w:rPr>
          <w:spacing w:val="-3"/>
        </w:rPr>
        <w:t xml:space="preserve"> </w:t>
      </w:r>
      <w:r w:rsidRPr="00B847AF">
        <w:t>approved</w:t>
      </w:r>
      <w:r w:rsidRPr="00B847AF">
        <w:rPr>
          <w:spacing w:val="-9"/>
        </w:rPr>
        <w:t xml:space="preserve"> </w:t>
      </w:r>
      <w:r w:rsidRPr="00B847AF">
        <w:t xml:space="preserve">by </w:t>
      </w:r>
      <w:r w:rsidRPr="00B847AF">
        <w:rPr>
          <w:w w:val="99"/>
        </w:rPr>
        <w:t>the</w:t>
      </w:r>
      <w:r w:rsidRPr="00B847AF">
        <w:t xml:space="preserve"> presiding</w:t>
      </w:r>
      <w:r w:rsidRPr="00B847AF">
        <w:rPr>
          <w:spacing w:val="-6"/>
        </w:rPr>
        <w:t xml:space="preserve"> </w:t>
      </w:r>
      <w:r w:rsidRPr="00B847AF">
        <w:t>judge</w:t>
      </w:r>
      <w:r w:rsidRPr="00B847AF">
        <w:rPr>
          <w:spacing w:val="-6"/>
        </w:rPr>
        <w:t xml:space="preserve"> </w:t>
      </w:r>
      <w:r w:rsidRPr="00B847AF">
        <w:t>of the</w:t>
      </w:r>
      <w:r w:rsidRPr="00B847AF">
        <w:rPr>
          <w:spacing w:val="-3"/>
        </w:rPr>
        <w:t xml:space="preserve"> </w:t>
      </w:r>
      <w:r w:rsidRPr="00B847AF">
        <w:t>superior</w:t>
      </w:r>
      <w:r w:rsidRPr="00B847AF">
        <w:rPr>
          <w:spacing w:val="-6"/>
        </w:rPr>
        <w:t xml:space="preserve"> </w:t>
      </w:r>
      <w:r w:rsidRPr="00B847AF">
        <w:t>court</w:t>
      </w:r>
      <w:r w:rsidRPr="00B847AF">
        <w:rPr>
          <w:spacing w:val="-6"/>
        </w:rPr>
        <w:t xml:space="preserve"> </w:t>
      </w:r>
      <w:r w:rsidRPr="00B847AF">
        <w:t>before</w:t>
      </w:r>
      <w:r w:rsidRPr="00B847AF">
        <w:rPr>
          <w:spacing w:val="-7"/>
        </w:rPr>
        <w:t xml:space="preserve"> </w:t>
      </w:r>
      <w:r w:rsidRPr="00B847AF">
        <w:t>the</w:t>
      </w:r>
      <w:r w:rsidRPr="00B847AF">
        <w:rPr>
          <w:spacing w:val="-3"/>
        </w:rPr>
        <w:t xml:space="preserve"> </w:t>
      </w:r>
      <w:r w:rsidRPr="00B847AF">
        <w:t>bonds can</w:t>
      </w:r>
      <w:r w:rsidRPr="00B847AF">
        <w:rPr>
          <w:spacing w:val="-2"/>
        </w:rPr>
        <w:t xml:space="preserve"> </w:t>
      </w:r>
      <w:r w:rsidRPr="00B847AF">
        <w:t>be</w:t>
      </w:r>
      <w:r w:rsidRPr="00B847AF">
        <w:rPr>
          <w:spacing w:val="-3"/>
        </w:rPr>
        <w:t xml:space="preserve"> </w:t>
      </w:r>
      <w:r w:rsidRPr="00B847AF">
        <w:t>recorded</w:t>
      </w:r>
      <w:r w:rsidRPr="00B847AF">
        <w:rPr>
          <w:spacing w:val="-8"/>
        </w:rPr>
        <w:t xml:space="preserve"> </w:t>
      </w:r>
      <w:r w:rsidRPr="00B847AF">
        <w:t>and filed.”</w:t>
      </w:r>
    </w:p>
    <w:p w:rsidR="004C1D5C" w:rsidRPr="00B847AF" w:rsidRDefault="004C1D5C" w:rsidP="00556D09">
      <w:pPr>
        <w:pStyle w:val="EndnoteText"/>
        <w:spacing w:after="60" w:line="240" w:lineRule="auto"/>
        <w:rPr>
          <w:sz w:val="22"/>
          <w:szCs w:val="22"/>
        </w:rPr>
      </w:pPr>
      <w:r w:rsidRPr="00B847AF">
        <w:rPr>
          <w:sz w:val="22"/>
          <w:szCs w:val="22"/>
        </w:rPr>
        <w:t>The following sections of the Political Code of California</w:t>
      </w:r>
      <w:r>
        <w:rPr>
          <w:sz w:val="22"/>
          <w:szCs w:val="22"/>
        </w:rPr>
        <w:t xml:space="preserve"> </w:t>
      </w:r>
      <w:r w:rsidRPr="00B847AF">
        <w:rPr>
          <w:sz w:val="22"/>
          <w:szCs w:val="22"/>
        </w:rPr>
        <w:t>(</w:t>
      </w:r>
      <w:r>
        <w:rPr>
          <w:sz w:val="22"/>
          <w:szCs w:val="22"/>
        </w:rPr>
        <w:t xml:space="preserve">1872, 1884, </w:t>
      </w:r>
      <w:r w:rsidRPr="00B847AF">
        <w:rPr>
          <w:sz w:val="22"/>
          <w:szCs w:val="22"/>
        </w:rPr>
        <w:t xml:space="preserve">1905, </w:t>
      </w:r>
      <w:r>
        <w:rPr>
          <w:sz w:val="22"/>
          <w:szCs w:val="22"/>
        </w:rPr>
        <w:t xml:space="preserve">&amp; </w:t>
      </w:r>
      <w:r w:rsidRPr="00B847AF">
        <w:rPr>
          <w:sz w:val="22"/>
          <w:szCs w:val="22"/>
        </w:rPr>
        <w:t>1937), which set forth requirements for bonds of public officers, have not been repealed: 909, 948, 949, 951, 952, 953, 957, 971, &amp; 975</w:t>
      </w:r>
      <w:r>
        <w:rPr>
          <w:sz w:val="22"/>
          <w:szCs w:val="22"/>
        </w:rPr>
        <w:t>;</w:t>
      </w:r>
      <w:r w:rsidRPr="00B847AF">
        <w:rPr>
          <w:sz w:val="22"/>
          <w:szCs w:val="22"/>
        </w:rPr>
        <w:t xml:space="preserve"> section 975 is titled “</w:t>
      </w:r>
      <w:r w:rsidRPr="00F94E31">
        <w:rPr>
          <w:b/>
          <w:sz w:val="22"/>
          <w:szCs w:val="22"/>
        </w:rPr>
        <w:t>Office declared vacant for want of official bond</w:t>
      </w:r>
      <w:r w:rsidRPr="00B847AF">
        <w:rPr>
          <w:sz w:val="22"/>
          <w:szCs w:val="22"/>
        </w:rPr>
        <w:t xml:space="preserve">.” </w:t>
      </w:r>
    </w:p>
    <w:p w:rsidR="004C1D5C" w:rsidRPr="00B847AF" w:rsidRDefault="004C1D5C" w:rsidP="00556D09">
      <w:pPr>
        <w:pStyle w:val="EndnoteText"/>
        <w:spacing w:after="60" w:line="240" w:lineRule="auto"/>
        <w:rPr>
          <w:sz w:val="22"/>
          <w:szCs w:val="22"/>
        </w:rPr>
      </w:pPr>
      <w:r w:rsidRPr="00B847AF">
        <w:rPr>
          <w:sz w:val="22"/>
          <w:szCs w:val="22"/>
        </w:rPr>
        <w:t>California Government Code sections 1451, 1452, 1453, 1454, 1455, 1456, 1457, 1458, 1459, 1460, 1460.1 and 1461 all re</w:t>
      </w:r>
      <w:r>
        <w:rPr>
          <w:sz w:val="22"/>
          <w:szCs w:val="22"/>
        </w:rPr>
        <w:t xml:space="preserve">late </w:t>
      </w:r>
      <w:r w:rsidRPr="00B847AF">
        <w:rPr>
          <w:sz w:val="22"/>
          <w:szCs w:val="22"/>
        </w:rPr>
        <w:t xml:space="preserve">to the requirement for bonds; </w:t>
      </w:r>
      <w:r w:rsidRPr="00FD3EB7">
        <w:rPr>
          <w:sz w:val="22"/>
          <w:szCs w:val="22"/>
        </w:rPr>
        <w:t>these sections have not been repealed.</w:t>
      </w:r>
    </w:p>
    <w:p w:rsidR="004C1D5C" w:rsidRPr="00B847AF" w:rsidRDefault="004C1D5C" w:rsidP="00556D09">
      <w:pPr>
        <w:pStyle w:val="EndnoteText"/>
        <w:spacing w:after="60" w:line="240" w:lineRule="auto"/>
        <w:rPr>
          <w:sz w:val="22"/>
          <w:szCs w:val="22"/>
        </w:rPr>
      </w:pPr>
      <w:r w:rsidRPr="00B847AF">
        <w:rPr>
          <w:sz w:val="22"/>
          <w:szCs w:val="22"/>
        </w:rPr>
        <w:t>The first act of the United States Congress, 1 Stat 1 (1789), establishes the requirement of an oath of office for every public officer.</w:t>
      </w:r>
    </w:p>
    <w:p w:rsidR="004C1D5C" w:rsidRPr="00B847AF" w:rsidRDefault="004C1D5C" w:rsidP="00556D09">
      <w:pPr>
        <w:pStyle w:val="EndnoteText"/>
        <w:spacing w:after="60" w:line="240" w:lineRule="auto"/>
        <w:rPr>
          <w:sz w:val="22"/>
          <w:szCs w:val="22"/>
        </w:rPr>
      </w:pPr>
      <w:r w:rsidRPr="00B847AF">
        <w:rPr>
          <w:sz w:val="22"/>
          <w:szCs w:val="22"/>
        </w:rPr>
        <w:t xml:space="preserve">Article Eleven, section 3 of the California Constitution (1849) sets forth the required oath of office for state and local officials in </w:t>
      </w:r>
      <w:smartTag w:uri="urn:schemas-microsoft-com:office:smarttags" w:element="State">
        <w:smartTag w:uri="urn:schemas-microsoft-com:office:smarttags" w:element="place">
          <w:r w:rsidRPr="00B847AF">
            <w:rPr>
              <w:sz w:val="22"/>
              <w:szCs w:val="22"/>
            </w:rPr>
            <w:t>California</w:t>
          </w:r>
        </w:smartTag>
      </w:smartTag>
      <w:r w:rsidRPr="00B847AF">
        <w:rPr>
          <w:sz w:val="22"/>
          <w:szCs w:val="22"/>
        </w:rPr>
        <w:t xml:space="preserve">. </w:t>
      </w:r>
    </w:p>
    <w:p w:rsidR="004C1D5C" w:rsidRPr="00E9345D" w:rsidRDefault="004C1D5C" w:rsidP="00556D09">
      <w:pPr>
        <w:pStyle w:val="EndnoteText"/>
        <w:spacing w:after="60" w:line="240" w:lineRule="auto"/>
        <w:rPr>
          <w:sz w:val="22"/>
          <w:szCs w:val="22"/>
        </w:rPr>
      </w:pPr>
      <w:r w:rsidRPr="00E9345D">
        <w:rPr>
          <w:sz w:val="22"/>
          <w:szCs w:val="22"/>
        </w:rPr>
        <w:t xml:space="preserve">Article six of the Constitution for the united States of America (1789) states “… all executive and judicial Officers, both of the United States and of the several States, shall be </w:t>
      </w:r>
      <w:r w:rsidRPr="00FD3EB7">
        <w:rPr>
          <w:b/>
          <w:sz w:val="22"/>
          <w:szCs w:val="22"/>
        </w:rPr>
        <w:t>bound by Oath</w:t>
      </w:r>
      <w:r w:rsidRPr="00E9345D">
        <w:rPr>
          <w:sz w:val="22"/>
          <w:szCs w:val="22"/>
        </w:rPr>
        <w:t xml:space="preserve"> or Affirmation, to support this Constitution.” </w:t>
      </w:r>
    </w:p>
    <w:p w:rsidR="004C1D5C" w:rsidRDefault="004C1D5C" w:rsidP="00556D09">
      <w:pPr>
        <w:spacing w:after="80" w:line="240" w:lineRule="auto"/>
      </w:pPr>
      <w:r>
        <w:t xml:space="preserve">As the above citations indicate, the state legislature’s sleight-of-hand in inserting section 1463 within the code sections relating to bonding requirements is to set forth the guidelines for counties and cities to insure subordinate officers, employees, and/or appointed agents for which statutory bonding is not required.  If the “Insurance” mentioned in section 1463 was intended for constitutionally and statutorily required bonding, it would be unconstitutional. The constitutional citations (above) demonstrate the fundamental requirements for governmental officers to be “bound by oath.”  As the supreme court has ruled: </w:t>
      </w:r>
      <w:r w:rsidRPr="00E9345D">
        <w:t>“All laws which are repugnant to the Constitution are null and void</w:t>
      </w:r>
      <w:r>
        <w:t xml:space="preserve">,” </w:t>
      </w:r>
      <w:r w:rsidRPr="00E9345D">
        <w:t xml:space="preserve">Chief </w:t>
      </w:r>
      <w:r w:rsidRPr="00E54615">
        <w:t xml:space="preserve">Justice Marshall, </w:t>
      </w:r>
      <w:r w:rsidRPr="00E54615">
        <w:rPr>
          <w:i/>
        </w:rPr>
        <w:t>Marbury vs. Madison</w:t>
      </w:r>
      <w:r w:rsidRPr="00E54615">
        <w:t xml:space="preserve">, 5, US 137, 174, 176, (1803); and “An unconstitutional act is not a law; it confers no rights; it imposes no duties; it affords no protection; it creates no office; it is in legal contemplation, as inoperative as though it had never been passed." </w:t>
      </w:r>
      <w:hyperlink r:id="rId1" w:history="1">
        <w:r w:rsidRPr="00685A35">
          <w:rPr>
            <w:rStyle w:val="Hyperlink"/>
            <w:i/>
            <w:color w:val="auto"/>
            <w:u w:val="none"/>
          </w:rPr>
          <w:t>Norton v. Shelby County</w:t>
        </w:r>
        <w:r w:rsidRPr="00685A35">
          <w:rPr>
            <w:rStyle w:val="Hyperlink"/>
            <w:color w:val="auto"/>
            <w:u w:val="none"/>
          </w:rPr>
          <w:t>, 118 US 425 (1885)</w:t>
        </w:r>
      </w:hyperlink>
      <w:r w:rsidRPr="00685A35">
        <w:t>.</w:t>
      </w:r>
    </w:p>
  </w:endnote>
  <w:endnote w:id="3">
    <w:p w:rsidR="004C1D5C" w:rsidRDefault="004C1D5C" w:rsidP="00165103">
      <w:pPr>
        <w:pStyle w:val="EndnoteText"/>
        <w:spacing w:after="80" w:line="240" w:lineRule="auto"/>
      </w:pPr>
      <w:r w:rsidRPr="00556D09">
        <w:rPr>
          <w:rStyle w:val="EndnoteReference"/>
          <w:sz w:val="22"/>
          <w:szCs w:val="22"/>
        </w:rPr>
        <w:endnoteRef/>
      </w:r>
      <w:r w:rsidRPr="00556D09">
        <w:rPr>
          <w:sz w:val="22"/>
          <w:szCs w:val="22"/>
        </w:rPr>
        <w:t xml:space="preserve"> </w:t>
      </w:r>
      <w:hyperlink r:id="rId2" w:history="1">
        <w:r w:rsidRPr="00556D09">
          <w:rPr>
            <w:rStyle w:val="Hyperlink"/>
            <w:sz w:val="22"/>
            <w:szCs w:val="22"/>
          </w:rPr>
          <w:t>http://www.fara.gov/indx-act.html</w:t>
        </w:r>
      </w:hyperlink>
    </w:p>
  </w:endnote>
  <w:endnote w:id="4">
    <w:p w:rsidR="004C1D5C" w:rsidRDefault="004C1D5C" w:rsidP="00556D09">
      <w:pPr>
        <w:pStyle w:val="EndnoteText"/>
        <w:spacing w:after="80" w:line="240" w:lineRule="auto"/>
      </w:pPr>
      <w:r w:rsidRPr="00556D09">
        <w:rPr>
          <w:rStyle w:val="EndnoteReference"/>
          <w:sz w:val="22"/>
          <w:szCs w:val="22"/>
        </w:rPr>
        <w:endnoteRef/>
      </w:r>
      <w:r w:rsidRPr="00556D09">
        <w:rPr>
          <w:sz w:val="22"/>
          <w:szCs w:val="22"/>
        </w:rPr>
        <w:t xml:space="preserve"> </w:t>
      </w:r>
      <w:r w:rsidRPr="00556D09">
        <w:rPr>
          <w:rFonts w:cs="Arial"/>
          <w:color w:val="000000"/>
          <w:sz w:val="22"/>
          <w:szCs w:val="22"/>
        </w:rPr>
        <w:t xml:space="preserve">Title 22 U.S.C. 272b: </w:t>
      </w:r>
      <w:r w:rsidRPr="00556D09">
        <w:rPr>
          <w:sz w:val="22"/>
          <w:szCs w:val="22"/>
        </w:rPr>
        <w:t xml:space="preserve">No person shall serve as representative, delegate, or alternate from the </w:t>
      </w:r>
      <w:smartTag w:uri="urn:schemas-microsoft-com:office:smarttags" w:element="country-region">
        <w:smartTag w:uri="urn:schemas-microsoft-com:office:smarttags" w:element="place">
          <w:r w:rsidRPr="00556D09">
            <w:rPr>
              <w:sz w:val="22"/>
              <w:szCs w:val="22"/>
            </w:rPr>
            <w:t>United States</w:t>
          </w:r>
        </w:smartTag>
      </w:smartTag>
      <w:r w:rsidRPr="00556D09">
        <w:rPr>
          <w:sz w:val="22"/>
          <w:szCs w:val="22"/>
        </w:rPr>
        <w:t xml:space="preserve"> until such person has been investigated as to loyalty and security by the Director of the Office of Personnel Management.</w:t>
      </w:r>
    </w:p>
  </w:endnote>
  <w:endnote w:id="5">
    <w:p w:rsidR="004C1D5C" w:rsidRDefault="004C1D5C" w:rsidP="00556D09">
      <w:pPr>
        <w:pStyle w:val="EndnoteText"/>
        <w:spacing w:after="80" w:line="240" w:lineRule="auto"/>
      </w:pPr>
      <w:r w:rsidRPr="00556D09">
        <w:rPr>
          <w:rStyle w:val="EndnoteReference"/>
          <w:sz w:val="22"/>
          <w:szCs w:val="22"/>
        </w:rPr>
        <w:endnoteRef/>
      </w:r>
      <w:r w:rsidRPr="00556D09">
        <w:rPr>
          <w:sz w:val="22"/>
          <w:szCs w:val="22"/>
        </w:rPr>
        <w:t xml:space="preserve"> </w:t>
      </w:r>
      <w:r w:rsidRPr="00556D09">
        <w:rPr>
          <w:rFonts w:cs="Arial"/>
          <w:color w:val="000000"/>
          <w:sz w:val="22"/>
          <w:szCs w:val="22"/>
        </w:rPr>
        <w:t xml:space="preserve">28 U.S.C. sec. 453: </w:t>
      </w:r>
      <w:r w:rsidRPr="00556D09">
        <w:rPr>
          <w:sz w:val="22"/>
          <w:szCs w:val="22"/>
        </w:rPr>
        <w:t xml:space="preserve">Each justice or judge of the United States shall take the following oath or affirmation before performing the duties of his office: “I, XXX XXX, do solemnly swear (or affirm) that I will administer justice without respect to persons, and do equal right to the poor and to the rich, and that I will faithfully and impartially discharge and perform all the duties incumbent upon me as XXX </w:t>
      </w:r>
      <w:r w:rsidRPr="008A3461">
        <w:rPr>
          <w:sz w:val="22"/>
          <w:szCs w:val="22"/>
        </w:rPr>
        <w:t>under the Constitution and laws of the United States. So help me God.</w:t>
      </w:r>
    </w:p>
  </w:endnote>
  <w:endnote w:id="6">
    <w:p w:rsidR="004C1D5C" w:rsidRPr="008A3461" w:rsidRDefault="004C1D5C" w:rsidP="008A3461">
      <w:pPr>
        <w:pStyle w:val="HTMLPreformatted"/>
        <w:rPr>
          <w:rFonts w:ascii="Calibri" w:hAnsi="Calibri"/>
          <w:sz w:val="22"/>
          <w:szCs w:val="22"/>
        </w:rPr>
      </w:pPr>
      <w:r w:rsidRPr="008A3461">
        <w:rPr>
          <w:rStyle w:val="EndnoteReference"/>
          <w:rFonts w:ascii="Calibri" w:hAnsi="Calibri"/>
          <w:sz w:val="22"/>
          <w:szCs w:val="22"/>
        </w:rPr>
        <w:endnoteRef/>
      </w:r>
      <w:r w:rsidRPr="008A3461">
        <w:rPr>
          <w:rFonts w:ascii="Calibri" w:hAnsi="Calibri"/>
          <w:sz w:val="22"/>
          <w:szCs w:val="22"/>
        </w:rPr>
        <w:t xml:space="preserve"> </w:t>
      </w:r>
      <w:r w:rsidRPr="00FD3EB7">
        <w:rPr>
          <w:rFonts w:ascii="Calibri" w:hAnsi="Calibri"/>
          <w:sz w:val="22"/>
          <w:szCs w:val="22"/>
        </w:rPr>
        <w:t>California Government Code § 1770</w:t>
      </w:r>
      <w:r>
        <w:rPr>
          <w:rFonts w:ascii="Calibri" w:hAnsi="Calibri"/>
          <w:sz w:val="22"/>
          <w:szCs w:val="22"/>
        </w:rPr>
        <w:t>:</w:t>
      </w:r>
      <w:r w:rsidRPr="008A3461">
        <w:rPr>
          <w:rFonts w:ascii="Calibri" w:hAnsi="Calibri"/>
          <w:sz w:val="22"/>
          <w:szCs w:val="22"/>
        </w:rPr>
        <w:t xml:space="preserve"> An </w:t>
      </w:r>
      <w:r w:rsidRPr="00FD3EB7">
        <w:rPr>
          <w:rFonts w:ascii="Calibri" w:hAnsi="Calibri"/>
          <w:b/>
          <w:sz w:val="22"/>
          <w:szCs w:val="22"/>
        </w:rPr>
        <w:t>office becomes vacant</w:t>
      </w:r>
      <w:r w:rsidRPr="008A3461">
        <w:rPr>
          <w:rFonts w:ascii="Calibri" w:hAnsi="Calibri"/>
          <w:sz w:val="22"/>
          <w:szCs w:val="22"/>
        </w:rPr>
        <w:t xml:space="preserve"> on the happening of any of the following events before the expiration of the term:</w:t>
      </w:r>
    </w:p>
    <w:p w:rsidR="004C1D5C" w:rsidRPr="008A3461" w:rsidRDefault="004C1D5C" w:rsidP="008A3461">
      <w:pPr>
        <w:pStyle w:val="HTMLPreformatted"/>
        <w:spacing w:after="120"/>
        <w:rPr>
          <w:rFonts w:ascii="Calibri" w:hAnsi="Calibri"/>
          <w:sz w:val="22"/>
          <w:szCs w:val="22"/>
        </w:rPr>
      </w:pPr>
      <w:r w:rsidRPr="008A3461">
        <w:rPr>
          <w:rFonts w:ascii="Calibri" w:hAnsi="Calibri"/>
          <w:sz w:val="22"/>
          <w:szCs w:val="22"/>
        </w:rPr>
        <w:t xml:space="preserve"> (i) His or her refusal or neglect to file his or her </w:t>
      </w:r>
      <w:r w:rsidRPr="00FD3EB7">
        <w:rPr>
          <w:rFonts w:ascii="Calibri" w:hAnsi="Calibri"/>
          <w:b/>
          <w:sz w:val="22"/>
          <w:szCs w:val="22"/>
        </w:rPr>
        <w:t>required oath or bond</w:t>
      </w:r>
      <w:r w:rsidRPr="008A3461">
        <w:rPr>
          <w:rFonts w:ascii="Calibri" w:hAnsi="Calibri"/>
          <w:sz w:val="22"/>
          <w:szCs w:val="22"/>
        </w:rPr>
        <w:t xml:space="preserve"> within the time prescribed.</w:t>
      </w:r>
    </w:p>
    <w:p w:rsidR="004C1D5C" w:rsidRDefault="004C1D5C">
      <w:pPr>
        <w:pStyle w:val="EndnoteText"/>
      </w:pPr>
      <w:r>
        <w:rPr>
          <w:sz w:val="22"/>
          <w:szCs w:val="22"/>
        </w:rPr>
        <w:t>Note: bolding and underlining has been added to the endnotes above for emphasis.</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5C" w:rsidRDefault="004C1D5C" w:rsidP="007C53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1D5C" w:rsidRDefault="004C1D5C" w:rsidP="004E5B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D5C" w:rsidRDefault="004C1D5C" w:rsidP="004E5B7F">
    <w:pPr>
      <w:pStyle w:val="Footer"/>
      <w:ind w:right="10"/>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5C" w:rsidRDefault="004C1D5C">
      <w:r>
        <w:separator/>
      </w:r>
    </w:p>
  </w:footnote>
  <w:footnote w:type="continuationSeparator" w:id="0">
    <w:p w:rsidR="004C1D5C" w:rsidRDefault="004C1D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A5180"/>
    <w:multiLevelType w:val="hybridMultilevel"/>
    <w:tmpl w:val="71F07948"/>
    <w:lvl w:ilvl="0" w:tplc="4A6A596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626A3A44"/>
    <w:multiLevelType w:val="hybridMultilevel"/>
    <w:tmpl w:val="07EA05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739"/>
    <w:rsid w:val="00016E69"/>
    <w:rsid w:val="0002659C"/>
    <w:rsid w:val="00031213"/>
    <w:rsid w:val="00031739"/>
    <w:rsid w:val="00044B52"/>
    <w:rsid w:val="00055752"/>
    <w:rsid w:val="0005782D"/>
    <w:rsid w:val="00062BC5"/>
    <w:rsid w:val="00075E6B"/>
    <w:rsid w:val="00076753"/>
    <w:rsid w:val="000C0E23"/>
    <w:rsid w:val="000C6EB0"/>
    <w:rsid w:val="000D20C4"/>
    <w:rsid w:val="000D41E8"/>
    <w:rsid w:val="000D606B"/>
    <w:rsid w:val="000F6057"/>
    <w:rsid w:val="00115401"/>
    <w:rsid w:val="001312DE"/>
    <w:rsid w:val="0013471C"/>
    <w:rsid w:val="00142ADE"/>
    <w:rsid w:val="00165103"/>
    <w:rsid w:val="001B68E9"/>
    <w:rsid w:val="001C28A7"/>
    <w:rsid w:val="001D08B7"/>
    <w:rsid w:val="001D0FD6"/>
    <w:rsid w:val="001E49FE"/>
    <w:rsid w:val="00206044"/>
    <w:rsid w:val="00207D4C"/>
    <w:rsid w:val="00225992"/>
    <w:rsid w:val="00232038"/>
    <w:rsid w:val="00232CCC"/>
    <w:rsid w:val="00242753"/>
    <w:rsid w:val="0024388C"/>
    <w:rsid w:val="00250EEF"/>
    <w:rsid w:val="0026344D"/>
    <w:rsid w:val="002636C9"/>
    <w:rsid w:val="00280FCD"/>
    <w:rsid w:val="002961B0"/>
    <w:rsid w:val="002D3317"/>
    <w:rsid w:val="002D6808"/>
    <w:rsid w:val="002E6DB0"/>
    <w:rsid w:val="00305576"/>
    <w:rsid w:val="0032046D"/>
    <w:rsid w:val="0032572C"/>
    <w:rsid w:val="00326B9C"/>
    <w:rsid w:val="00330EE8"/>
    <w:rsid w:val="0034409D"/>
    <w:rsid w:val="00346A97"/>
    <w:rsid w:val="00364932"/>
    <w:rsid w:val="00365AF7"/>
    <w:rsid w:val="00385C8C"/>
    <w:rsid w:val="003967DA"/>
    <w:rsid w:val="003A36FB"/>
    <w:rsid w:val="003B3B6D"/>
    <w:rsid w:val="003C22C6"/>
    <w:rsid w:val="003C501B"/>
    <w:rsid w:val="003D40F6"/>
    <w:rsid w:val="003F7FB4"/>
    <w:rsid w:val="0042295F"/>
    <w:rsid w:val="00423A4D"/>
    <w:rsid w:val="0043012C"/>
    <w:rsid w:val="004827BC"/>
    <w:rsid w:val="004C1D5C"/>
    <w:rsid w:val="004C216C"/>
    <w:rsid w:val="004E5B7F"/>
    <w:rsid w:val="004F0B95"/>
    <w:rsid w:val="004F6C4E"/>
    <w:rsid w:val="005429DB"/>
    <w:rsid w:val="0054371F"/>
    <w:rsid w:val="00551F66"/>
    <w:rsid w:val="005521B6"/>
    <w:rsid w:val="0055469F"/>
    <w:rsid w:val="00556D09"/>
    <w:rsid w:val="00562F24"/>
    <w:rsid w:val="005760B9"/>
    <w:rsid w:val="005B7C24"/>
    <w:rsid w:val="005D4F4B"/>
    <w:rsid w:val="005F2213"/>
    <w:rsid w:val="006072F2"/>
    <w:rsid w:val="0062141D"/>
    <w:rsid w:val="00650273"/>
    <w:rsid w:val="00657282"/>
    <w:rsid w:val="006750A6"/>
    <w:rsid w:val="00685A35"/>
    <w:rsid w:val="006938C5"/>
    <w:rsid w:val="006A5B22"/>
    <w:rsid w:val="006A79FE"/>
    <w:rsid w:val="006F3D21"/>
    <w:rsid w:val="00703E66"/>
    <w:rsid w:val="00715806"/>
    <w:rsid w:val="007519A6"/>
    <w:rsid w:val="00752962"/>
    <w:rsid w:val="007713AE"/>
    <w:rsid w:val="00783F14"/>
    <w:rsid w:val="007A5E88"/>
    <w:rsid w:val="007A660B"/>
    <w:rsid w:val="007B4533"/>
    <w:rsid w:val="007B4B5E"/>
    <w:rsid w:val="007C539B"/>
    <w:rsid w:val="007D585B"/>
    <w:rsid w:val="00814DE3"/>
    <w:rsid w:val="0082017A"/>
    <w:rsid w:val="00843FF7"/>
    <w:rsid w:val="00874EDA"/>
    <w:rsid w:val="0088313B"/>
    <w:rsid w:val="0088565C"/>
    <w:rsid w:val="00886180"/>
    <w:rsid w:val="00892407"/>
    <w:rsid w:val="008A3461"/>
    <w:rsid w:val="008A50EA"/>
    <w:rsid w:val="008B3020"/>
    <w:rsid w:val="008B4B3B"/>
    <w:rsid w:val="008C5345"/>
    <w:rsid w:val="008C682C"/>
    <w:rsid w:val="008D64D8"/>
    <w:rsid w:val="009150AF"/>
    <w:rsid w:val="00920DEF"/>
    <w:rsid w:val="0092328A"/>
    <w:rsid w:val="0093460F"/>
    <w:rsid w:val="0096311B"/>
    <w:rsid w:val="0096742B"/>
    <w:rsid w:val="0098342E"/>
    <w:rsid w:val="009C1814"/>
    <w:rsid w:val="009D56D6"/>
    <w:rsid w:val="009F043E"/>
    <w:rsid w:val="00A03CC6"/>
    <w:rsid w:val="00A47327"/>
    <w:rsid w:val="00A62CB0"/>
    <w:rsid w:val="00A72D37"/>
    <w:rsid w:val="00A84B89"/>
    <w:rsid w:val="00AB0544"/>
    <w:rsid w:val="00AC524E"/>
    <w:rsid w:val="00AD23CD"/>
    <w:rsid w:val="00AD3080"/>
    <w:rsid w:val="00AE2858"/>
    <w:rsid w:val="00B153C9"/>
    <w:rsid w:val="00B202DC"/>
    <w:rsid w:val="00B30401"/>
    <w:rsid w:val="00B36FCF"/>
    <w:rsid w:val="00B401D8"/>
    <w:rsid w:val="00B5105F"/>
    <w:rsid w:val="00B513BC"/>
    <w:rsid w:val="00B67AA5"/>
    <w:rsid w:val="00B847AF"/>
    <w:rsid w:val="00B854DB"/>
    <w:rsid w:val="00B9463E"/>
    <w:rsid w:val="00B94F40"/>
    <w:rsid w:val="00B96F29"/>
    <w:rsid w:val="00BA3255"/>
    <w:rsid w:val="00BA3743"/>
    <w:rsid w:val="00BE0025"/>
    <w:rsid w:val="00BF6DDF"/>
    <w:rsid w:val="00C175E2"/>
    <w:rsid w:val="00C26C47"/>
    <w:rsid w:val="00C30F96"/>
    <w:rsid w:val="00C3395D"/>
    <w:rsid w:val="00C4534C"/>
    <w:rsid w:val="00C47756"/>
    <w:rsid w:val="00C51F8C"/>
    <w:rsid w:val="00C57EF0"/>
    <w:rsid w:val="00C67AD6"/>
    <w:rsid w:val="00C80066"/>
    <w:rsid w:val="00C91679"/>
    <w:rsid w:val="00C93F29"/>
    <w:rsid w:val="00C96684"/>
    <w:rsid w:val="00CA386F"/>
    <w:rsid w:val="00CA7BFC"/>
    <w:rsid w:val="00CC01DD"/>
    <w:rsid w:val="00CC7725"/>
    <w:rsid w:val="00CC7A1A"/>
    <w:rsid w:val="00CE22F9"/>
    <w:rsid w:val="00CF6EB6"/>
    <w:rsid w:val="00D36FE8"/>
    <w:rsid w:val="00D60508"/>
    <w:rsid w:val="00D611B9"/>
    <w:rsid w:val="00D61F04"/>
    <w:rsid w:val="00D80081"/>
    <w:rsid w:val="00D868BE"/>
    <w:rsid w:val="00DE009A"/>
    <w:rsid w:val="00E0662F"/>
    <w:rsid w:val="00E2637F"/>
    <w:rsid w:val="00E378B8"/>
    <w:rsid w:val="00E54615"/>
    <w:rsid w:val="00E73562"/>
    <w:rsid w:val="00E853D6"/>
    <w:rsid w:val="00E9204E"/>
    <w:rsid w:val="00E9345D"/>
    <w:rsid w:val="00EA7CA4"/>
    <w:rsid w:val="00EB2018"/>
    <w:rsid w:val="00EB552E"/>
    <w:rsid w:val="00EE6A20"/>
    <w:rsid w:val="00EF787B"/>
    <w:rsid w:val="00F03311"/>
    <w:rsid w:val="00F12600"/>
    <w:rsid w:val="00F15A48"/>
    <w:rsid w:val="00F37ECA"/>
    <w:rsid w:val="00F37FF3"/>
    <w:rsid w:val="00F83C93"/>
    <w:rsid w:val="00F94E31"/>
    <w:rsid w:val="00FA2EC3"/>
    <w:rsid w:val="00FC39A2"/>
    <w:rsid w:val="00FD3CD9"/>
    <w:rsid w:val="00FD3EB7"/>
    <w:rsid w:val="00FF5A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F6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3173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99"/>
    <w:qFormat/>
    <w:rsid w:val="00031739"/>
    <w:pPr>
      <w:ind w:left="720"/>
      <w:contextualSpacing/>
    </w:pPr>
  </w:style>
  <w:style w:type="table" w:styleId="TableGrid">
    <w:name w:val="Table Grid"/>
    <w:basedOn w:val="TableNormal"/>
    <w:uiPriority w:val="99"/>
    <w:locked/>
    <w:rsid w:val="00BE002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E5B7F"/>
    <w:pPr>
      <w:tabs>
        <w:tab w:val="center" w:pos="4320"/>
        <w:tab w:val="right" w:pos="8640"/>
      </w:tabs>
    </w:pPr>
  </w:style>
  <w:style w:type="character" w:customStyle="1" w:styleId="FooterChar">
    <w:name w:val="Footer Char"/>
    <w:basedOn w:val="DefaultParagraphFont"/>
    <w:link w:val="Footer"/>
    <w:uiPriority w:val="99"/>
    <w:semiHidden/>
    <w:locked/>
    <w:rsid w:val="009D56D6"/>
    <w:rPr>
      <w:rFonts w:cs="Times New Roman"/>
    </w:rPr>
  </w:style>
  <w:style w:type="character" w:styleId="PageNumber">
    <w:name w:val="page number"/>
    <w:basedOn w:val="DefaultParagraphFont"/>
    <w:uiPriority w:val="99"/>
    <w:rsid w:val="004E5B7F"/>
    <w:rPr>
      <w:rFonts w:cs="Times New Roman"/>
    </w:rPr>
  </w:style>
  <w:style w:type="paragraph" w:styleId="Header">
    <w:name w:val="header"/>
    <w:basedOn w:val="Normal"/>
    <w:link w:val="HeaderChar"/>
    <w:uiPriority w:val="99"/>
    <w:rsid w:val="004E5B7F"/>
    <w:pPr>
      <w:tabs>
        <w:tab w:val="center" w:pos="4320"/>
        <w:tab w:val="right" w:pos="8640"/>
      </w:tabs>
    </w:pPr>
  </w:style>
  <w:style w:type="character" w:customStyle="1" w:styleId="HeaderChar">
    <w:name w:val="Header Char"/>
    <w:basedOn w:val="DefaultParagraphFont"/>
    <w:link w:val="Header"/>
    <w:uiPriority w:val="99"/>
    <w:semiHidden/>
    <w:locked/>
    <w:rsid w:val="009D56D6"/>
    <w:rPr>
      <w:rFonts w:cs="Times New Roman"/>
    </w:rPr>
  </w:style>
  <w:style w:type="paragraph" w:styleId="EndnoteText">
    <w:name w:val="endnote text"/>
    <w:basedOn w:val="Normal"/>
    <w:link w:val="EndnoteTextChar"/>
    <w:uiPriority w:val="99"/>
    <w:semiHidden/>
    <w:rsid w:val="00115401"/>
    <w:rPr>
      <w:sz w:val="20"/>
      <w:szCs w:val="20"/>
    </w:rPr>
  </w:style>
  <w:style w:type="character" w:customStyle="1" w:styleId="EndnoteTextChar">
    <w:name w:val="Endnote Text Char"/>
    <w:basedOn w:val="DefaultParagraphFont"/>
    <w:link w:val="EndnoteText"/>
    <w:uiPriority w:val="99"/>
    <w:semiHidden/>
    <w:locked/>
    <w:rsid w:val="00CA7BFC"/>
    <w:rPr>
      <w:rFonts w:cs="Times New Roman"/>
      <w:sz w:val="20"/>
      <w:szCs w:val="20"/>
    </w:rPr>
  </w:style>
  <w:style w:type="character" w:styleId="EndnoteReference">
    <w:name w:val="endnote reference"/>
    <w:basedOn w:val="DefaultParagraphFont"/>
    <w:uiPriority w:val="99"/>
    <w:semiHidden/>
    <w:rsid w:val="00115401"/>
    <w:rPr>
      <w:rFonts w:cs="Times New Roman"/>
      <w:vertAlign w:val="superscript"/>
    </w:rPr>
  </w:style>
  <w:style w:type="character" w:styleId="Hyperlink">
    <w:name w:val="Hyperlink"/>
    <w:basedOn w:val="DefaultParagraphFont"/>
    <w:uiPriority w:val="99"/>
    <w:rsid w:val="00892407"/>
    <w:rPr>
      <w:rFonts w:cs="Times New Roman"/>
      <w:color w:val="0000FF"/>
      <w:u w:val="single"/>
    </w:rPr>
  </w:style>
  <w:style w:type="paragraph" w:styleId="HTMLPreformatted">
    <w:name w:val="HTML Preformatted"/>
    <w:basedOn w:val="Normal"/>
    <w:link w:val="HTMLPreformattedChar"/>
    <w:uiPriority w:val="99"/>
    <w:rsid w:val="0006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D606B"/>
    <w:rPr>
      <w:rFonts w:ascii="Courier New" w:hAnsi="Courier New" w:cs="Courier New"/>
      <w:sz w:val="20"/>
      <w:szCs w:val="20"/>
    </w:rPr>
  </w:style>
  <w:style w:type="character" w:styleId="FollowedHyperlink">
    <w:name w:val="FollowedHyperlink"/>
    <w:basedOn w:val="DefaultParagraphFont"/>
    <w:uiPriority w:val="99"/>
    <w:rsid w:val="00E5461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415042">
      <w:marLeft w:val="0"/>
      <w:marRight w:val="0"/>
      <w:marTop w:val="0"/>
      <w:marBottom w:val="0"/>
      <w:divBdr>
        <w:top w:val="none" w:sz="0" w:space="0" w:color="auto"/>
        <w:left w:val="none" w:sz="0" w:space="0" w:color="auto"/>
        <w:bottom w:val="none" w:sz="0" w:space="0" w:color="auto"/>
        <w:right w:val="none" w:sz="0" w:space="0" w:color="auto"/>
      </w:divBdr>
      <w:divsChild>
        <w:div w:id="8415041">
          <w:marLeft w:val="0"/>
          <w:marRight w:val="0"/>
          <w:marTop w:val="0"/>
          <w:marBottom w:val="0"/>
          <w:divBdr>
            <w:top w:val="none" w:sz="0" w:space="0" w:color="auto"/>
            <w:left w:val="none" w:sz="0" w:space="0" w:color="auto"/>
            <w:bottom w:val="none" w:sz="0" w:space="0" w:color="auto"/>
            <w:right w:val="none" w:sz="0" w:space="0" w:color="auto"/>
          </w:divBdr>
          <w:divsChild>
            <w:div w:id="8415047">
              <w:marLeft w:val="0"/>
              <w:marRight w:val="0"/>
              <w:marTop w:val="0"/>
              <w:marBottom w:val="0"/>
              <w:divBdr>
                <w:top w:val="none" w:sz="0" w:space="0" w:color="auto"/>
                <w:left w:val="none" w:sz="0" w:space="0" w:color="auto"/>
                <w:bottom w:val="none" w:sz="0" w:space="0" w:color="auto"/>
                <w:right w:val="none" w:sz="0" w:space="0" w:color="auto"/>
              </w:divBdr>
              <w:divsChild>
                <w:div w:id="8415049">
                  <w:marLeft w:val="0"/>
                  <w:marRight w:val="0"/>
                  <w:marTop w:val="0"/>
                  <w:marBottom w:val="0"/>
                  <w:divBdr>
                    <w:top w:val="none" w:sz="0" w:space="0" w:color="auto"/>
                    <w:left w:val="none" w:sz="0" w:space="0" w:color="auto"/>
                    <w:bottom w:val="none" w:sz="0" w:space="0" w:color="auto"/>
                    <w:right w:val="none" w:sz="0" w:space="0" w:color="auto"/>
                  </w:divBdr>
                  <w:divsChild>
                    <w:div w:id="8415052">
                      <w:marLeft w:val="0"/>
                      <w:marRight w:val="0"/>
                      <w:marTop w:val="0"/>
                      <w:marBottom w:val="0"/>
                      <w:divBdr>
                        <w:top w:val="none" w:sz="0" w:space="0" w:color="auto"/>
                        <w:left w:val="none" w:sz="0" w:space="0" w:color="auto"/>
                        <w:bottom w:val="none" w:sz="0" w:space="0" w:color="auto"/>
                        <w:right w:val="none" w:sz="0" w:space="0" w:color="auto"/>
                      </w:divBdr>
                      <w:divsChild>
                        <w:div w:id="8415050">
                          <w:marLeft w:val="0"/>
                          <w:marRight w:val="0"/>
                          <w:marTop w:val="0"/>
                          <w:marBottom w:val="0"/>
                          <w:divBdr>
                            <w:top w:val="none" w:sz="0" w:space="0" w:color="auto"/>
                            <w:left w:val="none" w:sz="0" w:space="0" w:color="auto"/>
                            <w:bottom w:val="none" w:sz="0" w:space="0" w:color="auto"/>
                            <w:right w:val="none" w:sz="0" w:space="0" w:color="auto"/>
                          </w:divBdr>
                          <w:divsChild>
                            <w:div w:id="8415043">
                              <w:marLeft w:val="0"/>
                              <w:marRight w:val="0"/>
                              <w:marTop w:val="0"/>
                              <w:marBottom w:val="0"/>
                              <w:divBdr>
                                <w:top w:val="none" w:sz="0" w:space="0" w:color="auto"/>
                                <w:left w:val="none" w:sz="0" w:space="0" w:color="auto"/>
                                <w:bottom w:val="none" w:sz="0" w:space="0" w:color="auto"/>
                                <w:right w:val="none" w:sz="0" w:space="0" w:color="auto"/>
                              </w:divBdr>
                              <w:divsChild>
                                <w:div w:id="8415051">
                                  <w:marLeft w:val="0"/>
                                  <w:marRight w:val="0"/>
                                  <w:marTop w:val="0"/>
                                  <w:marBottom w:val="0"/>
                                  <w:divBdr>
                                    <w:top w:val="none" w:sz="0" w:space="0" w:color="auto"/>
                                    <w:left w:val="none" w:sz="0" w:space="0" w:color="auto"/>
                                    <w:bottom w:val="none" w:sz="0" w:space="0" w:color="auto"/>
                                    <w:right w:val="none" w:sz="0" w:space="0" w:color="auto"/>
                                  </w:divBdr>
                                  <w:divsChild>
                                    <w:div w:id="8415040">
                                      <w:marLeft w:val="0"/>
                                      <w:marRight w:val="0"/>
                                      <w:marTop w:val="0"/>
                                      <w:marBottom w:val="0"/>
                                      <w:divBdr>
                                        <w:top w:val="none" w:sz="0" w:space="0" w:color="auto"/>
                                        <w:left w:val="none" w:sz="0" w:space="0" w:color="auto"/>
                                        <w:bottom w:val="none" w:sz="0" w:space="0" w:color="auto"/>
                                        <w:right w:val="none" w:sz="0" w:space="0" w:color="auto"/>
                                      </w:divBdr>
                                      <w:divsChild>
                                        <w:div w:id="8415046">
                                          <w:marLeft w:val="0"/>
                                          <w:marRight w:val="0"/>
                                          <w:marTop w:val="0"/>
                                          <w:marBottom w:val="0"/>
                                          <w:divBdr>
                                            <w:top w:val="none" w:sz="0" w:space="0" w:color="auto"/>
                                            <w:left w:val="none" w:sz="0" w:space="0" w:color="auto"/>
                                            <w:bottom w:val="none" w:sz="0" w:space="0" w:color="auto"/>
                                            <w:right w:val="none" w:sz="0" w:space="0" w:color="auto"/>
                                          </w:divBdr>
                                          <w:divsChild>
                                            <w:div w:id="8415044">
                                              <w:marLeft w:val="0"/>
                                              <w:marRight w:val="0"/>
                                              <w:marTop w:val="0"/>
                                              <w:marBottom w:val="0"/>
                                              <w:divBdr>
                                                <w:top w:val="none" w:sz="0" w:space="0" w:color="auto"/>
                                                <w:left w:val="none" w:sz="0" w:space="0" w:color="auto"/>
                                                <w:bottom w:val="none" w:sz="0" w:space="0" w:color="auto"/>
                                                <w:right w:val="none" w:sz="0" w:space="0" w:color="auto"/>
                                              </w:divBdr>
                                              <w:divsChild>
                                                <w:div w:id="8415045">
                                                  <w:marLeft w:val="6336"/>
                                                  <w:marRight w:val="0"/>
                                                  <w:marTop w:val="0"/>
                                                  <w:marBottom w:val="0"/>
                                                  <w:divBdr>
                                                    <w:top w:val="none" w:sz="0" w:space="0" w:color="auto"/>
                                                    <w:left w:val="none" w:sz="0" w:space="0" w:color="auto"/>
                                                    <w:bottom w:val="none" w:sz="0" w:space="0" w:color="auto"/>
                                                    <w:right w:val="none" w:sz="0" w:space="0" w:color="auto"/>
                                                  </w:divBdr>
                                                </w:div>
                                                <w:div w:id="84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15053">
      <w:marLeft w:val="0"/>
      <w:marRight w:val="0"/>
      <w:marTop w:val="0"/>
      <w:marBottom w:val="0"/>
      <w:divBdr>
        <w:top w:val="none" w:sz="0" w:space="0" w:color="auto"/>
        <w:left w:val="none" w:sz="0" w:space="0" w:color="auto"/>
        <w:bottom w:val="none" w:sz="0" w:space="0" w:color="auto"/>
        <w:right w:val="none" w:sz="0" w:space="0" w:color="auto"/>
      </w:divBdr>
    </w:div>
    <w:div w:id="8415054">
      <w:marLeft w:val="0"/>
      <w:marRight w:val="0"/>
      <w:marTop w:val="0"/>
      <w:marBottom w:val="0"/>
      <w:divBdr>
        <w:top w:val="none" w:sz="0" w:space="0" w:color="auto"/>
        <w:left w:val="none" w:sz="0" w:space="0" w:color="auto"/>
        <w:bottom w:val="none" w:sz="0" w:space="0" w:color="auto"/>
        <w:right w:val="none" w:sz="0" w:space="0" w:color="auto"/>
      </w:divBdr>
    </w:div>
    <w:div w:id="8415055">
      <w:marLeft w:val="0"/>
      <w:marRight w:val="0"/>
      <w:marTop w:val="0"/>
      <w:marBottom w:val="0"/>
      <w:divBdr>
        <w:top w:val="none" w:sz="0" w:space="0" w:color="auto"/>
        <w:left w:val="none" w:sz="0" w:space="0" w:color="auto"/>
        <w:bottom w:val="none" w:sz="0" w:space="0" w:color="auto"/>
        <w:right w:val="none" w:sz="0" w:space="0" w:color="auto"/>
      </w:divBdr>
    </w:div>
    <w:div w:id="841505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fara.gov/indx-act.html" TargetMode="External"/><Relationship Id="rId1" Type="http://schemas.openxmlformats.org/officeDocument/2006/relationships/hyperlink" Target="http://caselaw.lp.findlaw.com/scripts/getcase.pl?navby=case&amp;court=US&amp;vol=118&amp;invol=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659</Words>
  <Characters>3759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NOTICE AND DEMAND FOR IDENTIFICATION AND CREDENTIALS QUO WARRANTO</dc:title>
  <dc:subject/>
  <dc:creator>rb</dc:creator>
  <cp:keywords/>
  <dc:description/>
  <cp:lastModifiedBy>me</cp:lastModifiedBy>
  <cp:revision>3</cp:revision>
  <cp:lastPrinted>2013-03-07T23:42:00Z</cp:lastPrinted>
  <dcterms:created xsi:type="dcterms:W3CDTF">2013-03-09T23:09:00Z</dcterms:created>
  <dcterms:modified xsi:type="dcterms:W3CDTF">2017-10-20T23:11:00Z</dcterms:modified>
</cp:coreProperties>
</file>