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4239895</wp:posOffset>
            </wp:positionH>
            <wp:positionV relativeFrom="paragraph">
              <wp:posOffset>0</wp:posOffset>
            </wp:positionV>
            <wp:extent cx="2089785" cy="1101725"/>
            <wp:effectExtent b="0" l="0" r="0" t="0"/>
            <wp:wrapSquare wrapText="bothSides" distB="0" distT="0" distL="114300" distR="114300"/>
            <wp:docPr id="4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89785" cy="1101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22862</wp:posOffset>
            </wp:positionH>
            <wp:positionV relativeFrom="paragraph">
              <wp:posOffset>0</wp:posOffset>
            </wp:positionV>
            <wp:extent cx="1343660" cy="1343660"/>
            <wp:effectExtent b="0" l="0" r="0" t="0"/>
            <wp:wrapSquare wrapText="bothSides" distB="0" distT="0" distL="114300" distR="114300"/>
            <wp:docPr descr="C:\Users\MSA-HP\AppData\Local\Microsoft\Windows\INetCache\Content.Word\Logo 2_PT.jpeg" id="41" name="image6.jpg"/>
            <a:graphic>
              <a:graphicData uri="http://schemas.openxmlformats.org/drawingml/2006/picture">
                <pic:pic>
                  <pic:nvPicPr>
                    <pic:cNvPr descr="C:\Users\MSA-HP\AppData\Local\Microsoft\Windows\INetCache\Content.Word\Logo 2_PT.jpeg" id="0" name="image6.jpg"/>
                    <pic:cNvPicPr preferRelativeResize="0"/>
                  </pic:nvPicPr>
                  <pic:blipFill>
                    <a:blip r:embed="rId8"/>
                    <a:srcRect b="0" l="0" r="0" t="0"/>
                    <a:stretch>
                      <a:fillRect/>
                    </a:stretch>
                  </pic:blipFill>
                  <pic:spPr>
                    <a:xfrm>
                      <a:off x="0" y="0"/>
                      <a:ext cx="1343660" cy="1343660"/>
                    </a:xfrm>
                    <a:prstGeom prst="rect"/>
                    <a:ln/>
                  </pic:spPr>
                </pic:pic>
              </a:graphicData>
            </a:graphic>
          </wp:anchor>
        </w:drawing>
      </w:r>
    </w:p>
    <w:p w:rsidR="00000000" w:rsidDel="00000000" w:rsidP="00000000" w:rsidRDefault="00000000" w:rsidRPr="00000000" w14:paraId="0000000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Result and Report of the Digital Games Assessment Test in the 3rd Mobility </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test (</w:t>
      </w:r>
      <w:hyperlink r:id="rId9">
        <w:r w:rsidDel="00000000" w:rsidR="00000000" w:rsidRPr="00000000">
          <w:rPr>
            <w:rFonts w:ascii="Roboto" w:cs="Roboto" w:eastAsia="Roboto" w:hAnsi="Roboto"/>
            <w:color w:val="1155cc"/>
            <w:sz w:val="20"/>
            <w:szCs w:val="20"/>
            <w:highlight w:val="white"/>
            <w:u w:val="single"/>
            <w:rtl w:val="0"/>
          </w:rPr>
          <w:t xml:space="preserve">https://forms.gle/DzhBCz37JREfdYhG7</w:t>
        </w:r>
      </w:hyperlink>
      <w:r w:rsidDel="00000000" w:rsidR="00000000" w:rsidRPr="00000000">
        <w:rPr>
          <w:rFonts w:ascii="Roboto" w:cs="Roboto" w:eastAsia="Roboto" w:hAnsi="Roboto"/>
          <w:sz w:val="20"/>
          <w:szCs w:val="20"/>
          <w:highlight w:val="white"/>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was applied on  4</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May 2023.</w:t>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hd w:fill="ffc000"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the results;</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rtl w:val="0"/>
        </w:rPr>
        <w:t xml:space="preserve">18 online</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teachers took part in the assessment test. </w:t>
      </w:r>
      <w:r w:rsidDel="00000000" w:rsidR="00000000" w:rsidRPr="00000000">
        <w:rPr>
          <w:rFonts w:ascii="Times New Roman" w:cs="Times New Roman" w:eastAsia="Times New Roman" w:hAnsi="Times New Roman"/>
          <w:rtl w:val="0"/>
        </w:rPr>
        <w:t xml:space="preserve">Teachers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are ranked as </w:t>
      </w:r>
      <w:r w:rsidDel="00000000" w:rsidR="00000000" w:rsidRPr="00000000">
        <w:rPr>
          <w:rFonts w:ascii="Times New Roman" w:cs="Times New Roman" w:eastAsia="Times New Roman" w:hAnsi="Times New Roman"/>
          <w:rtl w:val="0"/>
        </w:rPr>
        <w:t xml:space="preserve">eighteen</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participants from </w:t>
      </w:r>
      <w:r w:rsidDel="00000000" w:rsidR="00000000" w:rsidRPr="00000000">
        <w:rPr>
          <w:rFonts w:ascii="Times New Roman" w:cs="Times New Roman" w:eastAsia="Times New Roman" w:hAnsi="Times New Roman"/>
          <w:highlight w:val="white"/>
          <w:rtl w:val="0"/>
        </w:rPr>
        <w:t xml:space="preserve">Escola Secundária de Penafiel, University of Split, Osnovna škola Strožanac, SŠ Braća Radić Kaštel Štafilić, Şehit Murat Tuzsuz MTAL, Trabzon Yeşiltepe Primary School, Anadoluhisari Secondary School, Mustafa Kemal Atatürk MTAL, Γυμνάσιο ΛΤ Χάλκης and Gymnasio L T Chalki.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The branch/domain of the participants is ranked as </w:t>
      </w:r>
      <w:r w:rsidDel="00000000" w:rsidR="00000000" w:rsidRPr="00000000">
        <w:rPr>
          <w:rFonts w:ascii="Times New Roman" w:cs="Times New Roman" w:eastAsia="Times New Roman" w:hAnsi="Times New Roman"/>
          <w:highlight w:val="white"/>
          <w:rtl w:val="0"/>
        </w:rPr>
        <w:t xml:space="preserve">ICT, French and Portuguese, English, Associate Professor, Information Science, Food Technology, Microbiology, Ecology, Renewable Energy Teacher, Primary School Teacher, Maths, Turkish Language, ΠΕ 06, Computer Science.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100% of the participants think that </w:t>
      </w:r>
      <w:r w:rsidDel="00000000" w:rsidR="00000000" w:rsidRPr="00000000">
        <w:rPr>
          <w:rFonts w:ascii="Times New Roman" w:cs="Times New Roman" w:eastAsia="Times New Roman" w:hAnsi="Times New Roman"/>
          <w:color w:val="202124"/>
          <w:highlight w:val="white"/>
          <w:rtl w:val="0"/>
        </w:rPr>
        <w:t xml:space="preserve">this training has helped them acquire a better understanding on how you can use digital games in the classroom to subconsciously raise students’ awareness on climate change and its impact on the environment.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Participants think that </w:t>
      </w:r>
      <w:r w:rsidDel="00000000" w:rsidR="00000000" w:rsidRPr="00000000">
        <w:rPr>
          <w:rFonts w:ascii="Times New Roman" w:cs="Times New Roman" w:eastAsia="Times New Roman" w:hAnsi="Times New Roman"/>
          <w:highlight w:val="white"/>
          <w:rtl w:val="0"/>
        </w:rPr>
        <w:t xml:space="preserve">games are a great way of motivating and assessing students’ knowledge. The training has appeared to be wonderful according to the participants, with digital games they believe they can practice and learn more about climate change. Participants have come up with an idea that with their knowledge, they can teach students this engagement which will promote a better atmosphere in class as well as  a subconscious effective learning.</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100% of participants think that these kinds of games are effective.</w:t>
      </w:r>
      <w:r w:rsidDel="00000000" w:rsidR="00000000" w:rsidRPr="00000000">
        <w:rPr>
          <w:rtl w:val="0"/>
        </w:rPr>
      </w:r>
    </w:p>
    <w:p w:rsidR="00000000" w:rsidDel="00000000" w:rsidP="00000000" w:rsidRDefault="00000000" w:rsidRPr="00000000" w14:paraId="00000019">
      <w:pPr>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All of the participants find these kinds of games effective and define them as simple, useful, motivating, interesting and fun. They think that students like digital apps and it helps facilitate a warm atmosphere at class. </w:t>
      </w: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94,4% of the participants find these kinds of games motivating. 88,9% of the participants also believe that games </w:t>
      </w:r>
      <w:r w:rsidDel="00000000" w:rsidR="00000000" w:rsidRPr="00000000">
        <w:rPr>
          <w:rFonts w:ascii="Times New Roman" w:cs="Times New Roman" w:eastAsia="Times New Roman" w:hAnsi="Times New Roman"/>
          <w:highlight w:val="white"/>
          <w:rtl w:val="0"/>
        </w:rPr>
        <w:t xml:space="preserve">help students reinforce or master the already taught content. 72,2% of the participants suggest that games can teach students new content.  66,7% of the participants think that games provide information about student learning.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highlight w:val="white"/>
          <w:rtl w:val="0"/>
        </w:rPr>
        <w:t xml:space="preserve">To teach supplemental content not mentioned by curriculum standards and to cover content mandated by curriculum standards</w:t>
      </w:r>
      <w:r w:rsidDel="00000000" w:rsidR="00000000" w:rsidRPr="00000000">
        <w:rPr>
          <w:rFonts w:ascii="Times New Roman" w:cs="Times New Roman" w:eastAsia="Times New Roman" w:hAnsi="Times New Roman"/>
          <w:rtl w:val="0"/>
        </w:rPr>
        <w:t xml:space="preserve"> are ranked equally at 61,1% rate in terms of </w:t>
      </w:r>
      <w:r w:rsidDel="00000000" w:rsidR="00000000" w:rsidRPr="00000000">
        <w:rPr>
          <w:rFonts w:ascii="Times New Roman" w:cs="Times New Roman" w:eastAsia="Times New Roman" w:hAnsi="Times New Roman"/>
          <w:color w:val="202124"/>
          <w:highlight w:val="white"/>
          <w:rtl w:val="0"/>
        </w:rPr>
        <w:t xml:space="preserve"> delivering core and supplemental curriculum content that will lead to increased students’ awareness on climate change and its impact on environment. 55,6% of the participants are likely to plan to assess students on supplemental knowledge and /or skills. 50% of the participants consider conducting formative and summative assessment of students’ standards-based curriculum knowledge and/or skills.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color w:val="202124"/>
          <w:highlight w:val="white"/>
          <w:u w:val="none"/>
        </w:rPr>
      </w:pPr>
      <w:r w:rsidDel="00000000" w:rsidR="00000000" w:rsidRPr="00000000">
        <w:rPr>
          <w:rFonts w:ascii="Times New Roman" w:cs="Times New Roman" w:eastAsia="Times New Roman" w:hAnsi="Times New Roman"/>
          <w:color w:val="202124"/>
          <w:highlight w:val="white"/>
          <w:rtl w:val="0"/>
        </w:rPr>
        <w:t xml:space="preserve">Participants think that there are strong aspects of the content of the training session such as working as a team, creative activity, actual knowledge, accessible content, interesting supplement, comprehensive study, imaginative atmosphere, and intriguing context.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 </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color w:val="202124"/>
          <w:highlight w:val="white"/>
          <w:u w:val="none"/>
        </w:rPr>
      </w:pPr>
      <w:r w:rsidDel="00000000" w:rsidR="00000000" w:rsidRPr="00000000">
        <w:rPr>
          <w:rFonts w:ascii="Times New Roman" w:cs="Times New Roman" w:eastAsia="Times New Roman" w:hAnsi="Times New Roman"/>
          <w:color w:val="202124"/>
          <w:highlight w:val="white"/>
          <w:rtl w:val="0"/>
        </w:rPr>
        <w:t xml:space="preserve">Participants have some suggestions to improve the content of the training session such as better coordination, more detailed instructions, adding animation characters and sound effects, providing learners with well-prepared materials, feasible resources and time management. A great deal of participants find the games comprehensive enough, though.</w:t>
      </w: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hd w:fill="ffc000"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visuals from the results were shared below:</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drawing>
          <wp:inline distB="114300" distT="114300" distL="114300" distR="114300">
            <wp:extent cx="6034730" cy="2743200"/>
            <wp:effectExtent b="0" l="0" r="0" t="0"/>
            <wp:docPr descr="Formlar yanıt grafiği. Soru başlığı: Q1- Do you think this training has helped you aquire a better understanding on how you can use digital games in the classroom to subconsciuosly raise students’ awarness on climate change and its impact on environment ?&#10;&#10;&#10;. Yanıt sayısı: 18 yanıt." id="42" name="image7.png"/>
            <a:graphic>
              <a:graphicData uri="http://schemas.openxmlformats.org/drawingml/2006/picture">
                <pic:pic>
                  <pic:nvPicPr>
                    <pic:cNvPr descr="Formlar yanıt grafiği. Soru başlığı: Q1- Do you think this training has helped you aquire a better understanding on how you can use digital games in the classroom to subconsciuosly raise students’ awarness on climate change and its impact on environment ?&#10;&#10;&#10;. Yanıt sayısı: 18 yanıt." id="0" name="image7.png"/>
                    <pic:cNvPicPr preferRelativeResize="0"/>
                  </pic:nvPicPr>
                  <pic:blipFill>
                    <a:blip r:embed="rId10"/>
                    <a:srcRect b="0" l="0" r="0" t="0"/>
                    <a:stretch>
                      <a:fillRect/>
                    </a:stretch>
                  </pic:blipFill>
                  <pic:spPr>
                    <a:xfrm>
                      <a:off x="0" y="0"/>
                      <a:ext cx="603473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pPr>
      <w:r w:rsidDel="00000000" w:rsidR="00000000" w:rsidRPr="00000000">
        <w:rPr/>
        <w:drawing>
          <wp:inline distB="114300" distT="114300" distL="114300" distR="114300">
            <wp:extent cx="6034730" cy="2540000"/>
            <wp:effectExtent b="0" l="0" r="0" t="0"/>
            <wp:docPr descr="Formlar yanıt grafiği. Soru başlığı: Q2 Do you believe that this kind of digital games are effective ?&#10;&#10; . Yanıt sayısı: 18 yanıt." id="43" name="image3.png"/>
            <a:graphic>
              <a:graphicData uri="http://schemas.openxmlformats.org/drawingml/2006/picture">
                <pic:pic>
                  <pic:nvPicPr>
                    <pic:cNvPr descr="Formlar yanıt grafiği. Soru başlığı: Q2 Do you believe that this kind of digital games are effective ?&#10;&#10; . Yanıt sayısı: 18 yanıt." id="0" name="image3.png"/>
                    <pic:cNvPicPr preferRelativeResize="0"/>
                  </pic:nvPicPr>
                  <pic:blipFill>
                    <a:blip r:embed="rId11"/>
                    <a:srcRect b="0" l="0" r="0" t="0"/>
                    <a:stretch>
                      <a:fillRect/>
                    </a:stretch>
                  </pic:blipFill>
                  <pic:spPr>
                    <a:xfrm>
                      <a:off x="0" y="0"/>
                      <a:ext cx="603473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both"/>
        <w:rPr/>
      </w:pPr>
      <w:r w:rsidDel="00000000" w:rsidR="00000000" w:rsidRPr="00000000">
        <w:rPr/>
        <w:drawing>
          <wp:inline distB="114300" distT="114300" distL="114300" distR="114300">
            <wp:extent cx="6034730" cy="2870200"/>
            <wp:effectExtent b="0" l="0" r="0" t="0"/>
            <wp:docPr descr="Formlar yanıt grafiği. Soru başlığı: Q 3- This kind of games are effective for:. Yanıt sayısı: 18 yanıt." id="44" name="image2.png"/>
            <a:graphic>
              <a:graphicData uri="http://schemas.openxmlformats.org/drawingml/2006/picture">
                <pic:pic>
                  <pic:nvPicPr>
                    <pic:cNvPr descr="Formlar yanıt grafiği. Soru başlığı: Q 3- This kind of games are effective for:. Yanıt sayısı: 18 yanıt." id="0" name="image2.png"/>
                    <pic:cNvPicPr preferRelativeResize="0"/>
                  </pic:nvPicPr>
                  <pic:blipFill>
                    <a:blip r:embed="rId12"/>
                    <a:srcRect b="0" l="0" r="0" t="0"/>
                    <a:stretch>
                      <a:fillRect/>
                    </a:stretch>
                  </pic:blipFill>
                  <pic:spPr>
                    <a:xfrm>
                      <a:off x="0" y="0"/>
                      <a:ext cx="603473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both"/>
        <w:rPr/>
      </w:pPr>
      <w:r w:rsidDel="00000000" w:rsidR="00000000" w:rsidRPr="00000000">
        <w:rPr/>
        <w:drawing>
          <wp:inline distB="114300" distT="114300" distL="114300" distR="114300">
            <wp:extent cx="6034730" cy="3073400"/>
            <wp:effectExtent b="0" l="0" r="0" t="0"/>
            <wp:docPr descr="Formlar yanıt grafiği. Soru başlığı: Q4- What are there the barriers to using these kind of digital games for the purpose of raising students’ awarness on climate change and its impact on environment?. Yanıt sayısı: 18 yanıt." id="39" name="image5.png"/>
            <a:graphic>
              <a:graphicData uri="http://schemas.openxmlformats.org/drawingml/2006/picture">
                <pic:pic>
                  <pic:nvPicPr>
                    <pic:cNvPr descr="Formlar yanıt grafiği. Soru başlığı: Q4- What are there the barriers to using these kind of digital games for the purpose of raising students’ awarness on climate change and its impact on environment?. Yanıt sayısı: 18 yanıt." id="0" name="image5.png"/>
                    <pic:cNvPicPr preferRelativeResize="0"/>
                  </pic:nvPicPr>
                  <pic:blipFill>
                    <a:blip r:embed="rId13"/>
                    <a:srcRect b="0" l="0" r="0" t="0"/>
                    <a:stretch>
                      <a:fillRect/>
                    </a:stretch>
                  </pic:blipFill>
                  <pic:spPr>
                    <a:xfrm>
                      <a:off x="0" y="0"/>
                      <a:ext cx="603473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both"/>
        <w:rPr/>
      </w:pPr>
      <w:r w:rsidDel="00000000" w:rsidR="00000000" w:rsidRPr="00000000">
        <w:rPr/>
        <w:drawing>
          <wp:inline distB="114300" distT="114300" distL="114300" distR="114300">
            <wp:extent cx="6034730" cy="3073400"/>
            <wp:effectExtent b="0" l="0" r="0" t="0"/>
            <wp:docPr descr="Formlar yanıt grafiği. Soru başlığı: Q5- How do you plan to use digital games in your teaching to deliver core and supplemental curriculum content that will lead to increased students’ awarness on climate change and its impact on environment ?. Yanıt sayısı: 18 yanıt." id="38" name="image4.png"/>
            <a:graphic>
              <a:graphicData uri="http://schemas.openxmlformats.org/drawingml/2006/picture">
                <pic:pic>
                  <pic:nvPicPr>
                    <pic:cNvPr descr="Formlar yanıt grafiği. Soru başlığı: Q5- How do you plan to use digital games in your teaching to deliver core and supplemental curriculum content that will lead to increased students’ awarness on climate change and its impact on environment ?. Yanıt sayısı: 18 yanıt." id="0" name="image4.png"/>
                    <pic:cNvPicPr preferRelativeResize="0"/>
                  </pic:nvPicPr>
                  <pic:blipFill>
                    <a:blip r:embed="rId14"/>
                    <a:srcRect b="0" l="0" r="0" t="0"/>
                    <a:stretch>
                      <a:fillRect/>
                    </a:stretch>
                  </pic:blipFill>
                  <pic:spPr>
                    <a:xfrm>
                      <a:off x="0" y="0"/>
                      <a:ext cx="603473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54565a"/>
          <w:highlight w:val="white"/>
          <w:rtl w:val="0"/>
        </w:rPr>
        <w:t xml:space="preserve">"</w:t>
      </w:r>
      <w:r w:rsidDel="00000000" w:rsidR="00000000" w:rsidRPr="00000000">
        <w:rPr>
          <w:rFonts w:ascii="Times New Roman" w:cs="Times New Roman" w:eastAsia="Times New Roman" w:hAnsi="Times New Roman"/>
          <w:i w:val="1"/>
          <w:color w:val="54565a"/>
          <w:highlight w:val="white"/>
          <w:rtl w:val="0"/>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tl w:val="0"/>
        </w:rPr>
      </w:r>
    </w:p>
    <w:sectPr>
      <w:footerReference r:id="rId15" w:type="default"/>
      <w:footerReference r:id="rId16" w:type="even"/>
      <w:pgSz w:h="16840" w:w="11900" w:orient="portrait"/>
      <w:pgMar w:bottom="1560" w:top="568" w:left="1417" w:right="985" w:header="708" w:footer="2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KA210 SMALL SCALE SCHOOL EDUCATION PARTNERSHIP</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-292099</wp:posOffset>
              </wp:positionH>
              <wp:positionV relativeFrom="paragraph">
                <wp:posOffset>0</wp:posOffset>
              </wp:positionV>
              <wp:extent cx="0" cy="12700"/>
              <wp:effectExtent b="0" l="0" r="0" t="0"/>
              <wp:wrapNone/>
              <wp:docPr id="37" name=""/>
              <a:graphic>
                <a:graphicData uri="http://schemas.microsoft.com/office/word/2010/wordprocessingShape">
                  <wps:wsp>
                    <wps:cNvCnPr/>
                    <wps:spPr>
                      <a:xfrm>
                        <a:off x="2161524" y="3780000"/>
                        <a:ext cx="6368952"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0</wp:posOffset>
              </wp:positionV>
              <wp:extent cx="0" cy="12700"/>
              <wp:effectExtent b="0" l="0" r="0" t="0"/>
              <wp:wrapNone/>
              <wp:docPr id="3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ERASMUS+</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CLIMATE CHANGE DESERVES TO BE IN THE CURRICULA</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2021-1-TR01-KA210-SCH-000032316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Hiperligao">
    <w:name w:val="Hyperlink"/>
    <w:basedOn w:val="Tipodeletrapredefinidodopargrafo"/>
    <w:uiPriority w:val="99"/>
    <w:unhideWhenUsed w:val="1"/>
    <w:rsid w:val="007B2FA1"/>
    <w:rPr>
      <w:color w:val="0563c1" w:themeColor="hyperlink"/>
      <w:u w:val="single"/>
    </w:rPr>
  </w:style>
  <w:style w:type="character" w:styleId="UnresolvedMention1" w:customStyle="1">
    <w:name w:val="Unresolved Mention1"/>
    <w:basedOn w:val="Tipodeletrapredefinidodopargrafo"/>
    <w:uiPriority w:val="99"/>
    <w:semiHidden w:val="1"/>
    <w:unhideWhenUsed w:val="1"/>
    <w:rsid w:val="007B2FA1"/>
    <w:rPr>
      <w:color w:val="605e5c"/>
      <w:shd w:color="auto" w:fill="e1dfdd" w:val="clear"/>
    </w:rPr>
  </w:style>
  <w:style w:type="paragraph" w:styleId="PargrafodaLista">
    <w:name w:val="List Paragraph"/>
    <w:basedOn w:val="Normal"/>
    <w:uiPriority w:val="34"/>
    <w:qFormat w:val="1"/>
    <w:rsid w:val="007B2FA1"/>
    <w:pPr>
      <w:ind w:left="720"/>
      <w:contextualSpacing w:val="1"/>
    </w:pPr>
  </w:style>
  <w:style w:type="character" w:styleId="apple-converted-space" w:customStyle="1">
    <w:name w:val="apple-converted-space"/>
    <w:basedOn w:val="Tipodeletrapredefinidodopargrafo"/>
    <w:rsid w:val="002542DF"/>
  </w:style>
  <w:style w:type="character" w:styleId="myxfac" w:customStyle="1">
    <w:name w:val="myxfac"/>
    <w:basedOn w:val="Tipodeletrapredefinidodopargrafo"/>
    <w:rsid w:val="002542DF"/>
  </w:style>
  <w:style w:type="paragraph" w:styleId="SemEspaamento">
    <w:name w:val="No Spacing"/>
    <w:uiPriority w:val="1"/>
    <w:qFormat w:val="1"/>
    <w:rsid w:val="000724AC"/>
  </w:style>
  <w:style w:type="paragraph" w:styleId="Cabealho">
    <w:name w:val="header"/>
    <w:basedOn w:val="Normal"/>
    <w:link w:val="CabealhoCarter"/>
    <w:uiPriority w:val="99"/>
    <w:unhideWhenUsed w:val="1"/>
    <w:rsid w:val="00F25348"/>
    <w:pPr>
      <w:tabs>
        <w:tab w:val="center" w:pos="4536"/>
        <w:tab w:val="right" w:pos="9072"/>
      </w:tabs>
    </w:pPr>
  </w:style>
  <w:style w:type="character" w:styleId="CabealhoCarter" w:customStyle="1">
    <w:name w:val="Cabeçalho Caráter"/>
    <w:basedOn w:val="Tipodeletrapredefinidodopargrafo"/>
    <w:link w:val="Cabealho"/>
    <w:uiPriority w:val="99"/>
    <w:rsid w:val="00F25348"/>
  </w:style>
  <w:style w:type="paragraph" w:styleId="Rodap">
    <w:name w:val="footer"/>
    <w:basedOn w:val="Normal"/>
    <w:link w:val="RodapCarter"/>
    <w:uiPriority w:val="99"/>
    <w:unhideWhenUsed w:val="1"/>
    <w:rsid w:val="00F25348"/>
    <w:pPr>
      <w:tabs>
        <w:tab w:val="center" w:pos="4536"/>
        <w:tab w:val="right" w:pos="9072"/>
      </w:tabs>
    </w:pPr>
  </w:style>
  <w:style w:type="character" w:styleId="RodapCarter" w:customStyle="1">
    <w:name w:val="Rodapé Caráter"/>
    <w:basedOn w:val="Tipodeletrapredefinidodopargrafo"/>
    <w:link w:val="Rodap"/>
    <w:uiPriority w:val="99"/>
    <w:rsid w:val="00F25348"/>
  </w:style>
  <w:style w:type="character" w:styleId="Nmerodepgina">
    <w:name w:val="page number"/>
    <w:basedOn w:val="Tipodeletrapredefinidodopargrafo"/>
    <w:uiPriority w:val="99"/>
    <w:semiHidden w:val="1"/>
    <w:unhideWhenUsed w:val="1"/>
    <w:rsid w:val="007273FB"/>
  </w:style>
  <w:style w:type="character" w:styleId="TextodoMarcadordePosio">
    <w:name w:val="Placeholder Text"/>
    <w:basedOn w:val="Tipodeletrapredefinidodopargrafo"/>
    <w:uiPriority w:val="99"/>
    <w:semiHidden w:val="1"/>
    <w:rsid w:val="006443CB"/>
    <w:rPr>
      <w:color w:val="808080"/>
    </w:rPr>
  </w:style>
  <w:style w:type="paragraph" w:styleId="NormalWeb">
    <w:name w:val="Normal (Web)"/>
    <w:basedOn w:val="Normal"/>
    <w:uiPriority w:val="99"/>
    <w:unhideWhenUsed w:val="1"/>
    <w:rsid w:val="00362D2F"/>
    <w:pPr>
      <w:spacing w:after="100" w:afterAutospacing="1" w:before="100" w:beforeAutospacing="1"/>
    </w:pPr>
    <w:rPr>
      <w:rFonts w:ascii="Times New Roman" w:cs="Times New Roman" w:eastAsia="Times New Roman" w:hAnsi="Times New Roman"/>
      <w:lang w:val="en-US"/>
    </w:rPr>
  </w:style>
  <w:style w:type="character" w:styleId="MenoNoResolvida">
    <w:name w:val="Unresolved Mention"/>
    <w:basedOn w:val="Tipodeletrapredefinidodopargrafo"/>
    <w:uiPriority w:val="99"/>
    <w:semiHidden w:val="1"/>
    <w:unhideWhenUsed w:val="1"/>
    <w:rsid w:val="00607E1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DzhBCz37JREfdYhG7" TargetMode="External"/><Relationship Id="rId15" Type="http://schemas.openxmlformats.org/officeDocument/2006/relationships/footer" Target="footer2.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XnW1546VYsVzPEtyQR4AnhjJw==">CgMxLjA4AHIhMWJKWjZBUVlEcHpiOTVuazlkRW9ZWnh6WnprZlBBTjJz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2022-10-11T21:27:00Z</dcterms:created>
  <dc:creator>Fatih ÖZBEY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c2da778c52f5c27e5081fdec8ada2c6a5dd51454721c4b21e7a5d78bea1e0e1b</vt:lpwstr>
  </property>
</Properties>
</file>