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4536" w:firstLine="0"/>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2">
      <w:pPr>
        <w:spacing w:after="0" w:line="240" w:lineRule="auto"/>
        <w:ind w:left="4536"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AMPARO INDIRECTO 524/2025</w:t>
      </w:r>
    </w:p>
    <w:p w:rsidR="00000000" w:rsidDel="00000000" w:rsidP="00000000" w:rsidRDefault="00000000" w:rsidRPr="00000000" w14:paraId="00000003">
      <w:pPr>
        <w:spacing w:after="0" w:line="240" w:lineRule="auto"/>
        <w:ind w:left="4536" w:firstLine="0"/>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4">
      <w:pPr>
        <w:spacing w:after="0" w:line="240" w:lineRule="auto"/>
        <w:ind w:left="4536" w:firstLine="0"/>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5">
      <w:pPr>
        <w:spacing w:after="0" w:line="240" w:lineRule="auto"/>
        <w:ind w:left="4536"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6"/>
          <w:szCs w:val="26"/>
          <w:rtl w:val="0"/>
        </w:rPr>
        <w:t xml:space="preserve">QUEJOSO: </w:t>
      </w:r>
      <w:r w:rsidDel="00000000" w:rsidR="00000000" w:rsidRPr="00000000">
        <w:rPr>
          <w:rFonts w:ascii="Arial" w:cs="Arial" w:eastAsia="Arial" w:hAnsi="Arial"/>
          <w:b w:val="1"/>
          <w:bCs w:val="1"/>
          <w:sz w:val="24"/>
          <w:szCs w:val="24"/>
          <w:rtl w:val="0"/>
        </w:rPr>
        <w:t xml:space="preserve">EMILIO GARCÍA NARANJO TOLEDO, APODERADO LEGAL DE LA MORA “CONTROLADORA DOLPHIN”</w:t>
      </w:r>
    </w:p>
    <w:p w:rsidR="00000000" w:rsidDel="00000000" w:rsidP="00000000" w:rsidRDefault="00000000" w:rsidRPr="00000000" w14:paraId="00000006">
      <w:pPr>
        <w:spacing w:after="0" w:line="240" w:lineRule="auto"/>
        <w:ind w:left="4536" w:firstLine="0"/>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7">
      <w:pPr>
        <w:spacing w:after="0" w:line="240" w:lineRule="auto"/>
        <w:ind w:left="4536"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ASUNTO: Se interpone Recurso de Revisión</w:t>
      </w:r>
    </w:p>
    <w:p w:rsidR="00000000" w:rsidDel="00000000" w:rsidP="00000000" w:rsidRDefault="00000000" w:rsidRPr="00000000" w14:paraId="00000008">
      <w:pPr>
        <w:spacing w:after="0" w:line="240" w:lineRule="auto"/>
        <w:ind w:left="0" w:firstLine="0"/>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9">
      <w:pPr>
        <w:spacing w:after="0" w:line="240" w:lineRule="auto"/>
        <w:ind w:left="0" w:firstLine="0"/>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A">
      <w:pPr>
        <w:spacing w:after="0" w:line="240" w:lineRule="auto"/>
        <w:ind w:left="0"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JUZGADO TERCERO DE DISTRITO EN EL ESTADO DE QUINTANA ROO, CON RESIDENCIA EN CANCÚN.</w:t>
      </w:r>
    </w:p>
    <w:p w:rsidR="00000000" w:rsidDel="00000000" w:rsidP="00000000" w:rsidRDefault="00000000" w:rsidRPr="00000000" w14:paraId="0000000B">
      <w:pPr>
        <w:spacing w:after="0" w:line="240" w:lineRule="auto"/>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C">
      <w:pPr>
        <w:spacing w:after="0" w:line="360" w:lineRule="auto"/>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Licenciado Luis Alberto Dorantes Lopez, </w:t>
      </w:r>
      <w:r w:rsidDel="00000000" w:rsidR="00000000" w:rsidRPr="00000000">
        <w:rPr>
          <w:rFonts w:ascii="Arial" w:cs="Arial" w:eastAsia="Arial" w:hAnsi="Arial"/>
          <w:sz w:val="26"/>
          <w:szCs w:val="26"/>
          <w:rtl w:val="0"/>
        </w:rPr>
        <w:t xml:space="preserve">en mi carácter de Fiscal del Ministerio Público del Fuero Común adscrito a la Fiscalía Especializada en Combate a Delitos Patrimoniales, con residencia en esta ciudad</w:t>
      </w:r>
      <w:r w:rsidDel="00000000" w:rsidR="00000000" w:rsidRPr="00000000">
        <w:rPr>
          <w:rFonts w:ascii="Arial" w:cs="Arial" w:eastAsia="Arial" w:hAnsi="Arial"/>
          <w:sz w:val="26"/>
          <w:szCs w:val="26"/>
          <w:rtl w:val="0"/>
        </w:rPr>
        <w:t xml:space="preserve">, actuando con las facultades del Ministerio Público, con fundamento (reglamentaria de los artículos 103 y 107 de la Constitución Política de los Estados Unidos Mexicanos) dentro del juicio de amparo indirecto citado al rubro de la presente, comparezco para exponer:</w:t>
      </w:r>
    </w:p>
    <w:p w:rsidR="00000000" w:rsidDel="00000000" w:rsidP="00000000" w:rsidRDefault="00000000" w:rsidRPr="00000000" w14:paraId="0000000D">
      <w:pPr>
        <w:spacing w:after="240" w:before="240" w:line="360" w:lineRule="auto"/>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A través del presente ocurso y con fundamento en los artículos 80, 81, 82, 83, 84, 85, 86, 87 al 96 de la Ley de Amparo en vigor, y toda vez que me presento en tiempo y forma, vengo a interponer el RECURSO DE REVISIÓN en contra de la sentencia dictada dentro del juicio de amparo indirecto 524/2025, emitida por el Juzgado Tercero de Distrito en el Estado de Quintana Roo, con fecha dieciocho de noviembre de dos mil veinticinco. Vengo a formular el presente recurso de revisión en contra de la resolución mediante la cual se concedió el AMPARO Y LA PROTECCIÓN DE LA JUSTICIA FEDERAL al quejoso EMILIO GARCÍA NARANJO TOLEDO, apoderado legal de la persona moral “Controladora Dolphin”, S.A. de C.V., respecto del acto reclamado a esta Representación Social, consistente en lo siguiente: La Justicia de la Unión AMPARA Y PROTEGE a la citada persona moral por las razones expuestas en el considerando séptimo y para los efectos determinados en el considerando octavo de la sentencia, ordenándose a esta Representación Social:</w:t>
        <w:br w:type="textWrapping"/>
        <w:t xml:space="preserve"> 1. Dejar sin efectos el aseguramiento del inmueble ubicado en lote 08, manzana 01, supermanzana 13, Banco Chinchorro, esquina Acanceh, en esta ciudad de Cancún, Quintana Roo, ordenado mediante oficio FGE/QROO/CAN/FEDP/04/388/2025, de fecha doce de abril de dos mil veinticinco, dentro de la carpeta de investigación FGE/QROO/BJ/04/7127/2025, con número único de caso FGE/QROO/CAN/FEDP/04/78/2025. 2. Ordenar las diligencias necesarias para que la moral “Controladora Dolphin”, S.A. de C.V., recupere la posesión del inmueble materia del aseguramiento. En el entendido que, de emitir una nueva determinación, la cual podría ser en el mismo sentido o en sentido diverso, pero purgando los vicios destacados en el cuerpo de la presente sentencia; esto es, deberá fundamentar y motivar debidamente su decisión. Para la cual, establecerá y justificará la temporalidad del aseguramiento decretado, debiendo precisar cuáles son las actuaciones que llevará a cabo para la debida integración de la carpeta de investigación de origen.</w:t>
      </w:r>
    </w:p>
    <w:p w:rsidR="00000000" w:rsidDel="00000000" w:rsidP="00000000" w:rsidRDefault="00000000" w:rsidRPr="00000000" w14:paraId="0000000E">
      <w:pPr>
        <w:spacing w:after="0" w:line="360" w:lineRule="auto"/>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F">
      <w:pPr>
        <w:spacing w:after="0" w:line="360" w:lineRule="auto"/>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Lo anterior me causa los siguientes agravios:</w:t>
      </w:r>
    </w:p>
    <w:p w:rsidR="00000000" w:rsidDel="00000000" w:rsidP="00000000" w:rsidRDefault="00000000" w:rsidRPr="00000000" w14:paraId="00000010">
      <w:pPr>
        <w:spacing w:after="0" w:line="360" w:lineRule="auto"/>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11">
      <w:pPr>
        <w:spacing w:after="0" w:line="360" w:lineRule="auto"/>
        <w:jc w:val="center"/>
        <w:rPr>
          <w:rFonts w:ascii="Arial" w:cs="Arial" w:eastAsia="Arial" w:hAnsi="Arial"/>
          <w:sz w:val="26"/>
          <w:szCs w:val="26"/>
        </w:rPr>
      </w:pPr>
      <w:r w:rsidDel="00000000" w:rsidR="00000000" w:rsidRPr="00000000">
        <w:rPr>
          <w:rFonts w:ascii="Arial" w:cs="Arial" w:eastAsia="Arial" w:hAnsi="Arial"/>
          <w:sz w:val="26"/>
          <w:szCs w:val="26"/>
          <w:rtl w:val="0"/>
        </w:rPr>
        <w:t xml:space="preserve">AGRAVIOS:</w:t>
      </w:r>
    </w:p>
    <w:p w:rsidR="00000000" w:rsidDel="00000000" w:rsidP="00000000" w:rsidRDefault="00000000" w:rsidRPr="00000000" w14:paraId="00000012">
      <w:pPr>
        <w:spacing w:after="0" w:line="360" w:lineRule="auto"/>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ÚNICO: Una vez analizada la resolución dictada dentro del juicio de amparo que nos ocupa, así como, haberlo consultado y analizado con los superiores jerarquicos, se arribó a la conclusión de que NO SE COMPARTE el criterio de la resolución dictada por el Juez Tercero de Distrito en el Estado de Quintana Roo, toda vez que el ACTO RECLAMADO por el quejoso EMILIO GARCÍA NARANJO TOLEDO, apoderado legal de la persona moral “Controladora Dolphin”, S.A. de C.V., está debidamente motivado y fundamentado, en razón a lo siguiente:</w:t>
      </w:r>
    </w:p>
    <w:p w:rsidR="00000000" w:rsidDel="00000000" w:rsidP="00000000" w:rsidRDefault="00000000" w:rsidRPr="00000000" w14:paraId="00000013">
      <w:pPr>
        <w:spacing w:after="0" w:line="360" w:lineRule="auto"/>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Se lleva a cabo la investigación dentro de la carpeta número FGE/QROO/BJ/04/7127/2025, que se sigue por un hecho señalado en la ley como el delito DESPOJO, cometido en agravio del C. EDUARDO DE MARTIN ALBOR VILLANUEVA y en contra del LIC. ANTONIO GERARDO HERNÁNDEZ MORENO, STEVEN ROBERT STROM, ROBERT L. WAGSTAFF., MATÍAS MARAMBIO CALVO y, tomando en consideración que, obra en registros de la presente carpeta de investigación, pues la sentencia parte de una interpretación errónea del artículo 252 del Código Nacional de Procedimientos Penales, mismo que contiene un catálogo taxativo de actos de investigación que requieren autorización judicial previa; entre los cuales NO se encuentra el aseguramiento emitido por Ministerio Público, máxime cuando:</w:t>
      </w:r>
    </w:p>
    <w:p w:rsidR="00000000" w:rsidDel="00000000" w:rsidP="00000000" w:rsidRDefault="00000000" w:rsidRPr="00000000" w14:paraId="00000014">
      <w:pPr>
        <w:numPr>
          <w:ilvl w:val="0"/>
          <w:numId w:val="3"/>
        </w:numPr>
        <w:spacing w:after="0" w:afterAutospacing="0" w:before="240" w:line="360" w:lineRule="auto"/>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El aseguramiento versa sobre bienes relacionados directamente con los hechos investigados, conforme a lo previsto en el artículo 229 del propio Código.</w:t>
        <w:br w:type="textWrapping"/>
      </w:r>
    </w:p>
    <w:p w:rsidR="00000000" w:rsidDel="00000000" w:rsidP="00000000" w:rsidRDefault="00000000" w:rsidRPr="00000000" w14:paraId="00000015">
      <w:pPr>
        <w:numPr>
          <w:ilvl w:val="0"/>
          <w:numId w:val="3"/>
        </w:numPr>
        <w:spacing w:after="240" w:before="0" w:beforeAutospacing="0" w:line="360" w:lineRule="auto"/>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No implica privación del uso y disfrute del bien, sino únicamente la preservación del objeto de investigación, para evitar su alteración, destrucción o desaparición.</w:t>
      </w:r>
    </w:p>
    <w:p w:rsidR="00000000" w:rsidDel="00000000" w:rsidP="00000000" w:rsidRDefault="00000000" w:rsidRPr="00000000" w14:paraId="00000016">
      <w:pPr>
        <w:spacing w:after="240" w:before="240" w:line="360" w:lineRule="auto"/>
        <w:ind w:left="0" w:firstLine="0"/>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La sentencia recurrida sostiene que “todo acto que afecte derechos constitucionales requiere control judicial” e ignora el marco de atribuciones del Ministerio Público previsto en el artículo 21 constitucional, que le habilita para decretar actos de conservación de indicios y objetos del delito cuando sean indispensables para la investigación. La autoridad jurisdiccional pasó por alto que el aseguramiento ministerial es una técnica de investigación prevista en los artículos 227 y 229 del Código Nacional de Procedimientos Penales, cuya naturaleza es material, precautoria y temporal, y no una medida de afectación permanente al derecho de propiedad., sin embargo omite considerar que el propio artículo 251 del Código Nacional de Procedimientos Penales autoriza expresamente ciertos actos de investigación sin control judicial, y que el aseguramiento ministerial (como técnica de investigación) se encuentra dentro de este marco legal. La resolución parte de una generalización inexacta, imponiendo un requisito no previsto en ley y que excede la interpretación constitucional adecuada, lo cual trasgrede el artículo 16 de la Constitución y vulnera el sistema acusatorio, que otorga al Ministerio Público la dirección de la investigación. Por tanto, la sentencia que concede el amparo es ilegal al sustentar su decisión en una interpretación extensiva y restrictiva para la labor ministerial, lo que amerita su revocación. La sentencia recurrida soslaya elementos esenciales que demuestran la justificación, legalidad y necesidad del aseguramiento decretado mediante oficio FGE/QROO/CAN/FEDP/04/388/2025.</w:t>
      </w:r>
      <w:r w:rsidDel="00000000" w:rsidR="00000000" w:rsidRPr="00000000">
        <w:rPr>
          <w:rFonts w:ascii="Arial" w:cs="Arial" w:eastAsia="Arial" w:hAnsi="Arial"/>
          <w:b w:val="1"/>
          <w:bCs w:val="1"/>
          <w:sz w:val="26"/>
          <w:szCs w:val="26"/>
          <w:rtl w:val="0"/>
        </w:rPr>
        <w:t xml:space="preserve"> </w:t>
      </w:r>
      <w:r w:rsidDel="00000000" w:rsidR="00000000" w:rsidRPr="00000000">
        <w:rPr>
          <w:rFonts w:ascii="Arial" w:cs="Arial" w:eastAsia="Arial" w:hAnsi="Arial"/>
          <w:sz w:val="26"/>
          <w:szCs w:val="26"/>
          <w:rtl w:val="0"/>
        </w:rPr>
        <w:t xml:space="preserve">La sentencia recurrida incumple con el principio de exhaustividad establecido en los artículos 74, 77 y 79 de la Ley de Amparo, ya que no valoró la totalidad de las constancias remitidas por la Representación Social, ni los elementos que justificaron la emisión del aseguramiento controvertido.</w:t>
      </w:r>
    </w:p>
    <w:p w:rsidR="00000000" w:rsidDel="00000000" w:rsidP="00000000" w:rsidRDefault="00000000" w:rsidRPr="00000000" w14:paraId="00000017">
      <w:pPr>
        <w:spacing w:after="240" w:before="240" w:line="360" w:lineRule="auto"/>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En específico, la Jueza de Distrito </w:t>
      </w:r>
      <w:r w:rsidDel="00000000" w:rsidR="00000000" w:rsidRPr="00000000">
        <w:rPr>
          <w:rFonts w:ascii="Arial" w:cs="Arial" w:eastAsia="Arial" w:hAnsi="Arial"/>
          <w:b w:val="1"/>
          <w:bCs w:val="1"/>
          <w:sz w:val="26"/>
          <w:szCs w:val="26"/>
          <w:rtl w:val="0"/>
        </w:rPr>
        <w:t xml:space="preserve">o</w:t>
      </w:r>
      <w:r w:rsidDel="00000000" w:rsidR="00000000" w:rsidRPr="00000000">
        <w:rPr>
          <w:rFonts w:ascii="Arial" w:cs="Arial" w:eastAsia="Arial" w:hAnsi="Arial"/>
          <w:sz w:val="26"/>
          <w:szCs w:val="26"/>
          <w:rtl w:val="0"/>
        </w:rPr>
        <w:t xml:space="preserve">mitió examinar:</w:t>
      </w:r>
    </w:p>
    <w:p w:rsidR="00000000" w:rsidDel="00000000" w:rsidP="00000000" w:rsidRDefault="00000000" w:rsidRPr="00000000" w14:paraId="00000018">
      <w:pPr>
        <w:numPr>
          <w:ilvl w:val="0"/>
          <w:numId w:val="2"/>
        </w:numPr>
        <w:spacing w:after="0" w:afterAutospacing="0" w:before="240" w:line="360" w:lineRule="auto"/>
        <w:ind w:left="720" w:hanging="360"/>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Que el inmueble asegurado se encuentra directamente vinculado a los hechos materia de investigación, al ser el objeto material del posible delito de uso indebido de documentos y maniobras jurídicas irregulares.</w:t>
      </w:r>
    </w:p>
    <w:p w:rsidR="00000000" w:rsidDel="00000000" w:rsidP="00000000" w:rsidRDefault="00000000" w:rsidRPr="00000000" w14:paraId="00000019">
      <w:pPr>
        <w:numPr>
          <w:ilvl w:val="0"/>
          <w:numId w:val="2"/>
        </w:numPr>
        <w:spacing w:after="0" w:afterAutospacing="0" w:before="0" w:beforeAutospacing="0" w:line="360" w:lineRule="auto"/>
        <w:ind w:left="720" w:hanging="360"/>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Que existían datos de prueba que permitían justificar razonablemente que la preservación del inmueble era necesaria para evitar su alteración, disposición, abandono o destrucción, circunstancia que fue expresamente fundada en el acuerdo ministerial de aseguramiento.</w:t>
      </w:r>
    </w:p>
    <w:p w:rsidR="00000000" w:rsidDel="00000000" w:rsidP="00000000" w:rsidRDefault="00000000" w:rsidRPr="00000000" w14:paraId="0000001A">
      <w:pPr>
        <w:numPr>
          <w:ilvl w:val="0"/>
          <w:numId w:val="2"/>
        </w:numPr>
        <w:spacing w:after="240" w:before="0" w:beforeAutospacing="0" w:line="360" w:lineRule="auto"/>
        <w:ind w:left="720" w:hanging="360"/>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Que la actuación ministerial no tuvo por objeto afectar la esfera civil o patrimonial de la quejosa, sino garantizar la eficacia de la investigación penal, conforme lo permite el sistema acusatorio.</w:t>
        <w:br w:type="textWrapping"/>
        <w:t xml:space="preserve">Que la diligencia se llevó a cabo por la autoridad competente, dentro del marco territorial y funcional establecido por la ley.</w:t>
      </w:r>
    </w:p>
    <w:p w:rsidR="00000000" w:rsidDel="00000000" w:rsidP="00000000" w:rsidRDefault="00000000" w:rsidRPr="00000000" w14:paraId="0000001B">
      <w:pPr>
        <w:spacing w:after="240" w:before="240" w:line="360" w:lineRule="auto"/>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En lugar de ello, el órgano jurisdiccional se limitó a razonar (de manera superficial) que el aseguramiento requería autorización judicial, sin analizar si la medida era necesaria, proporcional o fundada; tampoco examinó la legalidad de su emisión, ni los datos de prueba referidos por esta representación social.</w:t>
      </w:r>
    </w:p>
    <w:p w:rsidR="00000000" w:rsidDel="00000000" w:rsidP="00000000" w:rsidRDefault="00000000" w:rsidRPr="00000000" w14:paraId="0000001C">
      <w:pPr>
        <w:spacing w:after="240" w:before="240" w:line="360" w:lineRule="auto"/>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Esa falta de valoración constituye un vicio esencial del análisis, que indebidamente favoreció a la quejosa sin revisar si existían condiciones que justifican el actuar ministerial. El razonamiento de la sentencia es por tanto </w:t>
      </w:r>
      <w:r w:rsidDel="00000000" w:rsidR="00000000" w:rsidRPr="00000000">
        <w:rPr>
          <w:rFonts w:ascii="Arial" w:cs="Arial" w:eastAsia="Arial" w:hAnsi="Arial"/>
          <w:b w:val="1"/>
          <w:bCs w:val="1"/>
          <w:sz w:val="26"/>
          <w:szCs w:val="26"/>
          <w:rtl w:val="0"/>
        </w:rPr>
        <w:t xml:space="preserve">i</w:t>
      </w:r>
      <w:r w:rsidDel="00000000" w:rsidR="00000000" w:rsidRPr="00000000">
        <w:rPr>
          <w:rFonts w:ascii="Arial" w:cs="Arial" w:eastAsia="Arial" w:hAnsi="Arial"/>
          <w:sz w:val="26"/>
          <w:szCs w:val="26"/>
          <w:rtl w:val="0"/>
        </w:rPr>
        <w:t xml:space="preserve">ncompleto y parcial, lo que genera un agravio directo y claro. Siendo que, en la sentencia de protección de amparo se dice que el acuerdo del cual deriva el acto reclamado está indebidamente fundado y motivado, lo cual no se comparte, toda vez que, en dicho acuerdo se realizó una motivación y justificación legal del porqué el inmueble asegurado está relacionado dentro de la carpeta de investigación que se lleva, pues como se explicó el hecho delictuoso trae aparejado un daño ocasionado, el cual se tiene la obligación ministerial de realizar todas las diligencias necesarias a fin de garantizar, por ello en caso de que se ordene la cancelación del inmueble asegurado causaría agravio, pues se perdería la posibilidad de lograr esa reparación del daño integral a que tienen derechos las víctimas u ofendidos de un hecho delictuoso. La sentencia se apoya extensamente en la jurisprudencia del Pleno Regional en Materia Penal de Tribunales Colegiados de Circuito PR.P.T.CS. J/3 P (11a.), relativa a la inmovilización registral, catastral o administrativa de bienes inmuebles. Sin embargo, tal criterio no resulta aplicable al caso, y su utilización constituye un error grave de subsunción. El precedente jurisprudencial regula actos de inmovilización registral, es decir, aquellos que:</w:t>
      </w:r>
    </w:p>
    <w:p w:rsidR="00000000" w:rsidDel="00000000" w:rsidP="00000000" w:rsidRDefault="00000000" w:rsidRPr="00000000" w14:paraId="0000001D">
      <w:pPr>
        <w:numPr>
          <w:ilvl w:val="0"/>
          <w:numId w:val="4"/>
        </w:numPr>
        <w:spacing w:after="0" w:afterAutospacing="0" w:before="240" w:line="360" w:lineRule="auto"/>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Modifican el estatus ante el Registro Público;</w:t>
      </w:r>
    </w:p>
    <w:p w:rsidR="00000000" w:rsidDel="00000000" w:rsidP="00000000" w:rsidRDefault="00000000" w:rsidRPr="00000000" w14:paraId="0000001E">
      <w:pPr>
        <w:numPr>
          <w:ilvl w:val="0"/>
          <w:numId w:val="4"/>
        </w:numPr>
        <w:spacing w:after="0" w:afterAutospacing="0" w:before="0" w:beforeAutospacing="0" w:line="360" w:lineRule="auto"/>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Impiden actos de dominio o disposición;</w:t>
      </w:r>
    </w:p>
    <w:p w:rsidR="00000000" w:rsidDel="00000000" w:rsidP="00000000" w:rsidRDefault="00000000" w:rsidRPr="00000000" w14:paraId="0000001F">
      <w:pPr>
        <w:numPr>
          <w:ilvl w:val="0"/>
          <w:numId w:val="4"/>
        </w:numPr>
        <w:spacing w:after="0" w:afterAutospacing="0" w:before="0" w:beforeAutospacing="0" w:line="360" w:lineRule="auto"/>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Afectan la naturaleza jurídica y registral del bien;</w:t>
      </w:r>
    </w:p>
    <w:p w:rsidR="00000000" w:rsidDel="00000000" w:rsidP="00000000" w:rsidRDefault="00000000" w:rsidRPr="00000000" w14:paraId="00000020">
      <w:pPr>
        <w:numPr>
          <w:ilvl w:val="0"/>
          <w:numId w:val="4"/>
        </w:numPr>
        <w:spacing w:after="240" w:before="0" w:beforeAutospacing="0" w:line="360" w:lineRule="auto"/>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Producen efectos permanentes en la titularidad o contenido de la propiedad.</w:t>
      </w:r>
    </w:p>
    <w:p w:rsidR="00000000" w:rsidDel="00000000" w:rsidP="00000000" w:rsidRDefault="00000000" w:rsidRPr="00000000" w14:paraId="00000021">
      <w:pPr>
        <w:spacing w:after="240" w:before="240" w:line="360" w:lineRule="auto"/>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Nada de lo anterior sucedió en el caso concreto. La medida decretada fue un aseguramiento material, de naturaleza física, temporaria y vinculada estrictamente a la conservación de indicios. Es decir, no existe afectación registral, no se impidió disponer jurídicamente del bien ante instituciones registrales, ni se ordenó anotación alguna. La sentencia equipara figuras completamente distintas, confundiendo:</w:t>
      </w:r>
    </w:p>
    <w:p w:rsidR="00000000" w:rsidDel="00000000" w:rsidP="00000000" w:rsidRDefault="00000000" w:rsidRPr="00000000" w14:paraId="00000022">
      <w:pPr>
        <w:numPr>
          <w:ilvl w:val="0"/>
          <w:numId w:val="1"/>
        </w:numPr>
        <w:spacing w:after="0" w:afterAutospacing="0" w:before="240" w:line="360" w:lineRule="auto"/>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Aseguramiento material (art. 229 Codigo Nacimiento de Procedimientos Penales), con</w:t>
      </w:r>
    </w:p>
    <w:p w:rsidR="00000000" w:rsidDel="00000000" w:rsidP="00000000" w:rsidRDefault="00000000" w:rsidRPr="00000000" w14:paraId="00000023">
      <w:pPr>
        <w:numPr>
          <w:ilvl w:val="0"/>
          <w:numId w:val="1"/>
        </w:numPr>
        <w:spacing w:after="240" w:before="0" w:beforeAutospacing="0" w:line="360" w:lineRule="auto"/>
        <w:ind w:left="72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Inmovilización registral </w:t>
      </w:r>
    </w:p>
    <w:p w:rsidR="00000000" w:rsidDel="00000000" w:rsidP="00000000" w:rsidRDefault="00000000" w:rsidRPr="00000000" w14:paraId="00000024">
      <w:pPr>
        <w:spacing w:after="240" w:before="240" w:line="360" w:lineRule="auto"/>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Dicha confusión llevó a una conclusión equivocada: que el Ministerio Público carecía de facultades para asegurar el bien sin orden judicial, lo cual no corresponde a la naturaleza del acto impugnado. Este error de técnica jurídica invalida la motivación de la sentencia y constituye un agravio que amerita la revocación del fallo. Además de que, el fallo recurrido desconoce que la Constitución otorga al Ministerio Público la dirección de la investigación y la facultad de decretar medidas indispensables para evitar la pérdida de indicios, así como actos necesarios para la preservación de la escena de los hechos o del objeto material del delito. La sentencia, al exigir obligatoriamente control judicial previo para un acto que la ley permite realizar de manera directa, limita injustificadamente la función investigadora, alterando la distribución de competencias del sistema acusatorio. La Jueza de Distrito no ponderó adecuadamente el alcance de la facultad ministerial ni la obligación del Estado de investigar los delitos con eficacia. La sentencia da un peso desproporcionado al interés particular, sin considerar que la medida ministerial era necesaria para proteger un bien jurídico tutelado. Este razonamiento desequilibrado y contrario al sistema constitucional acusatorio constituye un agravio sustancial.El juicio de amparo no puede convertirse en un mecanismo que impida la conservación de los bienes sujetos a investigación ni en un medio para frustrar la persecución penal. El fallo recurrido coloca en riesgo el esclarecimiento de los hechos y prioriza indebidamente un interés individual sobre el interés social, lo cual contradice los artículos 107 constitucional, 128 y 147 de la Ley de Amparo. Este desequilibrio entre intereses genera un agravio directo y evidente al advertir que dicho fin no se llevaría a cabo, el ministerio público está obligado a continuar y realizar las diligencias pertinentes, por ello se emitió dicho acuerdo de aseguramiento, hoy acto reclamado.</w:t>
      </w:r>
    </w:p>
    <w:p w:rsidR="00000000" w:rsidDel="00000000" w:rsidP="00000000" w:rsidRDefault="00000000" w:rsidRPr="00000000" w14:paraId="00000025">
      <w:pPr>
        <w:spacing w:after="0" w:line="360" w:lineRule="auto"/>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Por lo anteriormente expuesto y fundado:</w:t>
      </w:r>
    </w:p>
    <w:p w:rsidR="00000000" w:rsidDel="00000000" w:rsidP="00000000" w:rsidRDefault="00000000" w:rsidRPr="00000000" w14:paraId="00000026">
      <w:pPr>
        <w:spacing w:after="0" w:line="360" w:lineRule="auto"/>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27">
      <w:pPr>
        <w:spacing w:after="0" w:line="360" w:lineRule="auto"/>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C. Juez de Distrito atentamente pido:</w:t>
      </w:r>
    </w:p>
    <w:p w:rsidR="00000000" w:rsidDel="00000000" w:rsidP="00000000" w:rsidRDefault="00000000" w:rsidRPr="00000000" w14:paraId="00000028">
      <w:pPr>
        <w:spacing w:after="0" w:line="360" w:lineRule="auto"/>
        <w:jc w:val="both"/>
        <w:rPr>
          <w:rFonts w:ascii="Arial" w:cs="Arial" w:eastAsia="Arial" w:hAnsi="Arial"/>
          <w:sz w:val="26"/>
          <w:szCs w:val="26"/>
        </w:rPr>
      </w:pPr>
      <w:r w:rsidDel="00000000" w:rsidR="00000000" w:rsidRPr="00000000">
        <w:rPr>
          <w:rFonts w:ascii="Arial" w:cs="Arial" w:eastAsia="Arial" w:hAnsi="Arial"/>
          <w:b w:val="1"/>
          <w:bCs w:val="1"/>
          <w:sz w:val="26"/>
          <w:szCs w:val="26"/>
          <w:rtl w:val="0"/>
        </w:rPr>
        <w:t xml:space="preserve">ÚNICO</w:t>
      </w:r>
      <w:r w:rsidDel="00000000" w:rsidR="00000000" w:rsidRPr="00000000">
        <w:rPr>
          <w:rFonts w:ascii="Arial" w:cs="Arial" w:eastAsia="Arial" w:hAnsi="Arial"/>
          <w:sz w:val="26"/>
          <w:szCs w:val="26"/>
          <w:rtl w:val="0"/>
        </w:rPr>
        <w:t xml:space="preserve">: Tenerme por presentado con este escrito interponiendo RECURSO DE REVISIÓN en contra de la resolución de fecha dieciocho de noviembre de dos mil veinticinco, dictada dentro del juicio de amparo indirecto 524/2025, emitida por el Juzgado Tercero de Distrito en el Estado de Quintana Roo, recurso que se formula en tiempo y forma, solicitando se remita el presente ocurso, junto con el expediente original, al H. Tribunal Colegiado de Circuito en turno para su debida substanciación. A los señores Magistrados respetuosamente les solicito que, al resolver, declaren fundados y operantes los agravios expresados, y en consecuencia revoque la sentencia recurrida, dejando sin efectos la determinación del A quo mediante la cual se concedió el amparo y la protección de la Justicia Federal a la parte quejosa, así como todas las consecuencias legales derivadas de dicha concesión. Por lo anterior, se solicita respetuosamente que se niegue el amparo y la protección de la Justicia Federal al quejoso Emilio García Naranjo Toledo, en su carácter de apoderado legal de la persona moral </w:t>
      </w:r>
      <w:r w:rsidDel="00000000" w:rsidR="00000000" w:rsidRPr="00000000">
        <w:rPr>
          <w:rFonts w:ascii="Arial" w:cs="Arial" w:eastAsia="Arial" w:hAnsi="Arial"/>
          <w:i w:val="1"/>
          <w:iCs w:val="1"/>
          <w:sz w:val="26"/>
          <w:szCs w:val="26"/>
          <w:rtl w:val="0"/>
        </w:rPr>
        <w:t xml:space="preserve">Controladora Dolphin, S.A. de C.V.</w:t>
      </w:r>
      <w:r w:rsidDel="00000000" w:rsidR="00000000" w:rsidRPr="00000000">
        <w:rPr>
          <w:rFonts w:ascii="Arial" w:cs="Arial" w:eastAsia="Arial" w:hAnsi="Arial"/>
          <w:sz w:val="26"/>
          <w:szCs w:val="26"/>
          <w:rtl w:val="0"/>
        </w:rPr>
        <w:t xml:space="preserve">.</w:t>
      </w:r>
    </w:p>
    <w:p w:rsidR="00000000" w:rsidDel="00000000" w:rsidP="00000000" w:rsidRDefault="00000000" w:rsidRPr="00000000" w14:paraId="00000029">
      <w:pPr>
        <w:spacing w:after="0" w:line="360" w:lineRule="auto"/>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2A">
      <w:pPr>
        <w:spacing w:after="0" w:line="360" w:lineRule="auto"/>
        <w:jc w:val="center"/>
        <w:rPr>
          <w:rFonts w:ascii="Arial" w:cs="Arial" w:eastAsia="Arial" w:hAnsi="Arial"/>
          <w:sz w:val="26"/>
          <w:szCs w:val="26"/>
        </w:rPr>
      </w:pPr>
      <w:r w:rsidDel="00000000" w:rsidR="00000000" w:rsidRPr="00000000">
        <w:rPr>
          <w:rFonts w:ascii="Arial" w:cs="Arial" w:eastAsia="Arial" w:hAnsi="Arial"/>
          <w:sz w:val="26"/>
          <w:szCs w:val="26"/>
          <w:rtl w:val="0"/>
        </w:rPr>
        <w:t xml:space="preserve">Protesto lo necesario.</w:t>
      </w:r>
    </w:p>
    <w:p w:rsidR="00000000" w:rsidDel="00000000" w:rsidP="00000000" w:rsidRDefault="00000000" w:rsidRPr="00000000" w14:paraId="0000002B">
      <w:pPr>
        <w:spacing w:after="0" w:line="360" w:lineRule="auto"/>
        <w:jc w:val="center"/>
        <w:rPr>
          <w:rFonts w:ascii="Arial" w:cs="Arial" w:eastAsia="Arial" w:hAnsi="Arial"/>
          <w:sz w:val="26"/>
          <w:szCs w:val="26"/>
        </w:rPr>
      </w:pPr>
      <w:r w:rsidDel="00000000" w:rsidR="00000000" w:rsidRPr="00000000">
        <w:rPr>
          <w:rFonts w:ascii="Arial" w:cs="Arial" w:eastAsia="Arial" w:hAnsi="Arial"/>
          <w:sz w:val="26"/>
          <w:szCs w:val="26"/>
          <w:rtl w:val="0"/>
        </w:rPr>
        <w:t xml:space="preserve">CANCÚN, QUINTANA ROO.</w:t>
      </w:r>
    </w:p>
    <w:p w:rsidR="00000000" w:rsidDel="00000000" w:rsidP="00000000" w:rsidRDefault="00000000" w:rsidRPr="00000000" w14:paraId="0000002C">
      <w:pPr>
        <w:spacing w:after="0" w:line="360" w:lineRule="auto"/>
        <w:jc w:val="cente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2D">
      <w:pPr>
        <w:spacing w:after="0" w:line="360" w:lineRule="auto"/>
        <w:jc w:val="center"/>
        <w:rPr>
          <w:rFonts w:ascii="Arial" w:cs="Arial" w:eastAsia="Arial" w:hAnsi="Arial"/>
          <w:sz w:val="26"/>
          <w:szCs w:val="26"/>
        </w:rPr>
      </w:pPr>
      <w:r w:rsidDel="00000000" w:rsidR="00000000" w:rsidRPr="00000000">
        <w:rPr>
          <w:rFonts w:ascii="Arial" w:cs="Arial" w:eastAsia="Arial" w:hAnsi="Arial"/>
          <w:sz w:val="26"/>
          <w:szCs w:val="26"/>
          <w:rtl w:val="0"/>
        </w:rPr>
        <w:t xml:space="preserve">Licenciado Luis Alberto Dorantes Lopez, </w:t>
      </w:r>
    </w:p>
    <w:p w:rsidR="00000000" w:rsidDel="00000000" w:rsidP="00000000" w:rsidRDefault="00000000" w:rsidRPr="00000000" w14:paraId="0000002E">
      <w:pPr>
        <w:spacing w:after="0" w:line="360" w:lineRule="auto"/>
        <w:jc w:val="center"/>
        <w:rPr>
          <w:rFonts w:ascii="Arial" w:cs="Arial" w:eastAsia="Arial" w:hAnsi="Arial"/>
          <w:sz w:val="26"/>
          <w:szCs w:val="26"/>
        </w:rPr>
      </w:pPr>
      <w:r w:rsidDel="00000000" w:rsidR="00000000" w:rsidRPr="00000000">
        <w:rPr>
          <w:rFonts w:ascii="Arial" w:cs="Arial" w:eastAsia="Arial" w:hAnsi="Arial"/>
          <w:sz w:val="26"/>
          <w:szCs w:val="26"/>
          <w:rtl w:val="0"/>
        </w:rPr>
        <w:t xml:space="preserve">en mi carácter de Fiscal del Ministerio Público del Fuero Común adscrito a la Fiscalía Especializada en Combate a Delitos Patrimoniales</w:t>
      </w:r>
      <w:r w:rsidDel="00000000" w:rsidR="00000000" w:rsidRPr="00000000">
        <w:rPr>
          <w:rtl w:val="0"/>
        </w:rPr>
      </w:r>
    </w:p>
    <w:sectPr>
      <w:footerReference r:id="rId7" w:type="default"/>
      <w:pgSz w:h="18720" w:w="12240" w:orient="portrait"/>
      <w:pgMar w:bottom="1418" w:top="1418" w:left="1701"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Times New Roman" w:cs="Times New Roman" w:eastAsia="Times New Roman" w:hAnsi="Times New Roman"/>
        <w:color w:val="000000"/>
        <w:sz w:val="32"/>
        <w:szCs w:val="3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pPr>
    <w:rPr>
      <w:color w:val="2f5496"/>
      <w:sz w:val="26"/>
      <w:szCs w:val="26"/>
    </w:rPr>
  </w:style>
  <w:style w:type="paragraph" w:styleId="Heading3">
    <w:name w:val="heading 3"/>
    <w:basedOn w:val="Normal"/>
    <w:next w:val="Normal"/>
    <w:pPr>
      <w:keepNext w:val="1"/>
      <w:keepLines w:val="1"/>
      <w:spacing w:after="0" w:before="40" w:lineRule="auto"/>
    </w:pPr>
    <w:rPr>
      <w:color w:val="1f3863"/>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Textonotapie">
    <w:name w:val="footnote text"/>
    <w:aliases w:val="Car, Car,Footnote Text Char Char Char Char Char,Footnote Text Char Char Char Char,Footnote reference,FA Fu,Footnote Text Char Char Char,Footnote Text Cha,FA Fußnotentext,FA Fu?notentext,Footnote Text Char Char,FA Fuﬂnotentext,Ca,Car Car C"/>
    <w:basedOn w:val="Normal"/>
    <w:link w:val="TextonotapieCar"/>
    <w:uiPriority w:val="99"/>
    <w:unhideWhenUsed w:val="1"/>
    <w:qFormat w:val="1"/>
    <w:rsid w:val="00587247"/>
    <w:pPr>
      <w:spacing w:after="0" w:line="240" w:lineRule="auto"/>
    </w:pPr>
    <w:rPr>
      <w:sz w:val="20"/>
      <w:szCs w:val="20"/>
    </w:rPr>
  </w:style>
  <w:style w:type="character" w:styleId="TextonotapieCar" w:customStyle="1">
    <w:name w:val="Texto nota pie Car"/>
    <w:aliases w:val="Car Car, Car Car,Footnote Text Char Char Char Char Char Car,Footnote Text Char Char Char Char Car,Footnote reference Car,FA Fu Car,Footnote Text Char Char Char Car,Footnote Text Cha Car,FA Fußnotentext Car,FA Fu?notentext Car,Ca Car"/>
    <w:basedOn w:val="Fuentedeprrafopredeter"/>
    <w:link w:val="Textonotapie"/>
    <w:uiPriority w:val="99"/>
    <w:rsid w:val="00587247"/>
    <w:rPr>
      <w:sz w:val="20"/>
      <w:szCs w:val="20"/>
    </w:rPr>
  </w:style>
  <w:style w:type="character" w:styleId="Refdenotaalpie">
    <w:name w:val="footnote reference"/>
    <w:aliases w:val="Ref. de nota al pie 2,Footnotes refss,Texto de nota al pie,Appel note de bas de page,Footnote number,referencia nota al pie,BVI fnr,f,4_G,16 Point,Superscript 6 Point,Texto nota al pie,ftref,Stinking Styles10,Footnote Reference Char3"/>
    <w:basedOn w:val="Fuentedeprrafopredeter"/>
    <w:uiPriority w:val="99"/>
    <w:unhideWhenUsed w:val="1"/>
    <w:qFormat w:val="1"/>
    <w:rsid w:val="00587247"/>
    <w:rPr>
      <w:vertAlign w:val="superscript"/>
    </w:rPr>
  </w:style>
  <w:style w:type="paragraph" w:styleId="Prrafodelista">
    <w:name w:val="List Paragraph"/>
    <w:aliases w:val="Cita texto,Footnote,List Paragraph1"/>
    <w:basedOn w:val="Normal"/>
    <w:link w:val="PrrafodelistaCar"/>
    <w:uiPriority w:val="34"/>
    <w:qFormat w:val="1"/>
    <w:rsid w:val="00367EAD"/>
    <w:pPr>
      <w:ind w:left="720"/>
      <w:contextualSpacing w:val="1"/>
    </w:pPr>
  </w:style>
  <w:style w:type="character" w:styleId="Ttulo2Car" w:customStyle="1">
    <w:name w:val="Título 2 Car"/>
    <w:basedOn w:val="Fuentedeprrafopredeter"/>
    <w:uiPriority w:val="9"/>
    <w:rsid w:val="00304837"/>
    <w:rPr>
      <w:rFonts w:asciiTheme="majorHAnsi" w:cstheme="majorBidi" w:eastAsiaTheme="majorEastAsia" w:hAnsiTheme="majorHAnsi"/>
      <w:color w:val="2f5496" w:themeColor="accent1" w:themeShade="0000BF"/>
      <w:sz w:val="26"/>
      <w:szCs w:val="26"/>
    </w:rPr>
  </w:style>
  <w:style w:type="character" w:styleId="Ttulo3Car" w:customStyle="1">
    <w:name w:val="Título 3 Car"/>
    <w:basedOn w:val="Fuentedeprrafopredeter"/>
    <w:uiPriority w:val="9"/>
    <w:rsid w:val="00304837"/>
    <w:rPr>
      <w:rFonts w:asciiTheme="majorHAnsi" w:cstheme="majorBidi" w:eastAsiaTheme="majorEastAsia" w:hAnsiTheme="majorHAnsi"/>
      <w:color w:val="1f3763" w:themeColor="accent1" w:themeShade="00007F"/>
      <w:sz w:val="24"/>
      <w:szCs w:val="24"/>
    </w:rPr>
  </w:style>
  <w:style w:type="paragraph" w:styleId="Lista2">
    <w:name w:val="List 2"/>
    <w:basedOn w:val="Normal"/>
    <w:uiPriority w:val="99"/>
    <w:unhideWhenUsed w:val="1"/>
    <w:rsid w:val="00304837"/>
    <w:pPr>
      <w:ind w:left="566" w:hanging="283"/>
      <w:contextualSpacing w:val="1"/>
    </w:pPr>
  </w:style>
  <w:style w:type="paragraph" w:styleId="Textoindependiente">
    <w:name w:val="Body Text"/>
    <w:basedOn w:val="Normal"/>
    <w:link w:val="TextoindependienteCar"/>
    <w:uiPriority w:val="99"/>
    <w:unhideWhenUsed w:val="1"/>
    <w:rsid w:val="00304837"/>
    <w:pPr>
      <w:spacing w:after="120"/>
    </w:pPr>
  </w:style>
  <w:style w:type="character" w:styleId="TextoindependienteCar" w:customStyle="1">
    <w:name w:val="Texto independiente Car"/>
    <w:basedOn w:val="Fuentedeprrafopredeter"/>
    <w:link w:val="Textoindependiente"/>
    <w:uiPriority w:val="99"/>
    <w:rsid w:val="00304837"/>
  </w:style>
  <w:style w:type="paragraph" w:styleId="Textoindependienteprimerasangra">
    <w:name w:val="Body Text First Indent"/>
    <w:basedOn w:val="Textoindependiente"/>
    <w:link w:val="TextoindependienteprimerasangraCar"/>
    <w:uiPriority w:val="99"/>
    <w:unhideWhenUsed w:val="1"/>
    <w:rsid w:val="00304837"/>
    <w:pPr>
      <w:spacing w:after="160"/>
      <w:ind w:firstLine="360"/>
    </w:pPr>
  </w:style>
  <w:style w:type="character" w:styleId="TextoindependienteprimerasangraCar" w:customStyle="1">
    <w:name w:val="Texto independiente primera sangría Car"/>
    <w:basedOn w:val="TextoindependienteCar"/>
    <w:link w:val="Textoindependienteprimerasangra"/>
    <w:uiPriority w:val="99"/>
    <w:rsid w:val="00304837"/>
  </w:style>
  <w:style w:type="paragraph" w:styleId="Sangradetextonormal">
    <w:name w:val="Body Text Indent"/>
    <w:basedOn w:val="Normal"/>
    <w:link w:val="SangradetextonormalCar"/>
    <w:uiPriority w:val="99"/>
    <w:semiHidden w:val="1"/>
    <w:unhideWhenUsed w:val="1"/>
    <w:rsid w:val="00304837"/>
    <w:pPr>
      <w:spacing w:after="120"/>
      <w:ind w:left="283"/>
    </w:pPr>
  </w:style>
  <w:style w:type="character" w:styleId="SangradetextonormalCar" w:customStyle="1">
    <w:name w:val="Sangría de texto normal Car"/>
    <w:basedOn w:val="Fuentedeprrafopredeter"/>
    <w:link w:val="Sangradetextonormal"/>
    <w:uiPriority w:val="99"/>
    <w:semiHidden w:val="1"/>
    <w:rsid w:val="00304837"/>
  </w:style>
  <w:style w:type="paragraph" w:styleId="Textoindependienteprimerasangra2">
    <w:name w:val="Body Text First Indent 2"/>
    <w:basedOn w:val="Sangradetextonormal"/>
    <w:link w:val="Textoindependienteprimerasangra2Car"/>
    <w:uiPriority w:val="99"/>
    <w:unhideWhenUsed w:val="1"/>
    <w:rsid w:val="00304837"/>
    <w:pPr>
      <w:spacing w:after="16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304837"/>
  </w:style>
  <w:style w:type="paragraph" w:styleId="Encabezado">
    <w:name w:val="header"/>
    <w:basedOn w:val="Normal"/>
    <w:link w:val="EncabezadoCar"/>
    <w:uiPriority w:val="99"/>
    <w:unhideWhenUsed w:val="1"/>
    <w:rsid w:val="00AE7C57"/>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AE7C57"/>
  </w:style>
  <w:style w:type="paragraph" w:styleId="Piedepgina">
    <w:name w:val="footer"/>
    <w:basedOn w:val="Normal"/>
    <w:link w:val="PiedepginaCar"/>
    <w:uiPriority w:val="99"/>
    <w:unhideWhenUsed w:val="1"/>
    <w:rsid w:val="00AE7C57"/>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AE7C57"/>
  </w:style>
  <w:style w:type="character" w:styleId="EstiloCar" w:customStyle="1">
    <w:name w:val="Estilo Car"/>
    <w:basedOn w:val="Fuentedeprrafopredeter"/>
    <w:link w:val="Estilo"/>
    <w:locked w:val="1"/>
    <w:rsid w:val="0013114F"/>
    <w:rPr>
      <w:rFonts w:ascii="Arial" w:cs="Arial" w:hAnsi="Arial"/>
      <w:sz w:val="24"/>
    </w:rPr>
  </w:style>
  <w:style w:type="paragraph" w:styleId="Estilo" w:customStyle="1">
    <w:name w:val="Estilo"/>
    <w:basedOn w:val="Sinespaciado"/>
    <w:link w:val="EstiloCar"/>
    <w:qFormat w:val="1"/>
    <w:rsid w:val="0013114F"/>
    <w:pPr>
      <w:jc w:val="both"/>
    </w:pPr>
    <w:rPr>
      <w:rFonts w:ascii="Arial" w:cs="Arial" w:hAnsi="Arial"/>
      <w:sz w:val="24"/>
    </w:rPr>
  </w:style>
  <w:style w:type="paragraph" w:styleId="Sinespaciado">
    <w:name w:val="No Spacing"/>
    <w:uiPriority w:val="1"/>
    <w:qFormat w:val="1"/>
    <w:rsid w:val="0013114F"/>
    <w:pPr>
      <w:spacing w:after="0" w:line="240" w:lineRule="auto"/>
    </w:pPr>
  </w:style>
  <w:style w:type="paragraph" w:styleId="corte4fondo" w:customStyle="1">
    <w:name w:val="corte4 fondo"/>
    <w:basedOn w:val="Normal"/>
    <w:link w:val="corte4fondoCar1"/>
    <w:qFormat w:val="1"/>
    <w:rsid w:val="00DB08EF"/>
    <w:pPr>
      <w:spacing w:after="0" w:line="360" w:lineRule="auto"/>
      <w:ind w:firstLine="709"/>
      <w:jc w:val="both"/>
    </w:pPr>
    <w:rPr>
      <w:rFonts w:ascii="Arial" w:cs="Times New Roman" w:eastAsia="Times New Roman" w:hAnsi="Arial"/>
      <w:sz w:val="30"/>
      <w:szCs w:val="24"/>
      <w:lang w:val="es-ES_tradnl"/>
    </w:rPr>
  </w:style>
  <w:style w:type="character" w:styleId="corte4fondoCar1" w:customStyle="1">
    <w:name w:val="corte4 fondo Car1"/>
    <w:link w:val="corte4fondo"/>
    <w:rsid w:val="00DB08EF"/>
    <w:rPr>
      <w:rFonts w:ascii="Arial" w:cs="Times New Roman" w:eastAsia="Times New Roman" w:hAnsi="Arial"/>
      <w:sz w:val="30"/>
      <w:szCs w:val="24"/>
      <w:lang w:eastAsia="es-MX" w:val="es-ES_tradnl"/>
    </w:rPr>
  </w:style>
  <w:style w:type="character" w:styleId="Hipervnculo">
    <w:name w:val="Hyperlink"/>
    <w:basedOn w:val="Fuentedeprrafopredeter"/>
    <w:uiPriority w:val="99"/>
    <w:unhideWhenUsed w:val="1"/>
    <w:rsid w:val="002E3533"/>
    <w:rPr>
      <w:color w:val="0563c1" w:themeColor="hyperlink"/>
      <w:u w:val="single"/>
    </w:rPr>
  </w:style>
  <w:style w:type="character" w:styleId="PrrafodelistaCar" w:customStyle="1">
    <w:name w:val="Párrafo de lista Car"/>
    <w:aliases w:val="Cita texto Car,Footnote Car,List Paragraph1 Car"/>
    <w:link w:val="Prrafodelista"/>
    <w:uiPriority w:val="34"/>
    <w:locked w:val="1"/>
    <w:rsid w:val="002E3533"/>
  </w:style>
  <w:style w:type="character" w:styleId="Ninguno" w:customStyle="1">
    <w:name w:val="Ninguno"/>
    <w:rsid w:val="003839AF"/>
  </w:style>
  <w:style w:type="character" w:styleId="Mencinsinresolver">
    <w:name w:val="Unresolved Mention"/>
    <w:basedOn w:val="Fuentedeprrafopredeter"/>
    <w:uiPriority w:val="99"/>
    <w:semiHidden w:val="1"/>
    <w:unhideWhenUsed w:val="1"/>
    <w:rsid w:val="003839AF"/>
    <w:rPr>
      <w:color w:val="605e5c"/>
      <w:shd w:color="auto" w:fill="e1dfdd" w:val="clear"/>
    </w:rPr>
  </w:style>
  <w:style w:type="character" w:styleId="Hipervnculovisitado">
    <w:name w:val="FollowedHyperlink"/>
    <w:basedOn w:val="Fuentedeprrafopredeter"/>
    <w:uiPriority w:val="99"/>
    <w:semiHidden w:val="1"/>
    <w:unhideWhenUsed w:val="1"/>
    <w:rsid w:val="003839AF"/>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Mx+NPgp3Hm4enSR24ttjOFWRew==">CgMxLjA4AHIhMWlvQVNCSkNHUDMybEZldTdXQmZPR2paenlkWDdUWHhC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2025-11-26T21:23:00Z</dcterms:created>
  <dc:creator>Emmanuel Rosales</dc:creator>
</cp:coreProperties>
</file>