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454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AMPARO INDIRECTO 1053/2025</w:t>
      </w:r>
    </w:p>
    <w:p w:rsidR="00000000" w:rsidDel="00000000" w:rsidP="00000000" w:rsidRDefault="00000000" w:rsidRPr="00000000" w14:paraId="00000002">
      <w:pPr>
        <w:spacing w:after="0" w:line="360" w:lineRule="auto"/>
        <w:ind w:left="4540" w:firstLine="0"/>
        <w:jc w:val="both"/>
        <w:rPr>
          <w:rFonts w:ascii="Arial" w:cs="Arial" w:eastAsia="Arial" w:hAnsi="Arial"/>
          <w:b w:val="1"/>
          <w:bCs w:val="1"/>
        </w:rPr>
      </w:pPr>
      <w:r w:rsidDel="00000000" w:rsidR="00000000" w:rsidRPr="00000000">
        <w:rPr>
          <w:rFonts w:ascii="Arial" w:cs="Arial" w:eastAsia="Arial" w:hAnsi="Arial"/>
          <w:b w:val="1"/>
          <w:bCs w:val="1"/>
          <w:sz w:val="24"/>
          <w:szCs w:val="24"/>
          <w:rtl w:val="0"/>
        </w:rPr>
        <w:t xml:space="preserve">QUEJOSO: EDUARDO DE MARTIN ALBOR VILLANUEVA.</w:t>
      </w:r>
      <w:r w:rsidDel="00000000" w:rsidR="00000000" w:rsidRPr="00000000">
        <w:rPr>
          <w:rtl w:val="0"/>
        </w:rPr>
      </w:r>
    </w:p>
    <w:p w:rsidR="00000000" w:rsidDel="00000000" w:rsidP="00000000" w:rsidRDefault="00000000" w:rsidRPr="00000000" w14:paraId="00000003">
      <w:pPr>
        <w:spacing w:after="0" w:line="276" w:lineRule="auto"/>
        <w:ind w:left="454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after="0" w:line="360" w:lineRule="auto"/>
        <w:ind w:left="4536"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ASUNTO. </w:t>
      </w:r>
      <w:r w:rsidDel="00000000" w:rsidR="00000000" w:rsidRPr="00000000">
        <w:rPr>
          <w:rFonts w:ascii="Arial" w:cs="Arial" w:eastAsia="Arial" w:hAnsi="Arial"/>
          <w:sz w:val="24"/>
          <w:szCs w:val="24"/>
          <w:rtl w:val="0"/>
        </w:rPr>
        <w:t xml:space="preserve">Se avisa a este juzgado federal que el quejoso interpone recurso de revisión contra la resolución dictada en audiencia constitucional del 26 de febrero de 2026 mediante el cual se sobresee el presente juicio de amparo.</w:t>
      </w:r>
      <w:r w:rsidDel="00000000" w:rsidR="00000000" w:rsidRPr="00000000">
        <w:rPr>
          <w:rtl w:val="0"/>
        </w:rPr>
      </w:r>
    </w:p>
    <w:p w:rsidR="00000000" w:rsidDel="00000000" w:rsidP="00000000" w:rsidRDefault="00000000" w:rsidRPr="00000000" w14:paraId="00000005">
      <w:pPr>
        <w:spacing w:after="0" w:line="360" w:lineRule="auto"/>
        <w:ind w:right="2317"/>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06">
      <w:pPr>
        <w:spacing w:after="0" w:line="360" w:lineRule="auto"/>
        <w:ind w:right="2317"/>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JUZGADO NOVENO DE DISTRITO EN EL ESTADO DE QUINTANA ROO, CON RESIDENCIA EN CANCÚN.</w:t>
      </w:r>
    </w:p>
    <w:p w:rsidR="00000000" w:rsidDel="00000000" w:rsidP="00000000" w:rsidRDefault="00000000" w:rsidRPr="00000000" w14:paraId="00000007">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PRESENTE </w:t>
      </w:r>
    </w:p>
    <w:p w:rsidR="00000000" w:rsidDel="00000000" w:rsidP="00000000" w:rsidRDefault="00000000" w:rsidRPr="00000000" w14:paraId="00000008">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EDUARDO DE MARTIN ALBOR VILLANUEVA, </w:t>
      </w:r>
      <w:r w:rsidDel="00000000" w:rsidR="00000000" w:rsidRPr="00000000">
        <w:rPr>
          <w:rFonts w:ascii="Arial" w:cs="Arial" w:eastAsia="Arial" w:hAnsi="Arial"/>
          <w:sz w:val="24"/>
          <w:szCs w:val="24"/>
          <w:rtl w:val="0"/>
        </w:rPr>
        <w:t xml:space="preserve">con la personalidad que se tiene debidamente reconocida como tercero interesado en el asunto que se cita al rubro, con el debido respeto comparezco para exponer lo siguiente:</w:t>
      </w:r>
    </w:p>
    <w:p w:rsidR="00000000" w:rsidDel="00000000" w:rsidP="00000000" w:rsidRDefault="00000000" w:rsidRPr="00000000" w14:paraId="0000000A">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medio del presente escrito respetuosamente se avisa a este Juzgado Federal que, con esta fecha, se ha interpuesto </w:t>
      </w:r>
      <w:r w:rsidDel="00000000" w:rsidR="00000000" w:rsidRPr="00000000">
        <w:rPr>
          <w:rFonts w:ascii="Arial" w:cs="Arial" w:eastAsia="Arial" w:hAnsi="Arial"/>
          <w:b w:val="1"/>
          <w:bCs w:val="1"/>
          <w:sz w:val="24"/>
          <w:szCs w:val="24"/>
          <w:rtl w:val="0"/>
        </w:rPr>
        <w:t xml:space="preserve">RECURSO DE REVISIÓN </w:t>
      </w:r>
      <w:r w:rsidDel="00000000" w:rsidR="00000000" w:rsidRPr="00000000">
        <w:rPr>
          <w:rFonts w:ascii="Arial" w:cs="Arial" w:eastAsia="Arial" w:hAnsi="Arial"/>
          <w:sz w:val="24"/>
          <w:szCs w:val="24"/>
          <w:rtl w:val="0"/>
        </w:rPr>
        <w:t xml:space="preserve">en términos del artículo 81, fracción I, inciso e) de la Ley de Amparo contra la Sentencia de fecha 26</w:t>
      </w:r>
      <w:r w:rsidDel="00000000" w:rsidR="00000000" w:rsidRPr="00000000">
        <w:rPr>
          <w:rFonts w:ascii="Arial" w:cs="Arial" w:eastAsia="Arial" w:hAnsi="Arial"/>
          <w:sz w:val="24"/>
          <w:szCs w:val="24"/>
          <w:rtl w:val="0"/>
        </w:rPr>
        <w:t xml:space="preserve"> de febrero del año 2026,</w:t>
      </w:r>
      <w:r w:rsidDel="00000000" w:rsidR="00000000" w:rsidRPr="00000000">
        <w:rPr>
          <w:rFonts w:ascii="Arial" w:cs="Arial" w:eastAsia="Arial" w:hAnsi="Arial"/>
          <w:sz w:val="24"/>
          <w:szCs w:val="24"/>
          <w:rtl w:val="0"/>
        </w:rPr>
        <w:t xml:space="preserve"> del asunto citado al rubro en la cual SE SOBRESEE EL JUICIO EN LA AUDIENCIA CONSTITUCIONAL; consecuentemente, se solicita a esta autoridad jurisdiccional se sirva realizar lo siguiente:</w:t>
      </w:r>
    </w:p>
    <w:p w:rsidR="00000000" w:rsidDel="00000000" w:rsidP="00000000" w:rsidRDefault="00000000" w:rsidRPr="00000000" w14:paraId="0000000C">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Tener por interpuesta la presente revisión.</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Certificar la fecha de notificación de dicha resolución y la fecha de interposición del recurso.</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Con las copias que se acompañan de este escrito y el de expresión de agravios, correr traslado a las demás partes en el juicio, dando cumplimiento a lo dispuesto por el párrafo tercero del artículo 88 de la Ley de Amparo.</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Remitir los autos del presente recurso de revisión interpuesto en el incidente de suspensión en el plazo máximo que para estos casos se encuentra establecido en el artículo 90 de la Ley de Amparo.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expuesto y fundado, a Usted Señor Juez de Distrito en el Estado de Quintana Roo, de la manera más atenta se le solicita:</w:t>
      </w:r>
    </w:p>
    <w:p w:rsidR="00000000" w:rsidDel="00000000" w:rsidP="00000000" w:rsidRDefault="00000000" w:rsidRPr="00000000" w14:paraId="00000013">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PRIMERO. </w:t>
      </w:r>
      <w:r w:rsidDel="00000000" w:rsidR="00000000" w:rsidRPr="00000000">
        <w:rPr>
          <w:rFonts w:ascii="Arial" w:cs="Arial" w:eastAsia="Arial" w:hAnsi="Arial"/>
          <w:sz w:val="24"/>
          <w:szCs w:val="24"/>
          <w:rtl w:val="0"/>
        </w:rPr>
        <w:t xml:space="preserve">Tener por presentada a la parte quejosa en los términos del presente escrito interponiendo la revisión contra la Sentencia que se indica.</w:t>
      </w:r>
    </w:p>
    <w:p w:rsidR="00000000" w:rsidDel="00000000" w:rsidP="00000000" w:rsidRDefault="00000000" w:rsidRPr="00000000" w14:paraId="00000015">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SEGUNDO</w:t>
      </w:r>
      <w:r w:rsidDel="00000000" w:rsidR="00000000" w:rsidRPr="00000000">
        <w:rPr>
          <w:rFonts w:ascii="Arial" w:cs="Arial" w:eastAsia="Arial" w:hAnsi="Arial"/>
          <w:sz w:val="24"/>
          <w:szCs w:val="24"/>
          <w:rtl w:val="0"/>
        </w:rPr>
        <w:t xml:space="preserve">. Realizar la certificación solicitada y distribución de las copias de traslado entre las partes, procediendo a la remisión del asunto dentro de los plazos y términos establecidos en el artículo 90 de la ley de amparo.</w:t>
      </w:r>
    </w:p>
    <w:p w:rsidR="00000000" w:rsidDel="00000000" w:rsidP="00000000" w:rsidRDefault="00000000" w:rsidRPr="00000000" w14:paraId="00000017">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TERCERO. </w:t>
      </w:r>
      <w:r w:rsidDel="00000000" w:rsidR="00000000" w:rsidRPr="00000000">
        <w:rPr>
          <w:rFonts w:ascii="Arial" w:cs="Arial" w:eastAsia="Arial" w:hAnsi="Arial"/>
          <w:sz w:val="24"/>
          <w:szCs w:val="24"/>
          <w:rtl w:val="0"/>
        </w:rPr>
        <w:t xml:space="preserve">En su oportunidad, remitir los autos al Tribunal colegiado de circuito que por turno corresponda.</w:t>
      </w:r>
    </w:p>
    <w:p w:rsidR="00000000" w:rsidDel="00000000" w:rsidP="00000000" w:rsidRDefault="00000000" w:rsidRPr="00000000" w14:paraId="00000019">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LA PARTE QUEJOSA PROTESTA LO NECESARIO.</w:t>
      </w:r>
    </w:p>
    <w:p w:rsidR="00000000" w:rsidDel="00000000" w:rsidP="00000000" w:rsidRDefault="00000000" w:rsidRPr="00000000" w14:paraId="0000001B">
      <w:pPr>
        <w:spacing w:after="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D">
      <w:pPr>
        <w:spacing w:after="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E">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______________________________________</w:t>
      </w:r>
    </w:p>
    <w:p w:rsidR="00000000" w:rsidDel="00000000" w:rsidP="00000000" w:rsidRDefault="00000000" w:rsidRPr="00000000" w14:paraId="0000001F">
      <w:pPr>
        <w:spacing w:after="0" w:line="36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EDUARDO DE MARTIN ALBOR VILLANUEVA</w:t>
      </w:r>
      <w:r w:rsidDel="00000000" w:rsidR="00000000" w:rsidRPr="00000000">
        <w:rPr>
          <w:rtl w:val="0"/>
        </w:rPr>
      </w:r>
    </w:p>
    <w:p w:rsidR="00000000" w:rsidDel="00000000" w:rsidP="00000000" w:rsidRDefault="00000000" w:rsidRPr="00000000" w14:paraId="00000020">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17 DE MARZO DEL 2026, CANCÚN, QUINTANA ROO. </w:t>
      </w:r>
      <w:r w:rsidDel="00000000" w:rsidR="00000000" w:rsidRPr="00000000">
        <w:rPr>
          <w:rtl w:val="0"/>
        </w:rPr>
      </w:r>
    </w:p>
    <w:p w:rsidR="00000000" w:rsidDel="00000000" w:rsidP="00000000" w:rsidRDefault="00000000" w:rsidRPr="00000000" w14:paraId="00000021">
      <w:pPr>
        <w:spacing w:after="0"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2">
      <w:pPr>
        <w:spacing w:after="0" w:line="360" w:lineRule="auto"/>
        <w:jc w:val="center"/>
        <w:rPr>
          <w:rFonts w:ascii="Times New Roman" w:cs="Times New Roman" w:eastAsia="Times New Roman" w:hAnsi="Times New Roman"/>
          <w:b w:val="1"/>
          <w:bCs w:val="1"/>
          <w:sz w:val="26"/>
          <w:szCs w:val="26"/>
        </w:rPr>
        <w:sectPr>
          <w:footerReference r:id="rId7" w:type="default"/>
          <w:pgSz w:h="18720" w:w="12240" w:orient="portrait"/>
          <w:pgMar w:bottom="1418" w:top="1418" w:left="1701" w:right="1418" w:header="709" w:footer="709"/>
          <w:pgNumType w:start="1"/>
        </w:sectPr>
      </w:pPr>
      <w:r w:rsidDel="00000000" w:rsidR="00000000" w:rsidRPr="00000000">
        <w:rPr>
          <w:rtl w:val="0"/>
        </w:rPr>
      </w:r>
    </w:p>
    <w:p w:rsidR="00000000" w:rsidDel="00000000" w:rsidP="00000000" w:rsidRDefault="00000000" w:rsidRPr="00000000" w14:paraId="00000023">
      <w:pPr>
        <w:spacing w:after="0" w:line="360" w:lineRule="auto"/>
        <w:ind w:left="3981"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RECURSO DE REVISIÓN</w:t>
      </w:r>
    </w:p>
    <w:p w:rsidR="00000000" w:rsidDel="00000000" w:rsidP="00000000" w:rsidRDefault="00000000" w:rsidRPr="00000000" w14:paraId="00000024">
      <w:pPr>
        <w:spacing w:after="0" w:line="360" w:lineRule="auto"/>
        <w:ind w:left="3981"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5">
      <w:pPr>
        <w:spacing w:after="0" w:line="360" w:lineRule="auto"/>
        <w:ind w:left="3981"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EDUARDO DE MARTIN ALBOR VILLANUEVA</w:t>
      </w:r>
    </w:p>
    <w:p w:rsidR="00000000" w:rsidDel="00000000" w:rsidP="00000000" w:rsidRDefault="00000000" w:rsidRPr="00000000" w14:paraId="00000026">
      <w:pPr>
        <w:spacing w:after="0" w:line="360" w:lineRule="auto"/>
        <w:ind w:left="3261"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7">
      <w:pPr>
        <w:spacing w:after="0" w:line="360" w:lineRule="auto"/>
        <w:ind w:left="3981"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INTERPUESTO CONTRA DE LA SENTENCIA DE FECHA 26 DE FEBRERO DE 2026 EN LOS AUTOS DEL AMPARO INDIRECTO 1053/2025 POR EL JUZGADO NOVENO DE DISTRITO EN EL ESTADO DE QUINTANA ROO CON RESIDENCIA EN CANCÚN.</w:t>
      </w:r>
    </w:p>
    <w:p w:rsidR="00000000" w:rsidDel="00000000" w:rsidP="00000000" w:rsidRDefault="00000000" w:rsidRPr="00000000" w14:paraId="00000028">
      <w:pPr>
        <w:spacing w:after="0" w:line="360" w:lineRule="auto"/>
        <w:ind w:left="3981"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spacing w:after="0" w:line="360" w:lineRule="auto"/>
        <w:ind w:right="34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line="360" w:lineRule="auto"/>
        <w:ind w:right="2317"/>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SEÑORES MAGISTRADOS INTEGRANTES DEL TRIBUNAL COLEGIADO DEL VIGÉSIMO SÉPTIMO CIRCUITO, CON RESIDENCIA EN CANCÚN, QUINTANA ROO, EN TURNO.</w:t>
      </w:r>
    </w:p>
    <w:p w:rsidR="00000000" w:rsidDel="00000000" w:rsidP="00000000" w:rsidRDefault="00000000" w:rsidRPr="00000000" w14:paraId="0000002B">
      <w:pPr>
        <w:spacing w:after="0" w:line="360" w:lineRule="auto"/>
        <w:ind w:right="2317"/>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C">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PRESENTE </w:t>
      </w:r>
    </w:p>
    <w:p w:rsidR="00000000" w:rsidDel="00000000" w:rsidP="00000000" w:rsidRDefault="00000000" w:rsidRPr="00000000" w14:paraId="0000002D">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E">
      <w:pPr>
        <w:spacing w:after="0" w:line="360" w:lineRule="auto"/>
        <w:jc w:val="both"/>
        <w:rPr>
          <w:rFonts w:ascii="Arial" w:cs="Arial" w:eastAsia="Arial" w:hAnsi="Arial"/>
          <w:sz w:val="24"/>
          <w:szCs w:val="24"/>
        </w:rPr>
      </w:pPr>
      <w:bookmarkStart w:colFirst="0" w:colLast="0" w:name="_heading=h.ymag8gnvaz2r" w:id="0"/>
      <w:bookmarkEnd w:id="0"/>
      <w:r w:rsidDel="00000000" w:rsidR="00000000" w:rsidRPr="00000000">
        <w:rPr>
          <w:rFonts w:ascii="Arial" w:cs="Arial" w:eastAsia="Arial" w:hAnsi="Arial"/>
          <w:b w:val="1"/>
          <w:bCs w:val="1"/>
          <w:sz w:val="24"/>
          <w:szCs w:val="24"/>
          <w:rtl w:val="0"/>
        </w:rPr>
        <w:t xml:space="preserve">EDUARDO DE MARTIN ALBOR VILLANUEVA; </w:t>
      </w:r>
      <w:r w:rsidDel="00000000" w:rsidR="00000000" w:rsidRPr="00000000">
        <w:rPr>
          <w:rFonts w:ascii="Arial" w:cs="Arial" w:eastAsia="Arial" w:hAnsi="Arial"/>
          <w:sz w:val="24"/>
          <w:szCs w:val="24"/>
          <w:rtl w:val="0"/>
        </w:rPr>
        <w:t xml:space="preserve">Quejoso en el asunto del cual se desprende este recurso, solicitando atentamente que ante este tribunal colegiado se tengan por reconocidas las autorizaciones en términos amplios y restringidos que fueron reconocidas en este mismo juicio por el juzgado de Distrito que dictó la Sentencia recurrida y se tenga como señalando como domicilio procesal para oír y recibir notificaciones, las oficinas administrativas del Delfinario Dolphin Discovery Cancún, localizado en la Zona Hotelera, en el Boulevard Kukulkán a la altura del KM 25, en esta ciudad de Cancún, Quintana Roo. Así mismo, autorizo a los licenciados en derecho en términos del artículo 12 de la Ley de Amparo autorizo en términos amplios a los licenciados en derecho Álvaro Adrián Pegueros Castillo con número de cédula profesional 14486345, Doctor en Derecho Fidel Gabriel Villanueva Rivero con número de cédula profesional 9380620, licenciada en derecho Amairanny Amissadai Villalta Peralta con número de cédula profesional 14323013,  a la Licenciada María Estefany Arceo Mis con cédula profesional 12732758 y a la Licenciada Eleonor Ortega Valles con cédula profesional 2465840 para recibir notificaciones personales e imponerse en autos y tener acceso al expediente, y debido a que actualmente el uso de la Firma Electrónica como medio electrónico permite ingresar al Sistema del Poder Judicial de la Federación como opción para promover juicios de amparo, consultar los expedientes electrónicos relativos a los juicios y los diversos asuntos relacionados con éstos, autorizo los nombres de usuario, el cual señaló como:</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“alvaro_pegueros”</w:t>
      </w:r>
      <w:r w:rsidDel="00000000" w:rsidR="00000000" w:rsidRPr="00000000">
        <w:rPr>
          <w:rFonts w:ascii="Arial" w:cs="Arial" w:eastAsia="Arial" w:hAnsi="Arial"/>
          <w:sz w:val="24"/>
          <w:szCs w:val="24"/>
          <w:rtl w:val="0"/>
        </w:rPr>
        <w:t xml:space="preserve"> con correo electrónico registrado como “alvaro_ </w:t>
      </w:r>
      <w:hyperlink r:id="rId8">
        <w:r w:rsidDel="00000000" w:rsidR="00000000" w:rsidRPr="00000000">
          <w:rPr>
            <w:rFonts w:ascii="Arial" w:cs="Arial" w:eastAsia="Arial" w:hAnsi="Arial"/>
            <w:b w:val="1"/>
            <w:bCs w:val="1"/>
            <w:color w:val="1155cc"/>
            <w:sz w:val="24"/>
            <w:szCs w:val="24"/>
            <w:u w:val="single"/>
            <w:rtl w:val="0"/>
          </w:rPr>
          <w:t xml:space="preserve">pegueros@hotmail.com</w:t>
        </w:r>
      </w:hyperlink>
      <w:r w:rsidDel="00000000" w:rsidR="00000000" w:rsidRPr="00000000">
        <w:rPr>
          <w:rFonts w:ascii="Arial" w:cs="Arial" w:eastAsia="Arial" w:hAnsi="Arial"/>
          <w:sz w:val="24"/>
          <w:szCs w:val="24"/>
          <w:rtl w:val="0"/>
        </w:rPr>
        <w:t xml:space="preserve">”, y </w:t>
      </w:r>
      <w:r w:rsidDel="00000000" w:rsidR="00000000" w:rsidRPr="00000000">
        <w:rPr>
          <w:rFonts w:ascii="Arial" w:cs="Arial" w:eastAsia="Arial" w:hAnsi="Arial"/>
          <w:b w:val="1"/>
          <w:bCs w:val="1"/>
          <w:sz w:val="24"/>
          <w:szCs w:val="24"/>
          <w:rtl w:val="0"/>
        </w:rPr>
        <w:t xml:space="preserve">“fidelvillanueva”</w:t>
      </w:r>
      <w:r w:rsidDel="00000000" w:rsidR="00000000" w:rsidRPr="00000000">
        <w:rPr>
          <w:rFonts w:ascii="Arial" w:cs="Arial" w:eastAsia="Arial" w:hAnsi="Arial"/>
          <w:sz w:val="24"/>
          <w:szCs w:val="24"/>
          <w:rtl w:val="0"/>
        </w:rPr>
        <w:t xml:space="preserve"> con correo electrónico registrado como “</w:t>
      </w:r>
      <w:hyperlink r:id="rId9">
        <w:r w:rsidDel="00000000" w:rsidR="00000000" w:rsidRPr="00000000">
          <w:rPr>
            <w:rFonts w:ascii="Arial" w:cs="Arial" w:eastAsia="Arial" w:hAnsi="Arial"/>
            <w:b w:val="1"/>
            <w:bCs w:val="1"/>
            <w:color w:val="1155cc"/>
            <w:sz w:val="24"/>
            <w:szCs w:val="24"/>
            <w:u w:val="single"/>
            <w:rtl w:val="0"/>
          </w:rPr>
          <w:t xml:space="preserve">notificaciones@cejum.com</w:t>
        </w:r>
      </w:hyperlink>
      <w:r w:rsidDel="00000000" w:rsidR="00000000" w:rsidRPr="00000000">
        <w:rPr>
          <w:rFonts w:ascii="Arial" w:cs="Arial" w:eastAsia="Arial" w:hAnsi="Arial"/>
          <w:sz w:val="24"/>
          <w:szCs w:val="24"/>
          <w:rtl w:val="0"/>
        </w:rPr>
        <w:t xml:space="preserve">”, para que el expediente que se forme sea vinculado a este usuario; ante Ustedes, con el debido respeto, comparezco para exponer lo siguiente:</w:t>
      </w:r>
    </w:p>
    <w:p w:rsidR="00000000" w:rsidDel="00000000" w:rsidP="00000000" w:rsidRDefault="00000000" w:rsidRPr="00000000" w14:paraId="0000002F">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medio del presente escrito y con fundamento en los artículos 103, fracción I y 107, párrafo primero, y fracción X de la Constitución Política de los Estados Unidos Mexicanos;  81, fracción I, inciso a), 84, 86, 88, 89 y 90 de la Ley de Amparo, se interpone </w:t>
      </w:r>
      <w:r w:rsidDel="00000000" w:rsidR="00000000" w:rsidRPr="00000000">
        <w:rPr>
          <w:rFonts w:ascii="Arial" w:cs="Arial" w:eastAsia="Arial" w:hAnsi="Arial"/>
          <w:b w:val="1"/>
          <w:bCs w:val="1"/>
          <w:sz w:val="24"/>
          <w:szCs w:val="24"/>
          <w:rtl w:val="0"/>
        </w:rPr>
        <w:t xml:space="preserve">RECURSO DE REVISIÓN contra de la Sentencia dictada en audiencia constitucional de fecha de 26 de febrero en los autos del amparo indirecto 1053/2025 por el Juez Noveno de Distrito en el Estado de Quintana Roo, con residencia en Cancún, resolución en la cual la se sobresee el juicio de amparo.</w:t>
      </w:r>
      <w:r w:rsidDel="00000000" w:rsidR="00000000" w:rsidRPr="00000000">
        <w:rPr>
          <w:rtl w:val="0"/>
        </w:rPr>
      </w:r>
    </w:p>
    <w:p w:rsidR="00000000" w:rsidDel="00000000" w:rsidP="00000000" w:rsidRDefault="00000000" w:rsidRPr="00000000" w14:paraId="00000031">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Previo a expresar los agravios, se justifica la oportunidad en la interposición del recurso.</w:t>
      </w:r>
    </w:p>
    <w:p w:rsidR="00000000" w:rsidDel="00000000" w:rsidP="00000000" w:rsidRDefault="00000000" w:rsidRPr="00000000" w14:paraId="00000033">
      <w:pPr>
        <w:pBdr>
          <w:bottom w:color="000000" w:space="1" w:sz="24" w:val="single"/>
        </w:pBd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4">
      <w:pPr>
        <w:pBdr>
          <w:bottom w:color="000000" w:space="1" w:sz="24" w:val="single"/>
        </w:pBdr>
        <w:spacing w:after="0" w:line="36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OPORTUNIDAD. </w:t>
      </w:r>
      <w:r w:rsidDel="00000000" w:rsidR="00000000" w:rsidRPr="00000000">
        <w:rPr>
          <w:rtl w:val="0"/>
        </w:rPr>
      </w:r>
    </w:p>
    <w:p w:rsidR="00000000" w:rsidDel="00000000" w:rsidP="00000000" w:rsidRDefault="00000000" w:rsidRPr="00000000" w14:paraId="00000035">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Sentencia recurrido fue notificado al quejoso, mediante </w:t>
      </w:r>
      <w:r w:rsidDel="00000000" w:rsidR="00000000" w:rsidRPr="00000000">
        <w:rPr>
          <w:rFonts w:ascii="Arial" w:cs="Arial" w:eastAsia="Arial" w:hAnsi="Arial"/>
          <w:b w:val="1"/>
          <w:bCs w:val="1"/>
          <w:sz w:val="24"/>
          <w:szCs w:val="24"/>
          <w:rtl w:val="0"/>
        </w:rPr>
        <w:t xml:space="preserve">lista de estrados el </w:t>
      </w:r>
      <w:r w:rsidDel="00000000" w:rsidR="00000000" w:rsidRPr="00000000">
        <w:rPr>
          <w:rFonts w:ascii="Arial" w:cs="Arial" w:eastAsia="Arial" w:hAnsi="Arial"/>
          <w:b w:val="1"/>
          <w:bCs w:val="1"/>
          <w:sz w:val="24"/>
          <w:szCs w:val="24"/>
          <w:rtl w:val="0"/>
        </w:rPr>
        <w:t xml:space="preserve">27 de febrero de 2026</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razones por las cuales, si en amparo las notificaciones surten sus efectos al día hábil siguiente al de la notificación o publicación por lista, de conformidad con la fracción II del artículo 31 de la Ley de Amparo</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Considerando lo anterior, el plazo de 10 días hábiles para interponer el recurso de revisión a que se refiere el artículo 86, párrafo primero, de la Ley de Amparo, en el caso particular, comenzarán a contarse a partir del día siguiente en que el quejoso sea notificado. Por lo que los términos se computan de la siguiente manera:</w:t>
      </w:r>
    </w:p>
    <w:tbl>
      <w:tblPr>
        <w:tblStyle w:val="Table1"/>
        <w:tblW w:w="7360.0" w:type="dxa"/>
        <w:jc w:val="left"/>
        <w:tblInd w:w="140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214"/>
        <w:gridCol w:w="4146"/>
        <w:tblGridChange w:id="0">
          <w:tblGrid>
            <w:gridCol w:w="3214"/>
            <w:gridCol w:w="4146"/>
          </w:tblGrid>
        </w:tblGridChange>
      </w:tblGrid>
      <w:tr>
        <w:trPr>
          <w:cantSplit w:val="0"/>
          <w:trHeight w:val="443" w:hRule="atLeast"/>
          <w:tblHeader w:val="0"/>
        </w:trPr>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7">
            <w:pPr>
              <w:widowControl w:val="0"/>
              <w:spacing w:after="0" w:line="360" w:lineRule="auto"/>
              <w:jc w:val="center"/>
              <w:rPr>
                <w:sz w:val="24"/>
                <w:szCs w:val="24"/>
              </w:rPr>
            </w:pPr>
            <w:r w:rsidDel="00000000" w:rsidR="00000000" w:rsidRPr="00000000">
              <w:rPr>
                <w:rFonts w:ascii="Arial" w:cs="Arial" w:eastAsia="Arial" w:hAnsi="Arial"/>
                <w:b w:val="1"/>
                <w:bCs w:val="1"/>
                <w:sz w:val="20"/>
                <w:szCs w:val="20"/>
                <w:rtl w:val="0"/>
              </w:rPr>
              <w:t xml:space="preserve">PLAZOS</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9">
            <w:pPr>
              <w:widowControl w:val="0"/>
              <w:spacing w:after="0" w:line="360" w:lineRule="auto"/>
              <w:jc w:val="both"/>
              <w:rPr>
                <w:sz w:val="24"/>
                <w:szCs w:val="24"/>
              </w:rPr>
            </w:pPr>
            <w:r w:rsidDel="00000000" w:rsidR="00000000" w:rsidRPr="00000000">
              <w:rPr>
                <w:rFonts w:ascii="Arial" w:cs="Arial" w:eastAsia="Arial" w:hAnsi="Arial"/>
                <w:b w:val="1"/>
                <w:bCs w:val="1"/>
                <w:sz w:val="20"/>
                <w:szCs w:val="20"/>
                <w:rtl w:val="0"/>
              </w:rPr>
              <w:t xml:space="preserve">27 de febrero de 2026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A">
            <w:pPr>
              <w:widowControl w:val="0"/>
              <w:spacing w:after="0" w:line="360" w:lineRule="auto"/>
              <w:jc w:val="both"/>
              <w:rPr>
                <w:sz w:val="24"/>
                <w:szCs w:val="24"/>
              </w:rPr>
            </w:pPr>
            <w:r w:rsidDel="00000000" w:rsidR="00000000" w:rsidRPr="00000000">
              <w:rPr>
                <w:rFonts w:ascii="Arial" w:cs="Arial" w:eastAsia="Arial" w:hAnsi="Arial"/>
                <w:sz w:val="20"/>
                <w:szCs w:val="20"/>
                <w:rtl w:val="0"/>
              </w:rPr>
              <w:t xml:space="preserve">Fecha en la que me notificaron el acuerdo el cual constituye el acto reclamado.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B">
            <w:pPr>
              <w:widowControl w:val="0"/>
              <w:spacing w:after="0" w:line="36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C">
            <w:pPr>
              <w:widowControl w:val="0"/>
              <w:spacing w:after="0" w:line="360" w:lineRule="auto"/>
              <w:jc w:val="both"/>
              <w:rPr>
                <w:sz w:val="24"/>
                <w:szCs w:val="24"/>
              </w:rPr>
            </w:pPr>
            <w:r w:rsidDel="00000000" w:rsidR="00000000" w:rsidRPr="00000000">
              <w:rPr>
                <w:rFonts w:ascii="Arial" w:cs="Arial" w:eastAsia="Arial" w:hAnsi="Arial"/>
                <w:b w:val="1"/>
                <w:bCs w:val="1"/>
                <w:sz w:val="20"/>
                <w:szCs w:val="20"/>
                <w:rtl w:val="0"/>
              </w:rPr>
              <w:t xml:space="preserve">2 de marzo de 2026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D">
            <w:pPr>
              <w:widowControl w:val="0"/>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widowControl w:val="0"/>
              <w:spacing w:after="0" w:line="360" w:lineRule="auto"/>
              <w:jc w:val="both"/>
              <w:rPr>
                <w:sz w:val="24"/>
                <w:szCs w:val="24"/>
              </w:rPr>
            </w:pPr>
            <w:r w:rsidDel="00000000" w:rsidR="00000000" w:rsidRPr="00000000">
              <w:rPr>
                <w:rFonts w:ascii="Arial" w:cs="Arial" w:eastAsia="Arial" w:hAnsi="Arial"/>
                <w:sz w:val="20"/>
                <w:szCs w:val="20"/>
                <w:rtl w:val="0"/>
              </w:rPr>
              <w:t xml:space="preserve">Día que surte efectos la notificación.</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F">
            <w:pPr>
              <w:widowControl w:val="0"/>
              <w:spacing w:after="0" w:line="36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 de marzo de 2026</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0">
            <w:pPr>
              <w:widowControl w:val="0"/>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Fecha que comienza a correr el término.</w:t>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1">
            <w:pPr>
              <w:widowControl w:val="0"/>
              <w:spacing w:after="0" w:line="360" w:lineRule="auto"/>
              <w:jc w:val="both"/>
              <w:rPr>
                <w:sz w:val="24"/>
                <w:szCs w:val="24"/>
              </w:rPr>
            </w:pPr>
            <w:r w:rsidDel="00000000" w:rsidR="00000000" w:rsidRPr="00000000">
              <w:rPr>
                <w:rFonts w:ascii="Arial" w:cs="Arial" w:eastAsia="Arial" w:hAnsi="Arial"/>
                <w:b w:val="1"/>
                <w:bCs w:val="1"/>
                <w:sz w:val="20"/>
                <w:szCs w:val="20"/>
                <w:rtl w:val="0"/>
              </w:rPr>
              <w:t xml:space="preserve">17 de marzo de 2026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2">
            <w:pPr>
              <w:widowControl w:val="0"/>
              <w:spacing w:after="0" w:line="360" w:lineRule="auto"/>
              <w:jc w:val="both"/>
              <w:rPr>
                <w:sz w:val="24"/>
                <w:szCs w:val="24"/>
              </w:rPr>
            </w:pPr>
            <w:r w:rsidDel="00000000" w:rsidR="00000000" w:rsidRPr="00000000">
              <w:rPr>
                <w:rFonts w:ascii="Arial" w:cs="Arial" w:eastAsia="Arial" w:hAnsi="Arial"/>
                <w:sz w:val="20"/>
                <w:szCs w:val="20"/>
                <w:rtl w:val="0"/>
              </w:rPr>
              <w:t xml:space="preserve">Fecha de presentación del recurso.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3">
            <w:pPr>
              <w:widowControl w:val="0"/>
              <w:spacing w:after="0" w:line="360" w:lineRule="auto"/>
              <w:jc w:val="both"/>
              <w:rPr>
                <w:sz w:val="24"/>
                <w:szCs w:val="24"/>
              </w:rPr>
            </w:pPr>
            <w:r w:rsidDel="00000000" w:rsidR="00000000" w:rsidRPr="00000000">
              <w:rPr>
                <w:rFonts w:ascii="Arial" w:cs="Arial" w:eastAsia="Arial" w:hAnsi="Arial"/>
                <w:b w:val="1"/>
                <w:bCs w:val="1"/>
                <w:sz w:val="20"/>
                <w:szCs w:val="20"/>
                <w:rtl w:val="0"/>
              </w:rPr>
              <w:t xml:space="preserve">17 de marzo de 2026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4">
            <w:pPr>
              <w:widowControl w:val="0"/>
              <w:spacing w:after="0" w:line="360" w:lineRule="auto"/>
              <w:jc w:val="both"/>
              <w:rPr>
                <w:sz w:val="24"/>
                <w:szCs w:val="24"/>
              </w:rPr>
            </w:pPr>
            <w:r w:rsidDel="00000000" w:rsidR="00000000" w:rsidRPr="00000000">
              <w:rPr>
                <w:rFonts w:ascii="Arial" w:cs="Arial" w:eastAsia="Arial" w:hAnsi="Arial"/>
                <w:sz w:val="20"/>
                <w:szCs w:val="20"/>
                <w:rtl w:val="0"/>
              </w:rPr>
              <w:t xml:space="preserve">Vence el término para presentar el recurso.</w:t>
            </w:r>
            <w:r w:rsidDel="00000000" w:rsidR="00000000" w:rsidRPr="00000000">
              <w:rPr>
                <w:rtl w:val="0"/>
              </w:rPr>
            </w:r>
          </w:p>
        </w:tc>
      </w:tr>
    </w:tbl>
    <w:p w:rsidR="00000000" w:rsidDel="00000000" w:rsidP="00000000" w:rsidRDefault="00000000" w:rsidRPr="00000000" w14:paraId="00000045">
      <w:pPr>
        <w:spacing w:after="0" w:line="36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46">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Toda vez que el presente recurso se interpone antes de la conclusión de la fecha de término, debe reconocerse su oportunidad.</w:t>
      </w:r>
    </w:p>
    <w:p w:rsidR="00000000" w:rsidDel="00000000" w:rsidP="00000000" w:rsidRDefault="00000000" w:rsidRPr="00000000" w14:paraId="00000047">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pBdr>
          <w:bottom w:color="000000" w:space="1" w:sz="24" w:val="single"/>
        </w:pBd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PROCEDENCIA. </w:t>
      </w:r>
    </w:p>
    <w:p w:rsidR="00000000" w:rsidDel="00000000" w:rsidP="00000000" w:rsidRDefault="00000000" w:rsidRPr="00000000" w14:paraId="00000049">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conformidad con lo dispuesto por el artículo 81, fracción I, inciso e) de la Ley de Amparo, tratándose el amparo indirecto ante juzgados de distrito, espero de curso de revisión contra la Sentencia dictada en audiencia constitucional.</w:t>
      </w:r>
    </w:p>
    <w:p w:rsidR="00000000" w:rsidDel="00000000" w:rsidP="00000000" w:rsidRDefault="00000000" w:rsidRPr="00000000" w14:paraId="0000004B">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pBdr>
          <w:bottom w:color="000000" w:space="1" w:sz="24" w:val="single"/>
        </w:pBdr>
        <w:spacing w:after="0" w:line="360" w:lineRule="auto"/>
        <w:jc w:val="center"/>
        <w:rPr>
          <w:rFonts w:ascii="Arial" w:cs="Arial" w:eastAsia="Arial" w:hAnsi="Arial"/>
          <w:b w:val="1"/>
          <w:bCs w:val="1"/>
          <w:sz w:val="24"/>
          <w:szCs w:val="24"/>
        </w:rPr>
      </w:pPr>
      <w:hyperlink r:id="rId10">
        <w:r w:rsidDel="00000000" w:rsidR="00000000" w:rsidRPr="00000000">
          <w:rPr>
            <w:rFonts w:ascii="Arial" w:cs="Arial" w:eastAsia="Arial" w:hAnsi="Arial"/>
            <w:b w:val="1"/>
            <w:bCs w:val="1"/>
            <w:sz w:val="24"/>
            <w:szCs w:val="24"/>
            <w:rtl w:val="0"/>
          </w:rPr>
          <w:t xml:space="preserve">AGRAVIO</w:t>
        </w:r>
      </w:hyperlink>
      <w:r w:rsidDel="00000000" w:rsidR="00000000" w:rsidRPr="00000000">
        <w:rPr>
          <w:rFonts w:ascii="Arial" w:cs="Arial" w:eastAsia="Arial" w:hAnsi="Arial"/>
          <w:b w:val="1"/>
          <w:bCs w:val="1"/>
          <w:sz w:val="24"/>
          <w:szCs w:val="24"/>
          <w:rtl w:val="0"/>
        </w:rPr>
        <w:t xml:space="preserve">S</w:t>
      </w:r>
    </w:p>
    <w:p w:rsidR="00000000" w:rsidDel="00000000" w:rsidP="00000000" w:rsidRDefault="00000000" w:rsidRPr="00000000" w14:paraId="0000004D">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E">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AGRAVIO GENERAL: EL SOBRESEIMIENTO DEL JUICIO DE AMPARO POR CONSIDERAR QUE EL CAMBIO DE SITUACIÓN JURÍDICA DEL QUEJOSO POR CONSIDERARSE QUE LAS VIOLACIONES DE SUS DERECHOS HUMANOS HAN SIDO IRREMEDIABLEMENTE CONSUMADAS.</w:t>
      </w:r>
    </w:p>
    <w:p w:rsidR="00000000" w:rsidDel="00000000" w:rsidP="00000000" w:rsidRDefault="00000000" w:rsidRPr="00000000" w14:paraId="0000004F">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0">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PRIMER AGRAVIO PARTICULAR: EL QUEJOSO AÚN TIENE DERECHO A QUE SE LE HAGAN VALER SUS DERECHOS.</w:t>
      </w:r>
    </w:p>
    <w:p w:rsidR="00000000" w:rsidDel="00000000" w:rsidP="00000000" w:rsidRDefault="00000000" w:rsidRPr="00000000" w14:paraId="00000051">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2">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autoridad recurrida argumentó lo siguiente en su resolución:</w:t>
      </w:r>
    </w:p>
    <w:p w:rsidR="00000000" w:rsidDel="00000000" w:rsidP="00000000" w:rsidRDefault="00000000" w:rsidRPr="00000000" w14:paraId="00000053">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4">
      <w:pPr>
        <w:spacing w:after="0" w:line="360" w:lineRule="auto"/>
        <w:ind w:left="1440" w:firstLine="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“En mérito de lo anterior, es inconcuso que ha cambiado la situación jurídica de la parte disconforme, por tanto, en caso de que hubieran existido las violaciones reclamadas con la orden de aprehensión impugnada, éstas deben considerarse irremediablemente consumadas, por la evidente razón de que en la actualidad no pueden ser analizadas, sin afectar la nueva situación jurídica que impera, toda vez que, la orden de aprehensión impugnada, actualmente quedó legalmente sustituida con el auto de vinculación a proceso y con la medida cautelar de prisión preventiva justificada que se le impuso al solicitante del amparo; en ese sentido, como se ha expuesto con anterioridad, resultaría jurídicamente imposible resolver acerca de la detención de que se duele, sin afectar la nueva situación jurídica que tiene la parte quejosa.”</w:t>
      </w:r>
    </w:p>
    <w:p w:rsidR="00000000" w:rsidDel="00000000" w:rsidP="00000000" w:rsidRDefault="00000000" w:rsidRPr="00000000" w14:paraId="00000055">
      <w:pPr>
        <w:spacing w:after="0" w:line="360" w:lineRule="auto"/>
        <w:ind w:left="1440" w:firstLine="0"/>
        <w:jc w:val="both"/>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56">
      <w:pPr>
        <w:keepNext w:val="0"/>
        <w:keepLines w:val="0"/>
        <w:spacing w:after="80" w:before="280" w:line="36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4"/>
          <w:szCs w:val="24"/>
          <w:rtl w:val="0"/>
        </w:rPr>
        <w:t xml:space="preserve">PRIMERA REFUTACIÓN:</w:t>
      </w:r>
      <w:r w:rsidDel="00000000" w:rsidR="00000000" w:rsidRPr="00000000">
        <w:rPr>
          <w:rFonts w:ascii="Arial" w:cs="Arial" w:eastAsia="Arial" w:hAnsi="Arial"/>
          <w:color w:val="000000"/>
          <w:sz w:val="24"/>
          <w:szCs w:val="24"/>
          <w:rtl w:val="0"/>
        </w:rPr>
        <w:t xml:space="preserve"> Es preciso señalar que existe una indebida aplicación de la figura de cambio de situación jurídica y sobreseimiento del juicio de amparo, toda vez que</w:t>
      </w:r>
      <w:r w:rsidDel="00000000" w:rsidR="00000000" w:rsidRPr="00000000">
        <w:rPr>
          <w:rFonts w:ascii="Arial" w:cs="Arial" w:eastAsia="Arial" w:hAnsi="Arial"/>
          <w:sz w:val="24"/>
          <w:szCs w:val="24"/>
          <w:rtl w:val="0"/>
        </w:rPr>
        <w:t xml:space="preserve"> la resolución recurrida causa agravio al quejoso en virtud de que el órgano de amparo aplicó de manera incorrecta la figura del cambio de situación jurídica para decretar el sobreseimiento, bajo el argumento de que la orden de aprehensión reclamada ya fue ejecutada y, por tanto, las violaciones a derechos humanos se consumaron de manera irreparable, d</w:t>
      </w:r>
      <w:r w:rsidDel="00000000" w:rsidR="00000000" w:rsidRPr="00000000">
        <w:rPr>
          <w:rFonts w:ascii="Arial" w:cs="Arial" w:eastAsia="Arial" w:hAnsi="Arial"/>
          <w:sz w:val="24"/>
          <w:szCs w:val="24"/>
          <w:rtl w:val="0"/>
        </w:rPr>
        <w:t xml:space="preserve">icha determinación es jurídicamente errónea, ya que la ejecución de la orden de aprehensión no extingue por sí misma la materia del juicio de amparo, ni vuelve imposible el análisis de constitucionalidad del acto reclamado, pues subsisten efectos jurídicos directos derivados de dicho acto que continúan afectando la esfera jurídica del quejoso.</w:t>
      </w:r>
    </w:p>
    <w:p w:rsidR="00000000" w:rsidDel="00000000" w:rsidP="00000000" w:rsidRDefault="00000000" w:rsidRPr="00000000" w14:paraId="00000057">
      <w:pPr>
        <w:keepNext w:val="0"/>
        <w:keepLines w:val="0"/>
        <w:spacing w:after="80" w:before="28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efecto, la orden de aprehensión constituye el acto fundante de la privación de la libertad personal, por lo que su estudio resulta indispensable aun después de su ejecución, toda vez que de declararse su inconstitucionalidad, ello impactó directamente en la validez de los actos subsecuentes, incluyendo la detención, la puesta a disposición, la imputación y de facto la vinculación a proceso, pues no debe pasar por alto que aún cuando formalmente la orden de aprehensión reclamada ya fue ejecutada, lo cierto es que sus efectos jurídicos no se han agotado, sino que se proyectan y subsisten de manera directa en la medida cautelar de prisión preventiva actualmente impuesta al quejoso, lo que impide considerar actualizado un auténtico cambio de situación jurídica para efectos de sobreseer el juicio de amparo. En efecto, la medida impuesta encuentra su causa originaria en la orden de aprehensión cuya constitucionalidad se cuestiona en el juicio de amparo que la autoridad estimó sobreseer, de modo que si ésta se emitió sin cumplir con los requisitos de legalidad y control judicial exigidos, por consiguiente contaminó el origen de la detención y los actos subsecuentes como lo fue la imposición de la medida cautelar, es decir la de la prisión preventiva justificada. Bajo esta lógica, la orden de aprehensión no constituye un acto consumado de manera irreparable, sino un acto de efectos continuados, cuyos vicios inciden en la subsistencia de la medida cautelar, por lo que su análisis de constitucionalidad sigue siendo no sólo posible, sino necesario para determinar si la restricción a la libertad personal del quejoso tiene un sustento válido. En consecuencia, aun frente al alegado cambio de situación jurídica, </w:t>
      </w:r>
      <w:r w:rsidDel="00000000" w:rsidR="00000000" w:rsidRPr="00000000">
        <w:rPr>
          <w:rFonts w:ascii="Arial" w:cs="Arial" w:eastAsia="Arial" w:hAnsi="Arial"/>
          <w:b w:val="1"/>
          <w:bCs w:val="1"/>
          <w:sz w:val="24"/>
          <w:szCs w:val="24"/>
          <w:rtl w:val="0"/>
        </w:rPr>
        <w:t xml:space="preserve">el acto reclamado sigue produciendo efectos actuales y reparables</w:t>
      </w:r>
      <w:r w:rsidDel="00000000" w:rsidR="00000000" w:rsidRPr="00000000">
        <w:rPr>
          <w:rFonts w:ascii="Arial" w:cs="Arial" w:eastAsia="Arial" w:hAnsi="Arial"/>
          <w:sz w:val="24"/>
          <w:szCs w:val="24"/>
          <w:rtl w:val="0"/>
        </w:rPr>
        <w:t xml:space="preserve">, lo que obliga al órgano de amparo a emitir un pronunciamiento de fondo y no a sobreseer, pues de lo contrario se convalida una privación de la libertad potencialmente originada en un acto inconstitucional.</w:t>
      </w:r>
    </w:p>
    <w:p w:rsidR="00000000" w:rsidDel="00000000" w:rsidP="00000000" w:rsidRDefault="00000000" w:rsidRPr="00000000" w14:paraId="00000058">
      <w:pPr>
        <w:keepNext w:val="0"/>
        <w:keepLines w:val="0"/>
        <w:spacing w:after="80" w:before="28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240" w:before="240" w:line="360" w:lineRule="auto"/>
        <w:jc w:val="both"/>
        <w:rPr>
          <w:rFonts w:ascii="Arial" w:cs="Arial" w:eastAsia="Arial" w:hAnsi="Arial"/>
          <w:b w:val="1"/>
          <w:bCs w:val="1"/>
          <w:sz w:val="26"/>
          <w:szCs w:val="26"/>
        </w:rPr>
      </w:pPr>
      <w:r w:rsidDel="00000000" w:rsidR="00000000" w:rsidRPr="00000000">
        <w:rPr>
          <w:rFonts w:ascii="Arial" w:cs="Arial" w:eastAsia="Arial" w:hAnsi="Arial"/>
          <w:b w:val="1"/>
          <w:bCs w:val="1"/>
          <w:sz w:val="24"/>
          <w:szCs w:val="24"/>
          <w:rtl w:val="0"/>
        </w:rPr>
        <w:t xml:space="preserve">SEGUNDA REFUTACIÓN</w:t>
      </w:r>
      <w:r w:rsidDel="00000000" w:rsidR="00000000" w:rsidRPr="00000000">
        <w:rPr>
          <w:rFonts w:ascii="Arial" w:cs="Arial" w:eastAsia="Arial" w:hAnsi="Arial"/>
          <w:sz w:val="24"/>
          <w:szCs w:val="24"/>
          <w:rtl w:val="0"/>
        </w:rPr>
        <w:t xml:space="preserve">: La autoridad responsable sostiene indebidamente que el cambio de situación jurídica hace improcedente el juicio de amparo; sin embargo, tal conclusión carece de sustento constitucional, ya que dicha figura no opera de manera automática, sino que debe analizarse si realmente existe imposibilidad jurídica para restituir al quejoso en el goce del derecho violado. En materia de amparo se establece que el sobreseimiento sólo procede cuando cesan totalmente los efectos del acto reclamado, lo cual no acontece en el caso, ya que la ejecución de la orden de aprehensión no agotó sus consecuencias jurídicas con la ejecución, sino que estas se están proyectando en el desarrollo del proceso penal, es decir, el cambio de situación jurídica sólo justificaría el sobreseimiento cuando </w:t>
      </w:r>
      <w:r w:rsidDel="00000000" w:rsidR="00000000" w:rsidRPr="00000000">
        <w:rPr>
          <w:rFonts w:ascii="Arial" w:cs="Arial" w:eastAsia="Arial" w:hAnsi="Arial"/>
          <w:b w:val="1"/>
          <w:bCs w:val="1"/>
          <w:sz w:val="24"/>
          <w:szCs w:val="24"/>
          <w:rtl w:val="0"/>
        </w:rPr>
        <w:t xml:space="preserve">el acto reclamado ha dejado de surtir efectos y no existe posibilidad alguna de reparación</w:t>
      </w:r>
      <w:r w:rsidDel="00000000" w:rsidR="00000000" w:rsidRPr="00000000">
        <w:rPr>
          <w:rFonts w:ascii="Arial" w:cs="Arial" w:eastAsia="Arial" w:hAnsi="Arial"/>
          <w:sz w:val="24"/>
          <w:szCs w:val="24"/>
          <w:rtl w:val="0"/>
        </w:rPr>
        <w:t xml:space="preserve">, lo cual no ocurre cuando en el presente caso toda vez que la orden de aprehensión resultó ser presupuest uno de otros actos procesales que siguen produciendo consecuencias en mi situación dentro de mi procedimiento penal.</w:t>
      </w:r>
      <w:r w:rsidDel="00000000" w:rsidR="00000000" w:rsidRPr="00000000">
        <w:rPr>
          <w:rtl w:val="0"/>
        </w:rPr>
      </w:r>
    </w:p>
    <w:p w:rsidR="00000000" w:rsidDel="00000000" w:rsidP="00000000" w:rsidRDefault="00000000" w:rsidRPr="00000000" w14:paraId="0000005A">
      <w:pPr>
        <w:spacing w:after="240" w:before="24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6"/>
          <w:szCs w:val="26"/>
          <w:rtl w:val="0"/>
        </w:rPr>
        <w:t xml:space="preserve">SEGUNDO AGRAVIO PARTICULAR. </w:t>
      </w:r>
      <w:r w:rsidDel="00000000" w:rsidR="00000000" w:rsidRPr="00000000">
        <w:rPr>
          <w:rFonts w:ascii="Arial" w:cs="Arial" w:eastAsia="Arial" w:hAnsi="Arial"/>
          <w:b w:val="1"/>
          <w:bCs w:val="1"/>
          <w:sz w:val="24"/>
          <w:szCs w:val="24"/>
          <w:rtl w:val="0"/>
        </w:rPr>
        <w:t xml:space="preserve">VIOLACIÓN AL DERECHO DE ACCESO A LA JUSTICIA Y TUTELA JUDICIAL EFECTIVA</w:t>
      </w:r>
    </w:p>
    <w:p w:rsidR="00000000" w:rsidDel="00000000" w:rsidP="00000000" w:rsidRDefault="00000000" w:rsidRPr="00000000" w14:paraId="0000005B">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REFUTACIÓN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El sobreseimiento decretado vulnera en perjuicio del quejoso los derechos de acceso a la justicia y tutela judicial efectiva, reconocidos en los artículos 17 constitucional y 25 de la Convención Americana sobre Derechos Humanos, ya que impide un pronunciamiento de fondo sobre la constitucionalidad de la orden de aprehensión, así pues, aceptar que la ejecución del acto reclamado extingue la materia del juicio implicaría validar prácticas arbitrarias por parte de la autoridad, quien podría sustraerse del control constitucional mediante la rápida ejecución de actos violatorios de derechos humanos. El juicio de amparo tiene precisamente como finalidad controlar la constitucionalidad de los actos de autoridad, por lo que su análisis no puede quedar supeditado a la consumación material del acto cuando éste sigue produciendo efectos jurídicos.</w:t>
      </w:r>
    </w:p>
    <w:p w:rsidR="00000000" w:rsidDel="00000000" w:rsidP="00000000" w:rsidRDefault="00000000" w:rsidRPr="00000000" w14:paraId="0000005C">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Se concreta, la orden de aprehensión es un acto de tracto sucesivo en sus efectos, porque sigue impactando todo el proceso penal.</w:t>
      </w:r>
    </w:p>
    <w:p w:rsidR="00000000" w:rsidDel="00000000" w:rsidP="00000000" w:rsidRDefault="00000000" w:rsidRPr="00000000" w14:paraId="0000005D">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expuesto y fundado, a Ustedes Señores Magistrados, atentamente se les solicita;</w:t>
      </w:r>
    </w:p>
    <w:p w:rsidR="00000000" w:rsidDel="00000000" w:rsidP="00000000" w:rsidRDefault="00000000" w:rsidRPr="00000000" w14:paraId="0000005E">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PRIMERO. </w:t>
      </w:r>
      <w:r w:rsidDel="00000000" w:rsidR="00000000" w:rsidRPr="00000000">
        <w:rPr>
          <w:rFonts w:ascii="Arial" w:cs="Arial" w:eastAsia="Arial" w:hAnsi="Arial"/>
          <w:sz w:val="24"/>
          <w:szCs w:val="24"/>
          <w:rtl w:val="0"/>
        </w:rPr>
        <w:t xml:space="preserve">Tener por interpuesto el recurso de revisión en contra de la Sentencia de fecha 26 de febrero de 2026 dictada por el Juez Noveno de Distrito de Quintana Roo.</w:t>
      </w:r>
    </w:p>
    <w:p w:rsidR="00000000" w:rsidDel="00000000" w:rsidP="00000000" w:rsidRDefault="00000000" w:rsidRPr="00000000" w14:paraId="00000060">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SEGUNDO</w:t>
      </w:r>
      <w:r w:rsidDel="00000000" w:rsidR="00000000" w:rsidRPr="00000000">
        <w:rPr>
          <w:rFonts w:ascii="Arial" w:cs="Arial" w:eastAsia="Arial" w:hAnsi="Arial"/>
          <w:sz w:val="24"/>
          <w:szCs w:val="24"/>
          <w:rtl w:val="0"/>
        </w:rPr>
        <w:t xml:space="preserve">. Por lo expuesto, se solicita que </w:t>
      </w:r>
      <w:r w:rsidDel="00000000" w:rsidR="00000000" w:rsidRPr="00000000">
        <w:rPr>
          <w:rFonts w:ascii="Arial" w:cs="Arial" w:eastAsia="Arial" w:hAnsi="Arial"/>
          <w:b w:val="1"/>
          <w:bCs w:val="1"/>
          <w:sz w:val="24"/>
          <w:szCs w:val="24"/>
          <w:rtl w:val="0"/>
        </w:rPr>
        <w:t xml:space="preserve">revoque la sentencia recurrida</w:t>
      </w:r>
      <w:r w:rsidDel="00000000" w:rsidR="00000000" w:rsidRPr="00000000">
        <w:rPr>
          <w:rFonts w:ascii="Arial" w:cs="Arial" w:eastAsia="Arial" w:hAnsi="Arial"/>
          <w:sz w:val="24"/>
          <w:szCs w:val="24"/>
          <w:rtl w:val="0"/>
        </w:rPr>
        <w:t xml:space="preserve">, deje sin efectos el sobreseimiento decretado y ordene al órgano de amparo </w:t>
      </w:r>
      <w:r w:rsidDel="00000000" w:rsidR="00000000" w:rsidRPr="00000000">
        <w:rPr>
          <w:rFonts w:ascii="Arial" w:cs="Arial" w:eastAsia="Arial" w:hAnsi="Arial"/>
          <w:b w:val="1"/>
          <w:bCs w:val="1"/>
          <w:sz w:val="24"/>
          <w:szCs w:val="24"/>
          <w:rtl w:val="0"/>
        </w:rPr>
        <w:t xml:space="preserve">emitir una resolución de fondo en la que se analice la constitucionalidad de la orden de aprehensión reclamada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2">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PROTESTO LO NECESARIO.</w:t>
      </w:r>
    </w:p>
    <w:p w:rsidR="00000000" w:rsidDel="00000000" w:rsidP="00000000" w:rsidRDefault="00000000" w:rsidRPr="00000000" w14:paraId="00000064">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after="0" w:line="360" w:lineRule="auto"/>
        <w:ind w:firstLine="708"/>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6">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______________________________________</w:t>
      </w:r>
    </w:p>
    <w:p w:rsidR="00000000" w:rsidDel="00000000" w:rsidP="00000000" w:rsidRDefault="00000000" w:rsidRPr="00000000" w14:paraId="00000067">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EDUARDO DE MARTIN ALBOR VILLANUEVA</w:t>
      </w:r>
    </w:p>
    <w:p w:rsidR="00000000" w:rsidDel="00000000" w:rsidP="00000000" w:rsidRDefault="00000000" w:rsidRPr="00000000" w14:paraId="00000068">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17 DE MARZO DE 2026, CANCÚN, QUINTANA ROO.</w:t>
      </w:r>
    </w:p>
    <w:sectPr>
      <w:type w:val="nextPage"/>
      <w:pgSz w:h="18720" w:w="12240" w:orient="portrait"/>
      <w:pgMar w:bottom="1418" w:top="1418" w:left="170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aliases w:val="Car, Car,Footnote Text Char Char Char Char Char,Footnote Text Char Char Char Char,Footnote reference,FA Fu,Footnote Text Char Char Char,Footnote Text Cha,FA Fußnotentext,FA Fu?notentext,Footnote Text Char Char,FA Fuﬂnotentext,Ca,Car Car C"/>
    <w:basedOn w:val="Normal"/>
    <w:link w:val="TextonotapieCar"/>
    <w:uiPriority w:val="99"/>
    <w:unhideWhenUsed w:val="1"/>
    <w:qFormat w:val="1"/>
    <w:rsid w:val="00587247"/>
    <w:pPr>
      <w:spacing w:after="0" w:line="240" w:lineRule="auto"/>
    </w:pPr>
    <w:rPr>
      <w:sz w:val="20"/>
      <w:szCs w:val="20"/>
    </w:rPr>
  </w:style>
  <w:style w:type="character" w:styleId="TextonotapieCar" w:customStyle="1">
    <w:name w:val="Texto nota pie Car"/>
    <w:aliases w:val="Car Car, Car Car,Footnote Text Char Char Char Char Char Car,Footnote Text Char Char Char Char Car,Footnote reference Car,FA Fu Car,Footnote Text Char Char Char Car,Footnote Text Cha Car,FA Fußnotentext Car,FA Fu?notentext Car,Ca Car"/>
    <w:basedOn w:val="Fuentedeprrafopredeter"/>
    <w:link w:val="Textonotapie"/>
    <w:uiPriority w:val="99"/>
    <w:rsid w:val="00587247"/>
    <w:rPr>
      <w:sz w:val="20"/>
      <w:szCs w:val="20"/>
    </w:rPr>
  </w:style>
  <w:style w:type="character" w:styleId="Refdenotaalpie">
    <w:name w:val="footnote reference"/>
    <w:aliases w:val="Ref. de nota al pie 2,Footnotes refss,Texto de nota al pie,Appel note de bas de page,Footnote number,referencia nota al pie,BVI fnr,f,4_G,16 Point,Superscript 6 Point,Texto nota al pie,ftref,Stinking Styles10,Footnote Reference Char3"/>
    <w:basedOn w:val="Fuentedeprrafopredeter"/>
    <w:uiPriority w:val="99"/>
    <w:unhideWhenUsed w:val="1"/>
    <w:qFormat w:val="1"/>
    <w:rsid w:val="00587247"/>
    <w:rPr>
      <w:vertAlign w:val="superscript"/>
    </w:rPr>
  </w:style>
  <w:style w:type="paragraph" w:styleId="Prrafodelista">
    <w:name w:val="List Paragraph"/>
    <w:aliases w:val="Cita texto,Footnote,List Paragraph1"/>
    <w:basedOn w:val="Normal"/>
    <w:link w:val="PrrafodelistaCar"/>
    <w:uiPriority w:val="34"/>
    <w:qFormat w:val="1"/>
    <w:rsid w:val="00367EAD"/>
    <w:pPr>
      <w:ind w:left="720"/>
      <w:contextualSpacing w:val="1"/>
    </w:pPr>
  </w:style>
  <w:style w:type="character" w:styleId="Ttulo2Car" w:customStyle="1">
    <w:name w:val="Título 2 Car"/>
    <w:basedOn w:val="Fuentedeprrafopredeter"/>
    <w:link w:val="Ttulo2"/>
    <w:uiPriority w:val="9"/>
    <w:rsid w:val="00304837"/>
    <w:rPr>
      <w:rFonts w:asciiTheme="majorHAnsi" w:cstheme="majorBidi" w:eastAsiaTheme="majorEastAsia" w:hAnsiTheme="majorHAnsi"/>
      <w:color w:val="2f5496" w:themeColor="accent1" w:themeShade="0000BF"/>
      <w:sz w:val="26"/>
      <w:szCs w:val="26"/>
    </w:rPr>
  </w:style>
  <w:style w:type="character" w:styleId="Ttulo3Car" w:customStyle="1">
    <w:name w:val="Título 3 Car"/>
    <w:basedOn w:val="Fuentedeprrafopredeter"/>
    <w:link w:val="Ttulo3"/>
    <w:uiPriority w:val="9"/>
    <w:rsid w:val="00304837"/>
    <w:rPr>
      <w:rFonts w:asciiTheme="majorHAnsi" w:cstheme="majorBidi" w:eastAsiaTheme="majorEastAsia" w:hAnsiTheme="majorHAnsi"/>
      <w:color w:val="1f3763" w:themeColor="accent1" w:themeShade="00007F"/>
      <w:sz w:val="24"/>
      <w:szCs w:val="24"/>
    </w:rPr>
  </w:style>
  <w:style w:type="paragraph" w:styleId="Lista2">
    <w:name w:val="List 2"/>
    <w:basedOn w:val="Normal"/>
    <w:uiPriority w:val="99"/>
    <w:unhideWhenUsed w:val="1"/>
    <w:rsid w:val="00304837"/>
    <w:pPr>
      <w:ind w:left="566" w:hanging="283"/>
      <w:contextualSpacing w:val="1"/>
    </w:pPr>
  </w:style>
  <w:style w:type="paragraph" w:styleId="Textoindependiente">
    <w:name w:val="Body Text"/>
    <w:basedOn w:val="Normal"/>
    <w:link w:val="TextoindependienteCar"/>
    <w:uiPriority w:val="99"/>
    <w:unhideWhenUsed w:val="1"/>
    <w:rsid w:val="00304837"/>
    <w:pPr>
      <w:spacing w:after="120"/>
    </w:pPr>
  </w:style>
  <w:style w:type="character" w:styleId="TextoindependienteCar" w:customStyle="1">
    <w:name w:val="Texto independiente Car"/>
    <w:basedOn w:val="Fuentedeprrafopredeter"/>
    <w:link w:val="Textoindependiente"/>
    <w:uiPriority w:val="99"/>
    <w:rsid w:val="00304837"/>
  </w:style>
  <w:style w:type="paragraph" w:styleId="Textoindependienteprimerasangra">
    <w:name w:val="Body Text First Indent"/>
    <w:basedOn w:val="Textoindependiente"/>
    <w:link w:val="TextoindependienteprimerasangraCar"/>
    <w:uiPriority w:val="99"/>
    <w:unhideWhenUsed w:val="1"/>
    <w:rsid w:val="00304837"/>
    <w:pPr>
      <w:spacing w:after="160"/>
      <w:ind w:firstLine="360"/>
    </w:pPr>
  </w:style>
  <w:style w:type="character" w:styleId="TextoindependienteprimerasangraCar" w:customStyle="1">
    <w:name w:val="Texto independiente primera sangría Car"/>
    <w:basedOn w:val="TextoindependienteCar"/>
    <w:link w:val="Textoindependienteprimerasangra"/>
    <w:uiPriority w:val="99"/>
    <w:rsid w:val="00304837"/>
  </w:style>
  <w:style w:type="paragraph" w:styleId="Sangradetextoindependiente">
    <w:name w:val="Body Text Indent"/>
    <w:basedOn w:val="Normal"/>
    <w:link w:val="SangradetextoindependienteCar"/>
    <w:uiPriority w:val="99"/>
    <w:semiHidden w:val="1"/>
    <w:unhideWhenUsed w:val="1"/>
    <w:rsid w:val="00304837"/>
    <w:pPr>
      <w:spacing w:after="120"/>
      <w:ind w:left="283"/>
    </w:pPr>
  </w:style>
  <w:style w:type="character" w:styleId="SangradetextoindependienteCar" w:customStyle="1">
    <w:name w:val="Sangría de texto independiente Car"/>
    <w:basedOn w:val="Fuentedeprrafopredeter"/>
    <w:link w:val="Sangradetextoindependiente"/>
    <w:uiPriority w:val="99"/>
    <w:semiHidden w:val="1"/>
    <w:rsid w:val="00304837"/>
  </w:style>
  <w:style w:type="paragraph" w:styleId="Textoindependienteprimerasangra2">
    <w:name w:val="Body Text First Indent 2"/>
    <w:basedOn w:val="Sangradetextoindependiente"/>
    <w:link w:val="Textoindependienteprimerasangra2Car"/>
    <w:uiPriority w:val="99"/>
    <w:unhideWhenUsed w:val="1"/>
    <w:rsid w:val="00304837"/>
    <w:pPr>
      <w:spacing w:after="160"/>
      <w:ind w:left="360" w:firstLine="360"/>
    </w:pPr>
  </w:style>
  <w:style w:type="character" w:styleId="Textoindependienteprimerasangra2Car" w:customStyle="1">
    <w:name w:val="Texto independiente primera sangría 2 Car"/>
    <w:basedOn w:val="SangradetextoindependienteCar"/>
    <w:link w:val="Textoindependienteprimerasangra2"/>
    <w:uiPriority w:val="99"/>
    <w:rsid w:val="00304837"/>
  </w:style>
  <w:style w:type="paragraph" w:styleId="Encabezado">
    <w:name w:val="header"/>
    <w:basedOn w:val="Normal"/>
    <w:link w:val="EncabezadoCar"/>
    <w:uiPriority w:val="99"/>
    <w:unhideWhenUsed w:val="1"/>
    <w:rsid w:val="00AE7C57"/>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E7C57"/>
  </w:style>
  <w:style w:type="paragraph" w:styleId="Piedepgina">
    <w:name w:val="footer"/>
    <w:basedOn w:val="Normal"/>
    <w:link w:val="PiedepginaCar"/>
    <w:uiPriority w:val="99"/>
    <w:unhideWhenUsed w:val="1"/>
    <w:rsid w:val="00AE7C57"/>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E7C57"/>
  </w:style>
  <w:style w:type="character" w:styleId="EstiloCar" w:customStyle="1">
    <w:name w:val="Estilo Car"/>
    <w:basedOn w:val="Fuentedeprrafopredeter"/>
    <w:link w:val="Estilo"/>
    <w:locked w:val="1"/>
    <w:rsid w:val="0013114F"/>
    <w:rPr>
      <w:rFonts w:ascii="Arial" w:cs="Arial" w:hAnsi="Arial"/>
      <w:sz w:val="24"/>
    </w:rPr>
  </w:style>
  <w:style w:type="paragraph" w:styleId="Estilo" w:customStyle="1">
    <w:name w:val="Estilo"/>
    <w:basedOn w:val="Sinespaciado"/>
    <w:link w:val="EstiloCar"/>
    <w:qFormat w:val="1"/>
    <w:rsid w:val="0013114F"/>
    <w:pPr>
      <w:jc w:val="both"/>
    </w:pPr>
    <w:rPr>
      <w:rFonts w:ascii="Arial" w:cs="Arial" w:hAnsi="Arial"/>
      <w:sz w:val="24"/>
    </w:rPr>
  </w:style>
  <w:style w:type="paragraph" w:styleId="Sinespaciado">
    <w:name w:val="No Spacing"/>
    <w:uiPriority w:val="1"/>
    <w:qFormat w:val="1"/>
    <w:rsid w:val="0013114F"/>
    <w:pPr>
      <w:spacing w:after="0" w:line="240" w:lineRule="auto"/>
    </w:pPr>
  </w:style>
  <w:style w:type="paragraph" w:styleId="corte4fondo" w:customStyle="1">
    <w:name w:val="corte4 fondo"/>
    <w:basedOn w:val="Normal"/>
    <w:link w:val="corte4fondoCar1"/>
    <w:qFormat w:val="1"/>
    <w:rsid w:val="00DB08EF"/>
    <w:pPr>
      <w:spacing w:after="0" w:line="360" w:lineRule="auto"/>
      <w:ind w:firstLine="709"/>
      <w:jc w:val="both"/>
    </w:pPr>
    <w:rPr>
      <w:rFonts w:ascii="Arial" w:cs="Times New Roman" w:eastAsia="Times New Roman" w:hAnsi="Arial"/>
      <w:sz w:val="30"/>
      <w:szCs w:val="24"/>
      <w:lang w:eastAsia="es-MX" w:val="es-ES_tradnl"/>
    </w:rPr>
  </w:style>
  <w:style w:type="character" w:styleId="corte4fondoCar1" w:customStyle="1">
    <w:name w:val="corte4 fondo Car1"/>
    <w:link w:val="corte4fondo"/>
    <w:rsid w:val="00DB08EF"/>
    <w:rPr>
      <w:rFonts w:ascii="Arial" w:cs="Times New Roman" w:eastAsia="Times New Roman" w:hAnsi="Arial"/>
      <w:sz w:val="30"/>
      <w:szCs w:val="24"/>
      <w:lang w:eastAsia="es-MX" w:val="es-ES_tradnl"/>
    </w:rPr>
  </w:style>
  <w:style w:type="character" w:styleId="Hipervnculo">
    <w:name w:val="Hyperlink"/>
    <w:basedOn w:val="Fuentedeprrafopredeter"/>
    <w:uiPriority w:val="99"/>
    <w:unhideWhenUsed w:val="1"/>
    <w:rsid w:val="002E3533"/>
    <w:rPr>
      <w:color w:val="0563c1" w:themeColor="hyperlink"/>
      <w:u w:val="single"/>
    </w:rPr>
  </w:style>
  <w:style w:type="character" w:styleId="PrrafodelistaCar" w:customStyle="1">
    <w:name w:val="Párrafo de lista Car"/>
    <w:aliases w:val="Cita texto Car,Footnote Car,List Paragraph1 Car"/>
    <w:link w:val="Prrafodelista"/>
    <w:uiPriority w:val="34"/>
    <w:locked w:val="1"/>
    <w:rsid w:val="002E3533"/>
  </w:style>
  <w:style w:type="character" w:styleId="Ninguno" w:customStyle="1">
    <w:name w:val="Ninguno"/>
    <w:rsid w:val="003839AF"/>
  </w:style>
  <w:style w:type="character" w:styleId="Mencinsinresolver">
    <w:name w:val="Unresolved Mention"/>
    <w:basedOn w:val="Fuentedeprrafopredeter"/>
    <w:uiPriority w:val="99"/>
    <w:semiHidden w:val="1"/>
    <w:unhideWhenUsed w:val="1"/>
    <w:rsid w:val="003839AF"/>
    <w:rPr>
      <w:color w:val="605e5c"/>
      <w:shd w:color="auto" w:fill="e1dfdd" w:val="clear"/>
    </w:rPr>
  </w:style>
  <w:style w:type="character" w:styleId="Hipervnculovisitado">
    <w:name w:val="FollowedHyperlink"/>
    <w:basedOn w:val="Fuentedeprrafopredeter"/>
    <w:uiPriority w:val="99"/>
    <w:semiHidden w:val="1"/>
    <w:unhideWhenUsed w:val="1"/>
    <w:rsid w:val="003839AF"/>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agravios.te" TargetMode="External"/><Relationship Id="rId9" Type="http://schemas.openxmlformats.org/officeDocument/2006/relationships/hyperlink" Target="mailto:notificaciones@cejum.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mailto:pegueros@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jqOBaVyJoV05zIO+8KDf7j657w==">CgMxLjAyDmgueW1hZzhnbnZhejJyOAByITFaNDdCMzJoN2cwc2FkSm5zdWJna0dxTjVtM3hON29IQg==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2023-03-15T16:56:00Z</dcterms:created>
  <dc:creator>Emmanuel Rosales</dc:creator>
</cp:coreProperties>
</file>