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after="109" w:line="360" w:lineRule="auto"/>
        <w:ind w:left="335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AMPARO INDIRECTO:</w:t>
      </w:r>
    </w:p>
    <w:p w:rsidR="00000000" w:rsidDel="00000000" w:rsidP="00000000" w:rsidRDefault="00000000" w:rsidRPr="00000000" w14:paraId="00000003">
      <w:pPr>
        <w:spacing w:after="109" w:line="360" w:lineRule="auto"/>
        <w:ind w:left="335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 </w:t>
      </w:r>
    </w:p>
    <w:p w:rsidR="00000000" w:rsidDel="00000000" w:rsidP="00000000" w:rsidRDefault="00000000" w:rsidRPr="00000000" w14:paraId="00000004">
      <w:pPr>
        <w:spacing w:after="109" w:line="360" w:lineRule="auto"/>
        <w:ind w:left="335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M.D. CÉSAR ENRIQUE MORALES HERNÁNDEZ,  JUEZ DE CONTROL CON ESPECIALIZACIÓN ADICIONAL EN JUSTICIA PARA ADOLESCENTES ACTUANDO DENTRO DE LOS JUZGADOS DE CONTROL Y TRIBUNAL DE JUICIO ORAL DE PRIMERA INSTANCIA DEL DISTRITO JUDICIAL DE CANCÚN, QUINTANA ROO. </w:t>
      </w:r>
    </w:p>
    <w:p w:rsidR="00000000" w:rsidDel="00000000" w:rsidP="00000000" w:rsidRDefault="00000000" w:rsidRPr="00000000" w14:paraId="00000005">
      <w:pPr>
        <w:spacing w:after="109" w:line="360" w:lineRule="auto"/>
        <w:ind w:left="3357" w:right="14" w:hanging="10"/>
        <w:jc w:val="both"/>
        <w:rPr>
          <w:rFonts w:ascii="Arial" w:cs="Arial" w:eastAsia="Arial" w:hAnsi="Arial"/>
        </w:rPr>
      </w:pPr>
      <w:r w:rsidDel="00000000" w:rsidR="00000000" w:rsidRPr="00000000">
        <w:rPr>
          <w:rFonts w:ascii="Arial" w:cs="Arial" w:eastAsia="Arial" w:hAnsi="Arial"/>
          <w:b w:val="1"/>
          <w:bCs w:val="1"/>
          <w:rtl w:val="0"/>
        </w:rPr>
        <w:t xml:space="preserve">ASUNTO: </w:t>
      </w:r>
      <w:r w:rsidDel="00000000" w:rsidR="00000000" w:rsidRPr="00000000">
        <w:rPr>
          <w:rFonts w:ascii="Arial" w:cs="Arial" w:eastAsia="Arial" w:hAnsi="Arial"/>
          <w:rtl w:val="0"/>
        </w:rPr>
        <w:t xml:space="preserve">SE INTERPONE DEMANDA DE AMPARO INDIRECTO.</w:t>
      </w:r>
    </w:p>
    <w:p w:rsidR="00000000" w:rsidDel="00000000" w:rsidP="00000000" w:rsidRDefault="00000000" w:rsidRPr="00000000" w14:paraId="00000006">
      <w:pPr>
        <w:spacing w:after="109" w:line="360" w:lineRule="auto"/>
        <w:ind w:left="3357" w:right="14" w:hanging="10"/>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109" w:line="360" w:lineRule="auto"/>
        <w:ind w:left="10" w:right="14"/>
        <w:jc w:val="both"/>
        <w:rPr>
          <w:rFonts w:ascii="Arial" w:cs="Arial" w:eastAsia="Arial" w:hAnsi="Arial"/>
          <w:b w:val="1"/>
          <w:bCs w:val="1"/>
        </w:rPr>
      </w:pPr>
      <w:r w:rsidDel="00000000" w:rsidR="00000000" w:rsidRPr="00000000">
        <w:rPr>
          <w:rFonts w:ascii="Arial" w:cs="Arial" w:eastAsia="Arial" w:hAnsi="Arial"/>
          <w:b w:val="1"/>
          <w:bCs w:val="1"/>
          <w:rtl w:val="0"/>
        </w:rPr>
        <w:t xml:space="preserve">H. JUEZ DE DISTRITO EN TURNO, DEL VIGÉSIMO SÉPTIMO CIRCUITO CON RESIDENCIA EN LA CIUDAD DE CANCÚN.</w:t>
      </w:r>
    </w:p>
    <w:p w:rsidR="00000000" w:rsidDel="00000000" w:rsidP="00000000" w:rsidRDefault="00000000" w:rsidRPr="00000000" w14:paraId="00000008">
      <w:pPr>
        <w:spacing w:after="109" w:line="360" w:lineRule="auto"/>
        <w:ind w:left="10" w:right="14"/>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9">
      <w:pPr>
        <w:spacing w:after="109" w:line="360" w:lineRule="auto"/>
        <w:ind w:left="10" w:right="14"/>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firstLine="720"/>
        <w:jc w:val="both"/>
        <w:rPr>
          <w:rFonts w:ascii="Arial" w:cs="Arial" w:eastAsia="Arial" w:hAnsi="Arial"/>
          <w:u w:val="single"/>
        </w:rPr>
      </w:pPr>
      <w:r w:rsidDel="00000000" w:rsidR="00000000" w:rsidRPr="00000000">
        <w:rPr>
          <w:rFonts w:ascii="Arial" w:cs="Arial" w:eastAsia="Arial" w:hAnsi="Arial"/>
          <w:b w:val="1"/>
          <w:bCs w:val="1"/>
          <w:rtl w:val="0"/>
        </w:rPr>
        <w:t xml:space="preserve">EDUARDO DE MARTIN ALBOR VILLANUEVA</w:t>
      </w:r>
      <w:r w:rsidDel="00000000" w:rsidR="00000000" w:rsidRPr="00000000">
        <w:rPr>
          <w:rFonts w:ascii="Arial" w:cs="Arial" w:eastAsia="Arial" w:hAnsi="Arial"/>
          <w:rtl w:val="0"/>
        </w:rPr>
        <w:t xml:space="preserve">, mexicano, mayor de edad, comparezco ante esta autoridad con la finalidad de interponer mi amparo, en este acto, señaló domicilio para efecto de recibir las notificaciones correspondientes siendo el ubicado las oficinas administrativas del Delfinario Dolphin Discovery Cancún, en Boulevard Kukulkán KM 25, Manzana 60, Lote 5-02, Sección D Tercera Etapa, en la Zona Hotelera, en esta ciudad de Cancún, Quintana Roo. Asi 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AUTORIZADOS EN TÉRMINOS AMPLIOS.   </w:t>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rtl w:val="0"/>
        </w:rPr>
        <w:t xml:space="preserve">cédula profesional 13730343</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rtl w:val="0"/>
        </w:rPr>
        <w:t xml:space="preserve"> a la Licenciada María Estefany Arceo Mis con cédula profesional 12732758 y a la Licenciada Eleonor Ortega Valles con cédula profesional 2465840,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E">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SEÑALAN AUTORIZADOS.</w:t>
      </w:r>
    </w:p>
    <w:p w:rsidR="00000000" w:rsidDel="00000000" w:rsidP="00000000" w:rsidRDefault="00000000" w:rsidRPr="00000000" w14:paraId="0000001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 los pasantes en derecho Alberto Arturo Pegueros Castillo,  Gabriel Villanueva Achach y al Ciudadano Fidel Arturo Ladron de Guevara Bravo.</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VINCULACIÓN AL EXPEDIENTE ELECTRÓNICO</w:t>
      </w:r>
    </w:p>
    <w:p w:rsidR="00000000" w:rsidDel="00000000" w:rsidP="00000000" w:rsidRDefault="00000000" w:rsidRPr="00000000" w14:paraId="00000013">
      <w:pPr>
        <w:spacing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bCs w:val="1"/>
          <w:rtl w:val="0"/>
        </w:rPr>
        <w:t xml:space="preserve">rmartin_arjona”, con correo electrónico registrado como </w:t>
      </w:r>
      <w:hyperlink r:id="rId8">
        <w:r w:rsidDel="00000000" w:rsidR="00000000" w:rsidRPr="00000000">
          <w:rPr>
            <w:rFonts w:ascii="Arial" w:cs="Arial" w:eastAsia="Arial" w:hAnsi="Arial"/>
            <w:b w:val="1"/>
            <w:bCs w:val="1"/>
            <w:color w:val="1155cc"/>
            <w:u w:val="single"/>
            <w:rtl w:val="0"/>
          </w:rPr>
          <w:t xml:space="preserve">rmartin_arjona@hotmail.com</w:t>
        </w:r>
      </w:hyperlink>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rtl w:val="0"/>
        </w:rPr>
        <w:t xml:space="preserve"> “fidelvillanueva” con correo electrónico </w:t>
      </w:r>
      <w:hyperlink r:id="rId9">
        <w:r w:rsidDel="00000000" w:rsidR="00000000" w:rsidRPr="00000000">
          <w:rPr>
            <w:rFonts w:ascii="Arial" w:cs="Arial" w:eastAsia="Arial" w:hAnsi="Arial"/>
            <w:b w:val="1"/>
            <w:bCs w:val="1"/>
            <w:color w:val="1155cc"/>
            <w:u w:val="single"/>
            <w:rtl w:val="0"/>
          </w:rPr>
          <w:t xml:space="preserve">fidelvillanueva@prodigy.net.mx</w:t>
        </w:r>
      </w:hyperlink>
      <w:r w:rsidDel="00000000" w:rsidR="00000000" w:rsidRPr="00000000">
        <w:rPr>
          <w:rFonts w:ascii="Arial" w:cs="Arial" w:eastAsia="Arial" w:hAnsi="Arial"/>
          <w:b w:val="1"/>
          <w:bCs w:val="1"/>
          <w:rtl w:val="0"/>
        </w:rPr>
        <w:t xml:space="preserve">  y así también  “marceomis” y proporciono el correo electrónico </w:t>
      </w:r>
      <w:hyperlink r:id="rId10">
        <w:r w:rsidDel="00000000" w:rsidR="00000000" w:rsidRPr="00000000">
          <w:rPr>
            <w:rFonts w:ascii="Arial" w:cs="Arial" w:eastAsia="Arial" w:hAnsi="Arial"/>
            <w:b w:val="1"/>
            <w:bCs w:val="1"/>
            <w:color w:val="1155cc"/>
            <w:u w:val="single"/>
            <w:rtl w:val="0"/>
          </w:rPr>
          <w:t xml:space="preserve">mearceomis@gmail.com</w:t>
        </w:r>
      </w:hyperlink>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r w:rsidDel="00000000" w:rsidR="00000000" w:rsidRPr="00000000">
        <w:rPr>
          <w:rtl w:val="0"/>
        </w:rPr>
      </w:r>
    </w:p>
    <w:p w:rsidR="00000000" w:rsidDel="00000000" w:rsidP="00000000" w:rsidRDefault="00000000" w:rsidRPr="00000000" w14:paraId="00000014">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INTERPONE DEMANDA DE AMPARO EN LA VÍA INDIRECTA.</w:t>
      </w:r>
    </w:p>
    <w:p w:rsidR="00000000" w:rsidDel="00000000" w:rsidP="00000000" w:rsidRDefault="00000000" w:rsidRPr="00000000" w14:paraId="00000016">
      <w:pPr>
        <w:widowControl w:val="0"/>
        <w:tabs>
          <w:tab w:val="left" w:leader="none" w:pos="700"/>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bCs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7">
      <w:pPr>
        <w:spacing w:line="360" w:lineRule="auto"/>
        <w:ind w:left="141" w:right="-5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Fonts w:ascii="Arial" w:cs="Arial" w:eastAsia="Arial" w:hAnsi="Arial"/>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Indirecto, por lo tanto, en cumplimiento a los requisitos de procedibilidad establecidos por el artículo 175 de la Ley de Amparo manifiesto lo siguiente:</w:t>
      </w:r>
    </w:p>
    <w:p w:rsidR="00000000" w:rsidDel="00000000" w:rsidP="00000000" w:rsidRDefault="00000000" w:rsidRPr="00000000" w14:paraId="00000019">
      <w:pPr>
        <w:spacing w:line="360" w:lineRule="auto"/>
        <w:rPr/>
      </w:pPr>
      <w:r w:rsidDel="00000000" w:rsidR="00000000" w:rsidRPr="00000000">
        <w:rPr>
          <w:rtl w:val="0"/>
        </w:rPr>
        <w:t xml:space="preserve"> </w:t>
      </w:r>
    </w:p>
    <w:p w:rsidR="00000000" w:rsidDel="00000000" w:rsidP="00000000" w:rsidRDefault="00000000" w:rsidRPr="00000000" w14:paraId="0000001A">
      <w:pPr>
        <w:widowControl w:val="0"/>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I.- NOMBRE Y DOMICILIO DEL QUEJOSO</w:t>
      </w:r>
      <w:r w:rsidDel="00000000" w:rsidR="00000000" w:rsidRPr="00000000">
        <w:rPr>
          <w:rFonts w:ascii="Arial" w:cs="Arial" w:eastAsia="Arial" w:hAnsi="Arial"/>
          <w:rtl w:val="0"/>
        </w:rPr>
        <w:t xml:space="preserve">: </w:t>
      </w:r>
    </w:p>
    <w:p w:rsidR="00000000" w:rsidDel="00000000" w:rsidP="00000000" w:rsidRDefault="00000000" w:rsidRPr="00000000" w14:paraId="0000001B">
      <w:pPr>
        <w:widowControl w:val="0"/>
        <w:spacing w:line="360" w:lineRule="auto"/>
        <w:rPr>
          <w:rFonts w:ascii="Arial" w:cs="Arial" w:eastAsia="Arial" w:hAnsi="Arial"/>
        </w:rPr>
      </w:pPr>
      <w:r w:rsidDel="00000000" w:rsidR="00000000" w:rsidRPr="00000000">
        <w:rPr>
          <w:rFonts w:ascii="Arial" w:cs="Arial" w:eastAsia="Arial" w:hAnsi="Arial"/>
          <w:rtl w:val="0"/>
        </w:rPr>
        <w:t xml:space="preserve">Lo anterior ya ha quedado precisado en el proemio del presente escrito.</w:t>
      </w:r>
    </w:p>
    <w:p w:rsidR="00000000" w:rsidDel="00000000" w:rsidP="00000000" w:rsidRDefault="00000000" w:rsidRPr="00000000" w14:paraId="0000001C">
      <w:pPr>
        <w:widowControl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spacing w:line="360" w:lineRule="auto"/>
        <w:jc w:val="center"/>
        <w:rPr>
          <w:rFonts w:ascii="Helvetica Neue" w:cs="Helvetica Neue" w:eastAsia="Helvetica Neue" w:hAnsi="Helvetica Neue"/>
          <w:b w:val="1"/>
          <w:bCs w:val="1"/>
        </w:rPr>
      </w:pPr>
      <w:r w:rsidDel="00000000" w:rsidR="00000000" w:rsidRPr="00000000">
        <w:rPr>
          <w:rFonts w:ascii="Arial" w:cs="Arial" w:eastAsia="Arial" w:hAnsi="Arial"/>
          <w:b w:val="1"/>
          <w:bCs w:val="1"/>
          <w:rtl w:val="0"/>
        </w:rPr>
        <w:t xml:space="preserve">II.- </w:t>
      </w:r>
      <w:r w:rsidDel="00000000" w:rsidR="00000000" w:rsidRPr="00000000">
        <w:rPr>
          <w:rFonts w:ascii="Helvetica Neue" w:cs="Helvetica Neue" w:eastAsia="Helvetica Neue" w:hAnsi="Helvetica Neue"/>
          <w:b w:val="1"/>
          <w:bCs w:val="1"/>
          <w:rtl w:val="0"/>
        </w:rPr>
        <w:t xml:space="preserve">NOMBRE Y DOMICILIO DEL TERCERO INTERESADO: </w:t>
      </w:r>
    </w:p>
    <w:p w:rsidR="00000000" w:rsidDel="00000000" w:rsidP="00000000" w:rsidRDefault="00000000" w:rsidRPr="00000000" w14:paraId="0000001E">
      <w:pPr>
        <w:widowControl w:val="0"/>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consideración del suscrito no hay terceros interesados.</w:t>
      </w:r>
    </w:p>
    <w:p w:rsidR="00000000" w:rsidDel="00000000" w:rsidP="00000000" w:rsidRDefault="00000000" w:rsidRPr="00000000" w14:paraId="0000001F">
      <w:pPr>
        <w:widowControl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spacing w:line="360" w:lineRule="auto"/>
        <w:jc w:val="center"/>
        <w:rPr>
          <w:rFonts w:ascii="Arial" w:cs="Arial" w:eastAsia="Arial" w:hAnsi="Arial"/>
        </w:rPr>
      </w:pPr>
      <w:r w:rsidDel="00000000" w:rsidR="00000000" w:rsidRPr="00000000">
        <w:rPr>
          <w:rFonts w:ascii="Helvetica Neue" w:cs="Helvetica Neue" w:eastAsia="Helvetica Neue" w:hAnsi="Helvetica Neue"/>
          <w:b w:val="1"/>
          <w:bCs w:val="1"/>
          <w:rtl w:val="0"/>
        </w:rPr>
        <w:t xml:space="preserve">III.- </w:t>
      </w:r>
      <w:r w:rsidDel="00000000" w:rsidR="00000000" w:rsidRPr="00000000">
        <w:rPr>
          <w:rFonts w:ascii="Arial" w:cs="Arial" w:eastAsia="Arial" w:hAnsi="Arial"/>
          <w:b w:val="1"/>
          <w:bCs w:val="1"/>
          <w:rtl w:val="0"/>
        </w:rPr>
        <w:t xml:space="preserve">LA AUTORIDAD O AUTORIDADES RESPONSABLES</w:t>
      </w:r>
      <w:r w:rsidDel="00000000" w:rsidR="00000000" w:rsidRPr="00000000">
        <w:rPr>
          <w:rFonts w:ascii="Arial" w:cs="Arial" w:eastAsia="Arial" w:hAnsi="Arial"/>
          <w:rtl w:val="0"/>
        </w:rPr>
        <w:t xml:space="preserve">: </w:t>
      </w:r>
    </w:p>
    <w:p w:rsidR="00000000" w:rsidDel="00000000" w:rsidP="00000000" w:rsidRDefault="00000000" w:rsidRPr="00000000" w14:paraId="00000021">
      <w:pPr>
        <w:widowControl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2">
      <w:pPr>
        <w:spacing w:after="109" w:line="360" w:lineRule="auto"/>
        <w:ind w:right="14"/>
        <w:jc w:val="both"/>
        <w:rPr>
          <w:rFonts w:ascii="Arial" w:cs="Arial" w:eastAsia="Arial" w:hAnsi="Arial"/>
          <w:b w:val="1"/>
          <w:bCs w:val="1"/>
        </w:rPr>
      </w:pPr>
      <w:r w:rsidDel="00000000" w:rsidR="00000000" w:rsidRPr="00000000">
        <w:rPr>
          <w:rFonts w:ascii="Arial" w:cs="Arial" w:eastAsia="Arial" w:hAnsi="Arial"/>
          <w:rtl w:val="0"/>
        </w:rPr>
        <w:t xml:space="preserve">M.D. CÉSAR ENRIQUE MORALES HERNÁNDEZ,  JUEZ DE CONTROL CON ESPECIALIZACIÓN ADICIONAL EN JUSTICIA PARA ADOLESCENTES ACTUANDO DENTRO DE LOS JUZGADOS DE CONTROL Y TRIBUNAL DE JUICIO ORAL DE PRIMERA INSTANCIA DEL DISTRITO JUDICIAL DE CANCÚN, QUINTANA ROO. </w:t>
      </w:r>
      <w:r w:rsidDel="00000000" w:rsidR="00000000" w:rsidRPr="00000000">
        <w:rPr>
          <w:rtl w:val="0"/>
        </w:rPr>
      </w:r>
    </w:p>
    <w:p w:rsidR="00000000" w:rsidDel="00000000" w:rsidP="00000000" w:rsidRDefault="00000000" w:rsidRPr="00000000" w14:paraId="00000023">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0"/>
        <w:jc w:val="both"/>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spacing w:after="240" w:line="360" w:lineRule="auto"/>
        <w:jc w:val="center"/>
        <w:rPr>
          <w:rFonts w:ascii="Arial" w:cs="Arial" w:eastAsia="Arial" w:hAnsi="Arial"/>
          <w:b w:val="1"/>
          <w:bCs w:val="1"/>
        </w:rPr>
      </w:pPr>
      <w:r w:rsidDel="00000000" w:rsidR="00000000" w:rsidRPr="00000000">
        <w:rPr>
          <w:rFonts w:ascii="Helvetica Neue" w:cs="Helvetica Neue" w:eastAsia="Helvetica Neue" w:hAnsi="Helvetica Neue"/>
          <w:b w:val="1"/>
          <w:bCs w:val="1"/>
          <w:rtl w:val="0"/>
        </w:rPr>
        <w:t xml:space="preserve">IV.- </w:t>
      </w:r>
      <w:r w:rsidDel="00000000" w:rsidR="00000000" w:rsidRPr="00000000">
        <w:rPr>
          <w:rFonts w:ascii="Arial" w:cs="Arial" w:eastAsia="Arial" w:hAnsi="Arial"/>
          <w:b w:val="1"/>
          <w:bCs w:val="1"/>
          <w:rtl w:val="0"/>
        </w:rPr>
        <w:t xml:space="preserve">LA NORMA GENERAL, ACTO U OMISIÓN QUE DE CADA AUTORIDAD SE RECLAME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br w:type="textWrapping"/>
      </w:r>
    </w:p>
    <w:p w:rsidR="00000000" w:rsidDel="00000000" w:rsidP="00000000" w:rsidRDefault="00000000" w:rsidRPr="00000000" w14:paraId="00000026">
      <w:pPr>
        <w:numPr>
          <w:ilvl w:val="0"/>
          <w:numId w:val="2"/>
        </w:numPr>
        <w:spacing w:line="360" w:lineRule="auto"/>
        <w:ind w:left="720" w:hanging="360"/>
        <w:jc w:val="both"/>
        <w:rPr>
          <w:rFonts w:ascii="Arial" w:cs="Arial" w:eastAsia="Arial" w:hAnsi="Arial"/>
          <w:b w:val="1"/>
          <w:bCs w:val="1"/>
        </w:rPr>
      </w:pPr>
      <w:r w:rsidDel="00000000" w:rsidR="00000000" w:rsidRPr="00000000">
        <w:rPr>
          <w:rFonts w:ascii="Arial" w:cs="Arial" w:eastAsia="Arial" w:hAnsi="Arial"/>
          <w:rtl w:val="0"/>
        </w:rPr>
        <w:t xml:space="preserve">EL AUTO DE FECHA 13 DE NOVIEMBRE DEL AÑO 2025, POR EL CUAL SE NEGÓ DECLARAR LA NULIDAD DE NOTIFICACIÓN DEL ACUERDO DE FECHA 29 DE OCTUBRE DEL AÑO 2025 DICTADO DENTRO DE LA CARPETA AUXILIAR 269/2025, por lo siguiente:</w:t>
      </w:r>
    </w:p>
    <w:p w:rsidR="00000000" w:rsidDel="00000000" w:rsidP="00000000" w:rsidRDefault="00000000" w:rsidRPr="00000000" w14:paraId="00000027">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“una vez transcritos los supuestos hipotéticos antes señalados, de una sana interpretación lógico-jurídica de los mismos, </w:t>
      </w:r>
      <w:r w:rsidDel="00000000" w:rsidR="00000000" w:rsidRPr="00000000">
        <w:rPr>
          <w:rFonts w:ascii="Arial" w:cs="Arial" w:eastAsia="Arial" w:hAnsi="Arial"/>
          <w:b w:val="1"/>
          <w:bCs w:val="1"/>
          <w:i w:val="1"/>
          <w:iCs w:val="1"/>
          <w:sz w:val="20"/>
          <w:szCs w:val="20"/>
          <w:rtl w:val="0"/>
        </w:rPr>
        <w:t xml:space="preserve">no se accede a la petición</w:t>
      </w:r>
      <w:r w:rsidDel="00000000" w:rsidR="00000000" w:rsidRPr="00000000">
        <w:rPr>
          <w:rFonts w:ascii="Arial" w:cs="Arial" w:eastAsia="Arial" w:hAnsi="Arial"/>
          <w:i w:val="1"/>
          <w:iCs w:val="1"/>
          <w:sz w:val="20"/>
          <w:szCs w:val="20"/>
          <w:rtl w:val="0"/>
        </w:rPr>
        <w:t xml:space="preserve"> formulada por el ciudadano Eduardo de Martin Albor Villanueva en su calidad de víctima, (…) de igual manera que en fecha veintinueve de octubre de dos mil veinticinco </w:t>
      </w:r>
      <w:r w:rsidDel="00000000" w:rsidR="00000000" w:rsidRPr="00000000">
        <w:rPr>
          <w:rFonts w:ascii="Arial" w:cs="Arial" w:eastAsia="Arial" w:hAnsi="Arial"/>
          <w:b w:val="1"/>
          <w:bCs w:val="1"/>
          <w:i w:val="1"/>
          <w:iCs w:val="1"/>
          <w:sz w:val="20"/>
          <w:szCs w:val="20"/>
          <w:rtl w:val="0"/>
        </w:rPr>
        <w:t xml:space="preserve">se mandó por correo</w:t>
      </w:r>
      <w:r w:rsidDel="00000000" w:rsidR="00000000" w:rsidRPr="00000000">
        <w:rPr>
          <w:rFonts w:ascii="Arial" w:cs="Arial" w:eastAsia="Arial" w:hAnsi="Arial"/>
          <w:i w:val="1"/>
          <w:iCs w:val="1"/>
          <w:sz w:val="20"/>
          <w:szCs w:val="20"/>
          <w:rtl w:val="0"/>
        </w:rPr>
        <w:t xml:space="preserve"> el acuerdo de fecha veintinueve de octubre del año en curso, en el cual no se accede a la solicitud en cuanto a que se declare la incompetencia por parte de esta autoridad; (...) de acuerdo al transcrito Artículo 89, esto </w:t>
      </w:r>
      <w:r w:rsidDel="00000000" w:rsidR="00000000" w:rsidRPr="00000000">
        <w:rPr>
          <w:rFonts w:ascii="Arial" w:cs="Arial" w:eastAsia="Arial" w:hAnsi="Arial"/>
          <w:b w:val="1"/>
          <w:bCs w:val="1"/>
          <w:i w:val="1"/>
          <w:iCs w:val="1"/>
          <w:sz w:val="20"/>
          <w:szCs w:val="20"/>
          <w:rtl w:val="0"/>
        </w:rPr>
        <w:t xml:space="preserve">no es suficiente para declarar la nulidad </w:t>
      </w:r>
      <w:r w:rsidDel="00000000" w:rsidR="00000000" w:rsidRPr="00000000">
        <w:rPr>
          <w:rFonts w:ascii="Arial" w:cs="Arial" w:eastAsia="Arial" w:hAnsi="Arial"/>
          <w:i w:val="1"/>
          <w:iCs w:val="1"/>
          <w:sz w:val="20"/>
          <w:szCs w:val="20"/>
          <w:rtl w:val="0"/>
        </w:rPr>
        <w:t xml:space="preserve">de dichas notificaciones, puesto que el imputado sabía y tenía conocimiento de la fecha y hora de la audiencia, tan es así, que lo hizo saber a ésta Autoridad Judicial en su mismo escrito; luego entonces, no se accede a su petición de declarar nula dichas notificaciones.”</w:t>
      </w:r>
    </w:p>
    <w:p w:rsidR="00000000" w:rsidDel="00000000" w:rsidP="00000000" w:rsidRDefault="00000000" w:rsidRPr="00000000" w14:paraId="00000029">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line="360" w:lineRule="auto"/>
        <w:ind w:left="72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widowControl w:val="0"/>
        <w:spacing w:after="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D">
      <w:pPr>
        <w:widowControl w:val="0"/>
        <w:numPr>
          <w:ilvl w:val="0"/>
          <w:numId w:val="1"/>
        </w:numPr>
        <w:spacing w:after="0" w:afterAutospacing="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fecha 21 de octubre del año 2025, se presentó un escrito en el cual se solicitó al H. Juez de Control la incompetencia por inhibitoria, en dicho escrito se nombraron a defensores, así como dirección para oír y recibir notificaciones en el ubicado en las oficinas administrativas del Delfinario Dolphin Discovery Cancún, en Boulevard Kukulkán KM 25, Lote 5-02, Manzana 60, Sección D Tercera Etapa, en la Zona Hotelera, en esta ciudad de Cancún, Quintana Roo.</w:t>
      </w:r>
    </w:p>
    <w:p w:rsidR="00000000" w:rsidDel="00000000" w:rsidP="00000000" w:rsidRDefault="00000000" w:rsidRPr="00000000" w14:paraId="0000002E">
      <w:pPr>
        <w:widowControl w:val="0"/>
        <w:numPr>
          <w:ilvl w:val="0"/>
          <w:numId w:val="1"/>
        </w:numP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En fecha 31 de octubre de 2025, se mandó por correo el acuerdo de fecha 29 de octubre del año 2025, en el cual no se accedió la solicitud en cuanto a que se declare la incompetencia por parte de este H. Juzgado de Control, el cual fue notificado mediante el correo electrónico  </w:t>
      </w:r>
      <w:r w:rsidDel="00000000" w:rsidR="00000000" w:rsidRPr="00000000">
        <w:rPr>
          <w:rFonts w:ascii="Arial" w:cs="Arial" w:eastAsia="Arial" w:hAnsi="Arial"/>
          <w:color w:val="1155cc"/>
          <w:rtl w:val="0"/>
        </w:rPr>
        <w:t xml:space="preserve">EDUARDOALBOR@THEDOLPHINCO.COM</w:t>
      </w:r>
      <w:r w:rsidDel="00000000" w:rsidR="00000000" w:rsidRPr="00000000">
        <w:rPr>
          <w:rFonts w:ascii="Arial" w:cs="Arial" w:eastAsia="Arial" w:hAnsi="Arial"/>
          <w:rtl w:val="0"/>
        </w:rPr>
        <w:t xml:space="preserve">, medio electrónico que BAJO PROTESTA DE DECIR VERDAD, no ha sido autorizado para recibir ninguna clase de notificación.</w:t>
      </w:r>
    </w:p>
    <w:p w:rsidR="00000000" w:rsidDel="00000000" w:rsidP="00000000" w:rsidRDefault="00000000" w:rsidRPr="00000000" w14:paraId="0000002F">
      <w:pPr>
        <w:widowControl w:val="0"/>
        <w:numPr>
          <w:ilvl w:val="0"/>
          <w:numId w:val="1"/>
        </w:numP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He de manifestar, BAJO PROTESTA DE DECIR VERDAD, que en fecha 11 de noviembre del año 2025, me informaron del envío de un correo electrónico mediante mi autorizado el ciudadano FIDEL ARTURO LADRON DE GUEVARA BRAVO, al revisar el expediente se percató que dicho correo se había realizado el envío del acuerdo de fecha 29 de octubre del año 2025, correo del cual nunca he autorizado.</w:t>
      </w:r>
    </w:p>
    <w:p w:rsidR="00000000" w:rsidDel="00000000" w:rsidP="00000000" w:rsidRDefault="00000000" w:rsidRPr="00000000" w14:paraId="00000030">
      <w:pPr>
        <w:widowControl w:val="0"/>
        <w:numPr>
          <w:ilvl w:val="0"/>
          <w:numId w:val="1"/>
        </w:numP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fecha 11 de noviembre del año 2025, se presentó un Recurso de Saneamiento por Nulidad de Notificaciones ante el el M. en D. César Enrique Morales Hernandez, Juez De Control Y Juicio Oral Adscrita A Los Juzgados De Control Y Tribunales De Juicio Oral Penal De Primera Instancia Del Distrito Judicial De Cancun, Quintana Roo, el cual fue, presentado en la Oficialía Común de Partes, turno vespertino, para efecto de que sea turnado a la Administración del Juzgado de Control.</w:t>
      </w:r>
    </w:p>
    <w:p w:rsidR="00000000" w:rsidDel="00000000" w:rsidP="00000000" w:rsidRDefault="00000000" w:rsidRPr="00000000" w14:paraId="00000031">
      <w:pPr>
        <w:widowControl w:val="0"/>
        <w:numPr>
          <w:ilvl w:val="0"/>
          <w:numId w:val="1"/>
        </w:numPr>
        <w:spacing w:after="24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fecha 13 de noviembre del año 2025, el M. en D. César Enrique Morales Hernandez, Juez De Control Y Juicio Oral Adscrita A Los Juzgados De Control Y Tribunales De Juicio Oral Penal De Primera Instancia Del Distrito Judicial De Cancun, Quintana Roo, emitió un acuerdo en donde no accede a la petición de declarar nula dicha notificación, He de señalar que la notificación de dicho acuerdo fue realizada en fecha 19 de noviembre del año 2025.</w:t>
      </w:r>
    </w:p>
    <w:p w:rsidR="00000000" w:rsidDel="00000000" w:rsidP="00000000" w:rsidRDefault="00000000" w:rsidRPr="00000000" w14:paraId="00000032">
      <w:pPr>
        <w:widowControl w:val="0"/>
        <w:spacing w:line="360"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3">
      <w:pPr>
        <w:widowControl w:val="0"/>
        <w:spacing w:line="360" w:lineRule="auto"/>
        <w:jc w:val="center"/>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PRESENTACIÓN DEL AMPARO</w:t>
      </w:r>
    </w:p>
    <w:p w:rsidR="00000000" w:rsidDel="00000000" w:rsidP="00000000" w:rsidRDefault="00000000" w:rsidRPr="00000000" w14:paraId="00000034">
      <w:pPr>
        <w:widowControl w:val="0"/>
        <w:spacing w:after="240" w:line="360" w:lineRule="auto"/>
        <w:jc w:val="both"/>
        <w:rPr>
          <w:rFonts w:ascii="Arial" w:cs="Arial" w:eastAsia="Arial" w:hAnsi="Arial"/>
        </w:rPr>
      </w:pPr>
      <w:r w:rsidDel="00000000" w:rsidR="00000000" w:rsidRPr="00000000">
        <w:rPr>
          <w:rFonts w:ascii="Arial" w:cs="Arial" w:eastAsia="Arial" w:hAnsi="Arial"/>
          <w:rtl w:val="0"/>
        </w:rPr>
        <w:t xml:space="preserve">Ahora bien, conforme a lo establecido por los artículos 17, 18, 22 y 31 de la Ley de Amparo, los cuales señalan los plazos para presentar la demanda, siendo de quince días hábiles, los cuales, en el caso particular, comenzarán a contarse a partir del día siguiente en que el quejoso tenga conocimiento del acto que se reclama. He de señalar que el día jueves 20 de noviembre del año 2025, fue establecido como día inhábil pero laborable. Por lo que los términos se computan de la siguiente manera:</w:t>
      </w:r>
    </w:p>
    <w:p w:rsidR="00000000" w:rsidDel="00000000" w:rsidP="00000000" w:rsidRDefault="00000000" w:rsidRPr="00000000" w14:paraId="00000035">
      <w:pPr>
        <w:widowControl w:val="0"/>
        <w:spacing w:after="240" w:line="360" w:lineRule="auto"/>
        <w:jc w:val="both"/>
        <w:rPr>
          <w:rFonts w:ascii="Arial" w:cs="Arial" w:eastAsia="Arial" w:hAnsi="Arial"/>
        </w:rPr>
      </w:pPr>
      <w:r w:rsidDel="00000000" w:rsidR="00000000" w:rsidRPr="00000000">
        <w:rPr>
          <w:rtl w:val="0"/>
        </w:rPr>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6">
            <w:pPr>
              <w:widowControl w:val="0"/>
              <w:spacing w:line="36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widowControl w:val="0"/>
              <w:spacing w:line="360" w:lineRule="auto"/>
              <w:jc w:val="center"/>
              <w:rPr/>
            </w:pPr>
            <w:r w:rsidDel="00000000" w:rsidR="00000000" w:rsidRPr="00000000">
              <w:rPr>
                <w:rFonts w:ascii="Arial" w:cs="Arial" w:eastAsia="Arial" w:hAnsi="Arial"/>
                <w:b w:val="1"/>
                <w:bCs w:val="1"/>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spacing w:line="360" w:lineRule="auto"/>
              <w:jc w:val="both"/>
              <w:rPr/>
            </w:pPr>
            <w:r w:rsidDel="00000000" w:rsidR="00000000" w:rsidRPr="00000000">
              <w:rPr>
                <w:rFonts w:ascii="Arial" w:cs="Arial" w:eastAsia="Arial" w:hAnsi="Arial"/>
                <w:b w:val="1"/>
                <w:bCs w:val="1"/>
                <w:sz w:val="20"/>
                <w:szCs w:val="20"/>
                <w:rtl w:val="0"/>
              </w:rPr>
              <w:t xml:space="preserve">19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spacing w:line="360" w:lineRule="auto"/>
              <w:jc w:val="both"/>
              <w:rPr/>
            </w:pPr>
            <w:r w:rsidDel="00000000" w:rsidR="00000000" w:rsidRPr="00000000">
              <w:rPr>
                <w:rFonts w:ascii="Arial" w:cs="Arial" w:eastAsia="Arial" w:hAnsi="Arial"/>
                <w:sz w:val="20"/>
                <w:szCs w:val="20"/>
                <w:rtl w:val="0"/>
              </w:rPr>
              <w:t xml:space="preserve">Fecha en la que me notificaron el acuerdo el cual constituye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B">
            <w:pPr>
              <w:widowControl w:val="0"/>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widowControl w:val="0"/>
              <w:spacing w:line="360" w:lineRule="auto"/>
              <w:jc w:val="both"/>
              <w:rPr/>
            </w:pPr>
            <w:r w:rsidDel="00000000" w:rsidR="00000000" w:rsidRPr="00000000">
              <w:rPr>
                <w:rFonts w:ascii="Arial" w:cs="Arial" w:eastAsia="Arial" w:hAnsi="Arial"/>
                <w:b w:val="1"/>
                <w:bCs w:val="1"/>
                <w:sz w:val="20"/>
                <w:szCs w:val="20"/>
                <w:rtl w:val="0"/>
              </w:rPr>
              <w:t xml:space="preserve">20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D">
            <w:pPr>
              <w:widowControl w:val="0"/>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widowControl w:val="0"/>
              <w:spacing w:line="360" w:lineRule="auto"/>
              <w:jc w:val="both"/>
              <w:rPr/>
            </w:pPr>
            <w:r w:rsidDel="00000000" w:rsidR="00000000" w:rsidRPr="00000000">
              <w:rPr>
                <w:rFonts w:ascii="Arial" w:cs="Arial" w:eastAsia="Arial" w:hAnsi="Arial"/>
                <w:sz w:val="20"/>
                <w:szCs w:val="20"/>
                <w:rtl w:val="0"/>
              </w:rPr>
              <w:t xml:space="preserve">Se establece como día inhábil pero laborable</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F">
            <w:pPr>
              <w:widowControl w:val="0"/>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widowControl w:val="0"/>
              <w:spacing w:line="360" w:lineRule="auto"/>
              <w:jc w:val="both"/>
              <w:rPr/>
            </w:pPr>
            <w:r w:rsidDel="00000000" w:rsidR="00000000" w:rsidRPr="00000000">
              <w:rPr>
                <w:rFonts w:ascii="Arial" w:cs="Arial" w:eastAsia="Arial" w:hAnsi="Arial"/>
                <w:b w:val="1"/>
                <w:bCs w:val="1"/>
                <w:sz w:val="20"/>
                <w:szCs w:val="20"/>
                <w:rtl w:val="0"/>
              </w:rPr>
              <w:t xml:space="preserve">21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1">
            <w:pPr>
              <w:widowControl w:val="0"/>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widowControl w:val="0"/>
              <w:spacing w:line="360" w:lineRule="auto"/>
              <w:jc w:val="both"/>
              <w:rPr/>
            </w:pPr>
            <w:r w:rsidDel="00000000" w:rsidR="00000000" w:rsidRPr="00000000">
              <w:rPr>
                <w:rFonts w:ascii="Arial" w:cs="Arial" w:eastAsia="Arial" w:hAnsi="Arial"/>
                <w:sz w:val="20"/>
                <w:szCs w:val="20"/>
                <w:rtl w:val="0"/>
              </w:rPr>
              <w:t xml:space="preserve">El término comienza a correr al día siguiente.</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3">
            <w:pPr>
              <w:widowControl w:val="0"/>
              <w:spacing w:line="360" w:lineRule="auto"/>
              <w:jc w:val="both"/>
              <w:rPr/>
            </w:pPr>
            <w:r w:rsidDel="00000000" w:rsidR="00000000" w:rsidRPr="00000000">
              <w:rPr>
                <w:rFonts w:ascii="Arial" w:cs="Arial" w:eastAsia="Arial" w:hAnsi="Arial"/>
                <w:b w:val="1"/>
                <w:bCs w:val="1"/>
                <w:sz w:val="20"/>
                <w:szCs w:val="20"/>
                <w:rtl w:val="0"/>
              </w:rPr>
              <w:t xml:space="preserve">6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4">
            <w:pPr>
              <w:widowControl w:val="0"/>
              <w:spacing w:line="360" w:lineRule="auto"/>
              <w:jc w:val="both"/>
              <w:rPr/>
            </w:pPr>
            <w:r w:rsidDel="00000000" w:rsidR="00000000" w:rsidRPr="00000000">
              <w:rPr>
                <w:rFonts w:ascii="Arial" w:cs="Arial" w:eastAsia="Arial" w:hAnsi="Arial"/>
                <w:sz w:val="20"/>
                <w:szCs w:val="20"/>
                <w:rtl w:val="0"/>
              </w:rPr>
              <w:t xml:space="preserve">Fecha de presentación del amparo.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5">
            <w:pPr>
              <w:widowControl w:val="0"/>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widowControl w:val="0"/>
              <w:spacing w:line="360" w:lineRule="auto"/>
              <w:jc w:val="both"/>
              <w:rPr/>
            </w:pPr>
            <w:r w:rsidDel="00000000" w:rsidR="00000000" w:rsidRPr="00000000">
              <w:rPr>
                <w:rFonts w:ascii="Arial" w:cs="Arial" w:eastAsia="Arial" w:hAnsi="Arial"/>
                <w:b w:val="1"/>
                <w:bCs w:val="1"/>
                <w:sz w:val="20"/>
                <w:szCs w:val="20"/>
                <w:rtl w:val="0"/>
              </w:rPr>
              <w:t xml:space="preserve">12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7">
            <w:pPr>
              <w:widowControl w:val="0"/>
              <w:spacing w:line="360" w:lineRule="auto"/>
              <w:jc w:val="both"/>
              <w:rPr/>
            </w:pPr>
            <w:r w:rsidDel="00000000" w:rsidR="00000000" w:rsidRPr="00000000">
              <w:rPr>
                <w:rFonts w:ascii="Arial" w:cs="Arial" w:eastAsia="Arial" w:hAnsi="Arial"/>
                <w:sz w:val="20"/>
                <w:szCs w:val="20"/>
                <w:rtl w:val="0"/>
              </w:rPr>
              <w:t xml:space="preserve">Vence el término para presentar el amparo correspondiente.</w:t>
            </w:r>
            <w:r w:rsidDel="00000000" w:rsidR="00000000" w:rsidRPr="00000000">
              <w:rPr>
                <w:rtl w:val="0"/>
              </w:rPr>
            </w:r>
          </w:p>
        </w:tc>
      </w:tr>
    </w:tbl>
    <w:p w:rsidR="00000000" w:rsidDel="00000000" w:rsidP="00000000" w:rsidRDefault="00000000" w:rsidRPr="00000000" w14:paraId="00000048">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VI. PRECEPTOS CONSTITUCIONALES Y DERECHOS HUMANOS VIOLADOS. </w:t>
      </w:r>
      <w:r w:rsidDel="00000000" w:rsidR="00000000" w:rsidRPr="00000000">
        <w:rPr>
          <w:rFonts w:ascii="Arial" w:cs="Arial" w:eastAsia="Arial" w:hAnsi="Arial"/>
          <w:rtl w:val="0"/>
        </w:rPr>
        <w:t xml:space="preserve">Se considera que los preceptos constitucionales violados en perjuicio del directo quejoso. Las garantías de legalidad seguridad y libertad contenidas en los artículos 1, 8, 14, 16, 17 y 20 de la Constitución Política de los Estados Unidos Mexicanos, toda vez que las autoridades responsables han validado una notificación irregular practicada a través de un medio electrónico no autorizado, afectando directamente el ejercicio oportuno del derecho de audiencia y defensa del suscrito dentro del procedimiento penal que se instruye en su contra.</w:t>
      </w:r>
    </w:p>
    <w:p w:rsidR="00000000" w:rsidDel="00000000" w:rsidP="00000000" w:rsidRDefault="00000000" w:rsidRPr="00000000" w14:paraId="0000004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line="360" w:lineRule="auto"/>
        <w:ind w:left="56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VII.- INTERÉS LEGÍTIMO.</w:t>
      </w:r>
    </w:p>
    <w:p w:rsidR="00000000" w:rsidDel="00000000" w:rsidP="00000000" w:rsidRDefault="00000000" w:rsidRPr="00000000" w14:paraId="0000004D">
      <w:pPr>
        <w:spacing w:line="360" w:lineRule="auto"/>
        <w:jc w:val="both"/>
        <w:rPr>
          <w:rFonts w:ascii="Arial" w:cs="Arial" w:eastAsia="Arial" w:hAnsi="Arial"/>
        </w:rPr>
      </w:pPr>
      <w:r w:rsidDel="00000000" w:rsidR="00000000" w:rsidRPr="00000000">
        <w:rPr>
          <w:rFonts w:ascii="Arial" w:cs="Arial" w:eastAsia="Arial" w:hAnsi="Arial"/>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criterio firme tanto en la doctrina jurídica como en la interpretación jurisprudencial, que establece que el interés jurídico para promover el juicio de amparo se actualiza cuando un acto de autoridad, ya sea por acción u omisión, produce una afectación real, directa y personal en los derechos fundamentales del gobernado. Dicho interés no exige una mera expectativa o posibilidad abstracta de afectación, sino que deriva de la existencia de un derecho subjetivo reconocido normativamente y de una conducta estatal que lo desconoce, restringe o lo hace nugatorio. En ese sentido, el interés jurídico se configura cuando la autoridad responsable incumple, de manera total o parcial, las obligaciones constitucionales o legales que le son exigibles, ya sea al omitir una actuación debida o al ejecutar un acto que transgrede el marco normativo aplicable, generando una lesión concreta al bien jurídico tutelado. Esta afectación sucede cuando se vulneran las denominadas garantías primarias, consistentes en aquellas normas que imponen a las autoridades deberes de hacer, no hacer o tolerar, indispensables para la eficacia práctica de los derechos fundamentales. Así, cuando la autoridad desconoce dichas garantías mediante una notificación irregular, una resolución inmotivada o una actuación que impide el ejercicio oportuno del derecho de defensa, se actualiza plenamente el interés jurídico del gobernado para acudir al juicio de amparo, pues existe una relación inmediata entre el acto reclamado y la afectación sufrida, tornando procedente el control constitucional como mecanismo de tutela efectiva frente a la actuación estatal arbitraria.</w:t>
      </w:r>
    </w:p>
    <w:p w:rsidR="00000000" w:rsidDel="00000000" w:rsidP="00000000" w:rsidRDefault="00000000" w:rsidRPr="00000000" w14:paraId="0000004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VIII. CONCEPTOS DE VIOLACIÓN.</w:t>
      </w:r>
    </w:p>
    <w:p w:rsidR="00000000" w:rsidDel="00000000" w:rsidP="00000000" w:rsidRDefault="00000000" w:rsidRPr="00000000" w14:paraId="00000051">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CONCEPTO DE VIOLACIÓN EN GENERAL: VIOLACIÓN A LOS DERECHOS FUNDAMENTALES DE LEGALIDAD, DEBIDO PROCESO Y SEGURIDAD JURÍDICA DERIVADO DE LA INDEBIDA NOTIFICACIÓN DEL ACUERDO DE FECHA 29 DE OCTUBRE DEL AÑO 2025 Y LA POSTERIOR NEGATIVA DE DECLARAR SU NULIDAD.</w:t>
      </w:r>
    </w:p>
    <w:p w:rsidR="00000000" w:rsidDel="00000000" w:rsidP="00000000" w:rsidRDefault="00000000" w:rsidRPr="00000000" w14:paraId="00000052">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Se señala como concepto de violación el acuerdo emitido por el C. César Enrique Morales Hernández, Juez de Control y Juicio Oral adscrito a los Juzgados de Control y Tribunales de Juicio Oral Penal de Primera Instancia del Distrito Judicial de Cancún, Quintana Roo, mediante el cual negó la declaratoria de nulidad de la notificación del acuerdo de fecha 29 de octubre del año 2025, no obstante haber quedado plenamente acreditado que dicha notificación fue practicada a través de un medio electrónico que no ha sido autorizado por el quejoso, con lo cual se vulneraron los derechos humanos de legalidad, seguridad jurídica, debido proceso y defensa adecuada, en donde estableció  lo siguiente:</w:t>
      </w:r>
    </w:p>
    <w:p w:rsidR="00000000" w:rsidDel="00000000" w:rsidP="00000000" w:rsidRDefault="00000000" w:rsidRPr="00000000" w14:paraId="0000005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line="360" w:lineRule="auto"/>
        <w:ind w:left="144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de igual manera que en fecha veintinueve de octubre de dos mil veinticinco </w:t>
      </w:r>
      <w:r w:rsidDel="00000000" w:rsidR="00000000" w:rsidRPr="00000000">
        <w:rPr>
          <w:rFonts w:ascii="Arial" w:cs="Arial" w:eastAsia="Arial" w:hAnsi="Arial"/>
          <w:b w:val="1"/>
          <w:bCs w:val="1"/>
          <w:i w:val="1"/>
          <w:iCs w:val="1"/>
          <w:sz w:val="20"/>
          <w:szCs w:val="20"/>
          <w:rtl w:val="0"/>
        </w:rPr>
        <w:t xml:space="preserve">se mandó por correo</w:t>
      </w:r>
      <w:r w:rsidDel="00000000" w:rsidR="00000000" w:rsidRPr="00000000">
        <w:rPr>
          <w:rFonts w:ascii="Arial" w:cs="Arial" w:eastAsia="Arial" w:hAnsi="Arial"/>
          <w:i w:val="1"/>
          <w:iCs w:val="1"/>
          <w:sz w:val="20"/>
          <w:szCs w:val="20"/>
          <w:rtl w:val="0"/>
        </w:rPr>
        <w:t xml:space="preserve"> el acuerdo de fecha veintinueve de octubre del año en curso, en el cual no se accede a la solicitud en cuanto a que se declare la incompetencia por parte de esta autoridad;”</w:t>
      </w:r>
    </w:p>
    <w:p w:rsidR="00000000" w:rsidDel="00000000" w:rsidP="00000000" w:rsidRDefault="00000000" w:rsidRPr="00000000" w14:paraId="00000056">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Por tal situación se tiene que la autoridad mis garantías fundamentales establecidas en los artículos 1, 8, 14, 16, 17 y 20 de la Constitución general de la República, por la convalidación indebida de una notificación irregular y la negativa a reponer el procedimiento al momento procesal en que debió practicarse la notificación conforme a derecho, lo que genera un estado de indefensión material al impedir que el quejoso ejerciera oportunamente los medios de defensa procedentes, particularmente contra el acuerdo que resolvió la incompetencia por inhibitoria solicitada el 21 de octubre del año 2025.</w:t>
      </w:r>
    </w:p>
    <w:p w:rsidR="00000000" w:rsidDel="00000000" w:rsidP="00000000" w:rsidRDefault="00000000" w:rsidRPr="00000000" w14:paraId="00000058">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CONCEPTO DE VIOLACIÓN.- FALTA DE CONSENTIMIENTO O AUTORIZACIÓN DEL MEDIO ELECTRÓNICO PARA RECIBIR NOTIFICACIONES, CONTRAVINIENDO LOS ARTÍCULOS 14, 16 Y 20 CONSTITUCIONALES.</w:t>
      </w:r>
    </w:p>
    <w:p w:rsidR="00000000" w:rsidDel="00000000" w:rsidP="00000000" w:rsidRDefault="00000000" w:rsidRPr="00000000" w14:paraId="0000005A">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B">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REFUTATIO.- </w:t>
      </w:r>
      <w:r w:rsidDel="00000000" w:rsidR="00000000" w:rsidRPr="00000000">
        <w:rPr>
          <w:rFonts w:ascii="Arial" w:cs="Arial" w:eastAsia="Arial" w:hAnsi="Arial"/>
          <w:rtl w:val="0"/>
        </w:rPr>
        <w:t xml:space="preserve">El acuerdo de fecha trece de noviembre del año dos mil veinticinco, mediante el cual la autoridad responsable negó la nulidad de la notificación del diverso acuerdo de fecha veintinueve de octubre del mismo año, vulnera de forma directa y trascendente los derechos humanos consagrados en los artículos 1, 14, 16, 17 y 20 de la Constitución Federal, al convalidar una notificación defectuosa realizada a través de un medio electrónico que jamás fue autorizado por el suscrito para recibir comunicaciones oficiales, generando con ello un estado de indefensión material que afecta sustancialmente el derecho de defensa adecuada. En fecha 21 de octubre de 2025,, este quejoso promovió escrito mediante el cual solicitó la incompetencia por inhibitoria del Juez de Control, designó defensores y señaló domicilio procesal para oír y recibir notificaciones en las oficinas administrativas del Delfinario Dolphin Discovery Cancún, el ubicado en Boulevard Kukulkán KM 25, Manzana 60, Lote 5-02, Sección D Tercera Etapa, en la Zona Hotelera, en esta ciudad de Cancún, Quintana Roo. Sin embargo, el día 31 de octubre de ese mismo año, el acuerdo emitido el 29 de octubre fue enviado indebidamente al correo electrónico eduardoalbor@thedolphinco.com, medio que bajo protesta de decir verdad jamás fue autorizado.</w:t>
      </w:r>
    </w:p>
    <w:p w:rsidR="00000000" w:rsidDel="00000000" w:rsidP="00000000" w:rsidRDefault="00000000" w:rsidRPr="00000000" w14:paraId="0000005C">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Resulta evidente que una notificación practicada por una vía no autorizada no puede surtir efectos jurídicos válidos, ya que la notificación judicial constituye una formalidad esencial del procedimiento penal y su omisión o deficiencia genera nulidad absoluta por violación a derechos fundamentales. Al negarse a declarar dicha nulidad, la autoridad responsable incurre en un acto arbitrario que priva al quejoso de su derecho a impugnar oportunamente una resolución judicial.</w:t>
      </w:r>
    </w:p>
    <w:p w:rsidR="00000000" w:rsidDel="00000000" w:rsidP="00000000" w:rsidRDefault="00000000" w:rsidRPr="00000000" w14:paraId="0000005D">
      <w:pPr>
        <w:spacing w:after="240" w:before="240" w:line="360" w:lineRule="auto"/>
        <w:jc w:val="both"/>
        <w:rPr>
          <w:rFonts w:ascii="Arial" w:cs="Arial" w:eastAsia="Arial" w:hAnsi="Arial"/>
          <w:b w:val="1"/>
          <w:bCs w:val="1"/>
        </w:rPr>
      </w:pPr>
      <w:r w:rsidDel="00000000" w:rsidR="00000000" w:rsidRPr="00000000">
        <w:rPr>
          <w:rFonts w:ascii="Arial" w:cs="Arial" w:eastAsia="Arial" w:hAnsi="Arial"/>
          <w:rtl w:val="0"/>
        </w:rPr>
        <w:t xml:space="preserve">La resolución cuestionada carece de una debida motivación individualizada, pues se limita a sostener de manera abstracta que la notificación fue válida, sin analizar si el correo electrónico utilizado fue indicado expresamente por el gobernado como medio válido, ni demostrar que existiera consentimiento inequívoco de su uso. En consecuencia, se actualiza una transgresión clara al debido proceso penal y a la garantía de audiencia, al haberse impedido materialmente el ejercicio del derecho de defensa, toda vez que una notificación irregular no puede producir efectos legales dentro de un procedimiento jurisdiccional.</w:t>
      </w: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SEGUNDA REFUTATIO.-</w:t>
      </w:r>
      <w:r w:rsidDel="00000000" w:rsidR="00000000" w:rsidRPr="00000000">
        <w:rPr>
          <w:rFonts w:ascii="Arial" w:cs="Arial" w:eastAsia="Arial" w:hAnsi="Arial"/>
          <w:rtl w:val="0"/>
        </w:rPr>
        <w:t xml:space="preserve">  La autoridad responsable vulnera el debido proceso al haber validado una notificación realizada por un medio electrónico que no fue autorizado, bajo una interpretación extensiva indebida del artículo 89 del Código Nacional de Procedimientos Penales, suponiendo arbitrariamente que el solo hecho de conocer el acto procesal subsane la deficiencia formal. La afirmación de la autoridad responsable en el sentido de que el imputado tenía conocimiento del contenido del acuerdo, y que por ello se surtieron efectos jurídicos, resulta constitucionalmente insostenible, ya que confunde de forma indebida dos conceptos jurídicos distintos: el conocimiento informal del acto y la notificación legalmente válida. El primero carece de efectos procesales, mientras que el segundo es una formalidad esencial del debido proceso. El simple conocimiento del acto no puede suplir una notificación defectuosa porque no ofrece garantías de certeza, oportunidad ni legalidad.</w:t>
      </w:r>
    </w:p>
    <w:p w:rsidR="00000000" w:rsidDel="00000000" w:rsidP="00000000" w:rsidRDefault="00000000" w:rsidRPr="00000000" w14:paraId="0000005F">
      <w:pPr>
        <w:spacing w:after="240" w:before="240" w:line="360" w:lineRule="auto"/>
        <w:jc w:val="both"/>
        <w:rPr>
          <w:rFonts w:ascii="Arial" w:cs="Arial" w:eastAsia="Arial" w:hAnsi="Arial"/>
          <w:color w:val="212529"/>
          <w:sz w:val="23"/>
          <w:szCs w:val="23"/>
          <w:highlight w:val="white"/>
        </w:rPr>
      </w:pPr>
      <w:r w:rsidDel="00000000" w:rsidR="00000000" w:rsidRPr="00000000">
        <w:rPr>
          <w:rFonts w:ascii="Arial" w:cs="Arial" w:eastAsia="Arial" w:hAnsi="Arial"/>
          <w:rtl w:val="0"/>
        </w:rPr>
        <w:t xml:space="preserve">Pretender que el conocimiento informal sustituye al acto procesal de notificación es tanto como vaciar de contenido el derecho al debido proceso, pues se dejaría al arbitrio de la autoridad decidir cuándo el gobernado "ya sabía", sin apegarse a mecanismos legales de comunicación formal. La notificación no es una simple formalidad administrativa, sino una garantía procesal de primer nivel, sin la cual no puede exigirse carga procesal alguna al gobernado. Por ello, no puede servir de base una presunción de conocimiento para sustituir una notificación practicada con violación a la ley, puesto que las notificaciones en el proceso penal deben de ser personales, esto en atención al principio de pro persona, ya que incluso en el propio codigo, se advierte las reglas generales para las notificaciones dentro del proceso penal son necesarias para la certeza y seguridad juridica del gobernado para que pueda ejercer debida y oportunamente sus derechos procesales, por lo que las notificaciones deben de realizarse por los medios o lugares que se designen por la victima o en su caso su asesores juridicos. Esto ha sido sostenido por la Suprema Corte de Justicia de la Nación con el criterio de la jurisprudencia, con número de Registro Digital </w:t>
      </w:r>
      <w:r w:rsidDel="00000000" w:rsidR="00000000" w:rsidRPr="00000000">
        <w:rPr>
          <w:rFonts w:ascii="Arial" w:cs="Arial" w:eastAsia="Arial" w:hAnsi="Arial"/>
          <w:color w:val="212529"/>
          <w:highlight w:val="white"/>
          <w:rtl w:val="0"/>
        </w:rPr>
        <w:t xml:space="preserve">2030993</w:t>
      </w:r>
      <w:r w:rsidDel="00000000" w:rsidR="00000000" w:rsidRPr="00000000">
        <w:rPr>
          <w:rFonts w:ascii="Arial" w:cs="Arial" w:eastAsia="Arial" w:hAnsi="Arial"/>
          <w:rtl w:val="0"/>
        </w:rPr>
        <w:t xml:space="preserve">, bajo el rubro </w:t>
      </w:r>
      <w:r w:rsidDel="00000000" w:rsidR="00000000" w:rsidRPr="00000000">
        <w:rPr>
          <w:rFonts w:ascii="Arial" w:cs="Arial" w:eastAsia="Arial" w:hAnsi="Arial"/>
          <w:color w:val="212529"/>
          <w:highlight w:val="white"/>
          <w:rtl w:val="0"/>
        </w:rPr>
        <w:t xml:space="preserve">ORDEN DE APREHENSIÓN. LA PREVISTA EN EL CUARTO PÁRRAFO, DE LA FRACCIÓN III, DEL ARTÍCULO 141 DEL CÓDIGO NACIONAL DE PROCEDIMIENTOS PENALES, ENCUENTRA SUSTENTO EN LOS DERECHOS FUNDAMENTALES A LA TUTELA JUDICIAL EFECTIVA Y AL DEBIDO PROCESO LEGAL, CON RELACIÓN AL DERECHO DE LOS IMPUTADOS A SER JUZGADOS EN UN PLAZO BREVE Y EL DERECHO DE LAS VÍCTIMAS U OFENDIDOS A QUE LAS DILIGENCIAS RESPECTIVAS SE DESAHOGUEN</w:t>
      </w:r>
      <w:r w:rsidDel="00000000" w:rsidR="00000000" w:rsidRPr="00000000">
        <w:rPr>
          <w:rFonts w:ascii="Arial" w:cs="Arial" w:eastAsia="Arial" w:hAnsi="Arial"/>
          <w:color w:val="212529"/>
          <w:highlight w:val="white"/>
          <w:vertAlign w:val="superscript"/>
        </w:rPr>
        <w:footnoteReference w:customMarkFollows="0" w:id="1"/>
      </w:r>
      <w:r w:rsidDel="00000000" w:rsidR="00000000" w:rsidRPr="00000000">
        <w:rPr>
          <w:rFonts w:ascii="Roboto" w:cs="Roboto" w:eastAsia="Roboto" w:hAnsi="Roboto"/>
          <w:b w:val="1"/>
          <w:bCs w:val="1"/>
          <w:color w:val="212529"/>
          <w:sz w:val="23"/>
          <w:szCs w:val="23"/>
          <w:highlight w:val="white"/>
          <w:rtl w:val="0"/>
        </w:rPr>
        <w:t xml:space="preserve">.</w:t>
      </w:r>
      <w:r w:rsidDel="00000000" w:rsidR="00000000" w:rsidRPr="00000000">
        <w:rPr>
          <w:rtl w:val="0"/>
        </w:rPr>
      </w:r>
    </w:p>
    <w:p w:rsidR="00000000" w:rsidDel="00000000" w:rsidP="00000000" w:rsidRDefault="00000000" w:rsidRPr="00000000" w14:paraId="00000060">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TERCER REFUTATIO.- </w:t>
      </w:r>
      <w:r w:rsidDel="00000000" w:rsidR="00000000" w:rsidRPr="00000000">
        <w:rPr>
          <w:rFonts w:ascii="Arial" w:cs="Arial" w:eastAsia="Arial" w:hAnsi="Arial"/>
          <w:rtl w:val="0"/>
        </w:rPr>
        <w:t xml:space="preserve">Asimismo, la autoridad transgrede el principio de estricta legalidad procesal al afirmar que la notificación fue válida por el solo hecho de haberse enviado, sin verificar ni acreditar plenamente que dicho medio electrónico hubiera sido autorizado de forma expresa por esta parte. El consentimiento tácito es completamente inadmisible en materia penal cuando se trata de garantías fundamentales. En el procedimiento penal rige el principio de máxima protección de derechos del imputado, por lo que cualquier actuación que limite o afecte su derecho de defensa debe estar rodeada de la mayor certeza legal. Permitir que se valide un medio de notificación sin constancia expresa de autorización equivale a aceptar notificaciones arbitrarias, lo cual abre la puerta a graves abusos procesales.</w:t>
      </w:r>
    </w:p>
    <w:p w:rsidR="00000000" w:rsidDel="00000000" w:rsidP="00000000" w:rsidRDefault="00000000" w:rsidRPr="00000000" w14:paraId="00000061">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CONCEPTO DE VIOLACIÓN.- VIOLACIÓN AL PRINCIPIO DE TUTELA JUDICIAL EFECTIVA PREVISTO EN EL ARTÍCULO 17 CONSTITUCIONAL, AL HABERSE NEGADO INJUSTIFICADAMENTE LA NULIDAD SOLICITADA.</w:t>
      </w:r>
    </w:p>
    <w:p w:rsidR="00000000" w:rsidDel="00000000" w:rsidP="00000000" w:rsidRDefault="00000000" w:rsidRPr="00000000" w14:paraId="00000062">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REFUTATIO.- </w:t>
      </w:r>
      <w:r w:rsidDel="00000000" w:rsidR="00000000" w:rsidRPr="00000000">
        <w:rPr>
          <w:rFonts w:ascii="Arial" w:cs="Arial" w:eastAsia="Arial" w:hAnsi="Arial"/>
          <w:rtl w:val="0"/>
        </w:rPr>
        <w:t xml:space="preserve"> La autoridad judicial violentó el principio de tutela judicial efectiva al resolver de forma meramente aparente el recurso de saneamiento promovido el 11 de noviembre de 2025, sin analizar exhaustivamente los argumentos legales planteados.La resolución reclamada no satisface los estándares mínimos de una resolución judicial constitucionalmente válida, pues nunca se pronunció sobre el núcleo esencial del agravio: la falta de autorización del medio de notificación. En lugar de ello, la autoridad se limitó a transcribir normas jurídicas sin explicar su aplicación al caso concreto.</w:t>
      </w:r>
    </w:p>
    <w:p w:rsidR="00000000" w:rsidDel="00000000" w:rsidP="00000000" w:rsidRDefault="00000000" w:rsidRPr="00000000" w14:paraId="00000064">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Tal actuación denota una resolución aparente que formalmente existe, pero materialmente carece de validez constitucional, porque no resuelve el fondo de la controversia ni protege efectivamente el derecho del gobernado. El acceso a la justicia no se satisface con un fallo formal, sino con un fallo justo, razonado y completo. Un acuerdo que omite abordar lo planteado por las partes no es una sentencia válida constitucionalmente. Tal y como lo sostiene la Suprema Corte con el criterio de Tesis Aislada, con el Registro Digital 2006758, bajo el rubro </w:t>
      </w:r>
      <w:r w:rsidDel="00000000" w:rsidR="00000000" w:rsidRPr="00000000">
        <w:rPr>
          <w:rFonts w:ascii="Roboto" w:cs="Roboto" w:eastAsia="Roboto" w:hAnsi="Roboto"/>
          <w:color w:val="212529"/>
          <w:highlight w:val="white"/>
          <w:rtl w:val="0"/>
        </w:rPr>
        <w:t xml:space="preserve">ACCESO A LA </w:t>
      </w:r>
      <w:r w:rsidDel="00000000" w:rsidR="00000000" w:rsidRPr="00000000">
        <w:rPr>
          <w:rFonts w:ascii="Roboto" w:cs="Roboto" w:eastAsia="Roboto" w:hAnsi="Roboto"/>
          <w:color w:val="212529"/>
          <w:rtl w:val="0"/>
        </w:rPr>
        <w:t xml:space="preserve">TUTELA</w:t>
      </w:r>
      <w:r w:rsidDel="00000000" w:rsidR="00000000" w:rsidRPr="00000000">
        <w:rPr>
          <w:rFonts w:ascii="Roboto" w:cs="Roboto" w:eastAsia="Roboto" w:hAnsi="Roboto"/>
          <w:color w:val="212529"/>
          <w:rtl w:val="0"/>
        </w:rPr>
        <w:t xml:space="preserve"> </w:t>
      </w:r>
      <w:r w:rsidDel="00000000" w:rsidR="00000000" w:rsidRPr="00000000">
        <w:rPr>
          <w:rFonts w:ascii="Roboto" w:cs="Roboto" w:eastAsia="Roboto" w:hAnsi="Roboto"/>
          <w:color w:val="212529"/>
          <w:rtl w:val="0"/>
        </w:rPr>
        <w:t xml:space="preserve">JUDICIAL</w:t>
      </w:r>
      <w:r w:rsidDel="00000000" w:rsidR="00000000" w:rsidRPr="00000000">
        <w:rPr>
          <w:rFonts w:ascii="Roboto" w:cs="Roboto" w:eastAsia="Roboto" w:hAnsi="Roboto"/>
          <w:color w:val="212529"/>
          <w:rtl w:val="0"/>
        </w:rPr>
        <w:t xml:space="preserve"> </w:t>
      </w:r>
      <w:r w:rsidDel="00000000" w:rsidR="00000000" w:rsidRPr="00000000">
        <w:rPr>
          <w:rFonts w:ascii="Roboto" w:cs="Roboto" w:eastAsia="Roboto" w:hAnsi="Roboto"/>
          <w:color w:val="212529"/>
          <w:rtl w:val="0"/>
        </w:rPr>
        <w:t xml:space="preserve">EFECTIVA</w:t>
      </w:r>
      <w:r w:rsidDel="00000000" w:rsidR="00000000" w:rsidRPr="00000000">
        <w:rPr>
          <w:rFonts w:ascii="Roboto" w:cs="Roboto" w:eastAsia="Roboto" w:hAnsi="Roboto"/>
          <w:color w:val="212529"/>
          <w:rtl w:val="0"/>
        </w:rPr>
        <w:t xml:space="preserve">.</w:t>
      </w:r>
      <w:r w:rsidDel="00000000" w:rsidR="00000000" w:rsidRPr="00000000">
        <w:rPr>
          <w:rFonts w:ascii="Roboto" w:cs="Roboto" w:eastAsia="Roboto" w:hAnsi="Roboto"/>
          <w:color w:val="212529"/>
          <w:highlight w:val="white"/>
          <w:rtl w:val="0"/>
        </w:rPr>
        <w:t xml:space="preserve"> A FIN DE RESPETAR ESE DERECHO, PREVISTO EN EL ARTÍCULO 17 DE LA CONSTITUCIÓN FEDERAL, SI AL PROMOVER EL JUICIO DE AMPARO, EL QUEJOSO MANIFIESTA QUE POR ENCONTRARSE PRIVADO DE SU LIBERTAD, ESTÁ IMPEDIDO PARA CUBRIR EL COSTO GENERADO PARA OBTENER LAS COPIAS CORRESPONDIENTES, ÉSTAS DEBEN EXPEDIRSE GRATUITAMENTE (LEGISLACIÓN DEL DISTRITO FEDERAL)</w:t>
      </w:r>
      <w:r w:rsidDel="00000000" w:rsidR="00000000" w:rsidRPr="00000000">
        <w:rPr>
          <w:rFonts w:ascii="Roboto" w:cs="Roboto" w:eastAsia="Roboto" w:hAnsi="Roboto"/>
          <w:color w:val="212529"/>
          <w:highlight w:val="white"/>
          <w:vertAlign w:val="superscript"/>
        </w:rPr>
        <w:footnoteReference w:customMarkFollows="0" w:id="2"/>
      </w:r>
      <w:r w:rsidDel="00000000" w:rsidR="00000000" w:rsidRPr="00000000">
        <w:rPr>
          <w:rFonts w:ascii="Roboto" w:cs="Roboto" w:eastAsia="Roboto" w:hAnsi="Roboto"/>
          <w:color w:val="212529"/>
          <w:highlight w:val="white"/>
          <w:rtl w:val="0"/>
        </w:rPr>
        <w:t xml:space="preserve">.</w:t>
      </w:r>
      <w:r w:rsidDel="00000000" w:rsidR="00000000" w:rsidRPr="00000000">
        <w:rPr>
          <w:rtl w:val="0"/>
        </w:rPr>
      </w:r>
    </w:p>
    <w:p w:rsidR="00000000" w:rsidDel="00000000" w:rsidP="00000000" w:rsidRDefault="00000000" w:rsidRPr="00000000" w14:paraId="00000065">
      <w:pPr>
        <w:spacing w:before="213" w:line="360" w:lineRule="auto"/>
        <w:jc w:val="center"/>
        <w:rPr>
          <w:rFonts w:ascii="Arial" w:cs="Arial" w:eastAsia="Arial" w:hAnsi="Arial"/>
        </w:rPr>
      </w:pPr>
      <w:r w:rsidDel="00000000" w:rsidR="00000000" w:rsidRPr="00000000">
        <w:rPr>
          <w:rFonts w:ascii="Arial" w:cs="Arial" w:eastAsia="Arial" w:hAnsi="Arial"/>
          <w:b w:val="1"/>
          <w:bCs w:val="1"/>
          <w:rtl w:val="0"/>
        </w:rPr>
        <w:t xml:space="preserve">IX. CAPÍTULO DE SUSPENSIÓN</w:t>
      </w:r>
      <w:r w:rsidDel="00000000" w:rsidR="00000000" w:rsidRPr="00000000">
        <w:rPr>
          <w:rtl w:val="0"/>
        </w:rPr>
      </w:r>
    </w:p>
    <w:p w:rsidR="00000000" w:rsidDel="00000000" w:rsidP="00000000" w:rsidRDefault="00000000" w:rsidRPr="00000000" w14:paraId="00000066">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Con fundamento en lo dispuesto por los artículos 125, 126, 127, 128, 129, 147, 148, 150 y demás relativos y aplicables de la Ley de Amparo, vengo a solicitar a este H. Juzgado de Distrito la concesión de la suspensión provisional y, en su oportunidad, la suspensión definitiva de los actos reclamados a las autoridades responsables, por resultar violatorios de derechos humanos fundamentales reconocidos en los artículos 1, 14, 16, 17 y 20 de la Constitución Política de los Estados Unidos Mexicanos. La suspensión solicitada tiene por objeto impedir que continúen produciendo efectos jurídicos los actos reclamados, consistentes en la negativa de declarar nula una notificación realizada por medio electrónico no autorizado, así como la convalidación de una notificación defectuosa, que en los hechos impide al quejoso ejercer de manera plena su derecho a la defensa adecuada dentro del procedimiento penal que se instruye en su contra.</w:t>
      </w:r>
    </w:p>
    <w:p w:rsidR="00000000" w:rsidDel="00000000" w:rsidP="00000000" w:rsidRDefault="00000000" w:rsidRPr="00000000" w14:paraId="00000067">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Se solicita que la suspensión tenga efectos restitutorios (tutela anticipada), para el efecto de que la autoridad responsable se abstenga de considerar válida la notificación practicada vía correo electrónico y, en consecuencia, reponga el procedimiento al momento inmediatamente anterior a la notificación irregular, girando nueva notificación conforme a derecho en el domicilio señalado para oír y recibir notificaciones, ubicado en las oficinas administrativas del Delfinario Dolphin Discovery Cancún, en Boulevard Kukulkán, Kilómetro 25, Lote 5-02, Manzana 60, Sección D, Tercera Etapa, Zona Hotelera, de esta ciudad de Cancún, Quintana Roo.</w:t>
      </w:r>
    </w:p>
    <w:p w:rsidR="00000000" w:rsidDel="00000000" w:rsidP="00000000" w:rsidRDefault="00000000" w:rsidRPr="00000000" w14:paraId="00000068">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Asimismo, se solicita se ordene a la autoridad responsable que suspenda cualquier cómputo de términos procesales que hayan comenzado a correr con motivo de la notificación impugnada, hasta en tanto se practique una notificación válida conforme a derecho. La medida cautelar solicitada es procedente y necesaria, toda vez que de no concederse, se ocasionaría un daño de difícil o imposible reparación al suscrito, consistente en la consolidación de una notificación irregular y en la pérdida material del derecho de defensa, lo cual afectaría de manera directa la garantía de audiencia, el debido proceso y el acceso efectivo a la justicia.</w:t>
      </w:r>
    </w:p>
    <w:p w:rsidR="00000000" w:rsidDel="00000000" w:rsidP="00000000" w:rsidRDefault="00000000" w:rsidRPr="00000000" w14:paraId="00000069">
      <w:pPr>
        <w:spacing w:before="213"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X- COMPETENCIA</w:t>
      </w:r>
    </w:p>
    <w:p w:rsidR="00000000" w:rsidDel="00000000" w:rsidP="00000000" w:rsidRDefault="00000000" w:rsidRPr="00000000" w14:paraId="0000006A">
      <w:pPr>
        <w:spacing w:line="360" w:lineRule="auto"/>
        <w:jc w:val="both"/>
        <w:rPr>
          <w:rFonts w:ascii="Arial" w:cs="Arial" w:eastAsia="Arial" w:hAnsi="Arial"/>
        </w:rPr>
      </w:pPr>
      <w:r w:rsidDel="00000000" w:rsidR="00000000" w:rsidRPr="00000000">
        <w:rPr>
          <w:rFonts w:ascii="Arial" w:cs="Arial" w:eastAsia="Arial" w:hAnsi="Arial"/>
          <w:rtl w:val="0"/>
        </w:rPr>
        <w:t xml:space="preserve">Es Usted competente para conocer del presente juicio de garantías, con fundamento en lo establecido por la Ley de Amparo en su artículo 37, 107, 108, 109, 110 y 111; toda vez que es un acto que causa perjuicio sustancial a los derechos humanos de la suscrita en una carpeta de investigación, siendo que a su vez el acto reclamado no cuenta con una tramitación especial para la solución de dicho conflicto. Aunado a que este H. Juzgado de distrito resulta competente pues el acto reclamado se cometió en la Ciudad de Cancún, y el Juzgado con jurisdicción en tal lugar radica en esta misma ciudad.</w:t>
      </w:r>
    </w:p>
    <w:p w:rsidR="00000000" w:rsidDel="00000000" w:rsidP="00000000" w:rsidRDefault="00000000" w:rsidRPr="00000000" w14:paraId="0000006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antes expuesto y fundado, A Usted C. Juez de Distrito, atentamente pido se sirva:</w:t>
      </w:r>
    </w:p>
    <w:p w:rsidR="00000000" w:rsidDel="00000000" w:rsidP="00000000" w:rsidRDefault="00000000" w:rsidRPr="00000000" w14:paraId="0000006D">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E">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PRIMERO. -</w:t>
        <w:tab/>
      </w:r>
      <w:r w:rsidDel="00000000" w:rsidR="00000000" w:rsidRPr="00000000">
        <w:rPr>
          <w:rFonts w:ascii="Arial" w:cs="Arial" w:eastAsia="Arial" w:hAnsi="Arial"/>
          <w:rtl w:val="0"/>
        </w:rPr>
        <w:t xml:space="preserve">Tenerme por presentado con la personalidad que me ostento, en términos de este ocurso, demandando el Amparo y Protección de la Justicia Federal en contra de los actos de autoridad que han quedado debidamente precisados, emitiéndose el presente juicio de amparo que se instaura, por ser oportuno y procedente; así como al tomarse en cuenta que los actos señalados como reclamados implican peligro de privación de la libertad del quejoso.</w:t>
      </w:r>
    </w:p>
    <w:p w:rsidR="00000000" w:rsidDel="00000000" w:rsidP="00000000" w:rsidRDefault="00000000" w:rsidRPr="00000000" w14:paraId="0000006F">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 </w:t>
      </w:r>
      <w:r w:rsidDel="00000000" w:rsidR="00000000" w:rsidRPr="00000000">
        <w:rPr>
          <w:rFonts w:ascii="Arial" w:cs="Arial" w:eastAsia="Arial" w:hAnsi="Arial"/>
          <w:rtl w:val="0"/>
        </w:rPr>
        <w:t xml:space="preserve">Tener por señalado el domicilio y por autorizados a los profesionistas y las personas citadas en el proemio de la presente demanda de amparo, para los efectos que se precisan.</w:t>
      </w: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Previos los trámites de ley, dictar resolución en la que se </w:t>
      </w:r>
      <w:r w:rsidDel="00000000" w:rsidR="00000000" w:rsidRPr="00000000">
        <w:rPr>
          <w:rFonts w:ascii="Arial" w:cs="Arial" w:eastAsia="Arial" w:hAnsi="Arial"/>
          <w:u w:val="single"/>
          <w:rtl w:val="0"/>
        </w:rPr>
        <w:t xml:space="preserve">CONCEDA</w:t>
      </w:r>
      <w:r w:rsidDel="00000000" w:rsidR="00000000" w:rsidRPr="00000000">
        <w:rPr>
          <w:rFonts w:ascii="Arial" w:cs="Arial" w:eastAsia="Arial" w:hAnsi="Arial"/>
          <w:rtl w:val="0"/>
        </w:rPr>
        <w:t xml:space="preserve"> al quejoso el Amparo y Protección de la Justicia de la Unión solicitado.</w:t>
      </w:r>
    </w:p>
    <w:p w:rsidR="00000000" w:rsidDel="00000000" w:rsidP="00000000" w:rsidRDefault="00000000" w:rsidRPr="00000000" w14:paraId="00000073">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 T E N T A M E N T E.</w:t>
      </w:r>
    </w:p>
    <w:p w:rsidR="00000000" w:rsidDel="00000000" w:rsidP="00000000" w:rsidRDefault="00000000" w:rsidRPr="00000000" w14:paraId="00000075">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7">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8">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__________________</w:t>
      </w:r>
    </w:p>
    <w:p w:rsidR="00000000" w:rsidDel="00000000" w:rsidP="00000000" w:rsidRDefault="00000000" w:rsidRPr="00000000" w14:paraId="00000079">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7A">
      <w:pPr>
        <w:spacing w:line="360" w:lineRule="auto"/>
        <w:jc w:val="center"/>
        <w:rPr>
          <w:rFonts w:ascii="Arial" w:cs="Arial" w:eastAsia="Arial" w:hAnsi="Arial"/>
        </w:rPr>
      </w:pPr>
      <w:r w:rsidDel="00000000" w:rsidR="00000000" w:rsidRPr="00000000">
        <w:rPr>
          <w:rFonts w:ascii="Arial" w:cs="Arial" w:eastAsia="Arial" w:hAnsi="Arial"/>
          <w:rtl w:val="0"/>
        </w:rPr>
        <w:t xml:space="preserve">11 DE DICIEMBRE DEL 2025, CANCÚN, QUINTANA ROO.</w:t>
      </w:r>
    </w:p>
    <w:p w:rsidR="00000000" w:rsidDel="00000000" w:rsidP="00000000" w:rsidRDefault="00000000" w:rsidRPr="00000000" w14:paraId="0000007B">
      <w:pPr>
        <w:spacing w:line="360" w:lineRule="auto"/>
        <w:jc w:val="center"/>
        <w:rPr>
          <w:rFonts w:ascii="Arial" w:cs="Arial" w:eastAsia="Arial" w:hAnsi="Arial"/>
          <w:b w:val="1"/>
          <w:bCs w:val="1"/>
        </w:rPr>
      </w:pPr>
      <w:r w:rsidDel="00000000" w:rsidR="00000000" w:rsidRPr="00000000">
        <w:rPr>
          <w:rtl w:val="0"/>
        </w:rPr>
      </w:r>
    </w:p>
    <w:sectPr>
      <w:headerReference r:id="rId11" w:type="default"/>
      <w:footerReference r:id="rId12" w:type="default"/>
      <w:pgSz w:h="20160" w:w="12240" w:orient="portrait"/>
      <w:pgMar w:bottom="1417" w:top="1417" w:left="170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D">
      <w:pPr>
        <w:jc w:val="both"/>
        <w:rPr>
          <w:rFonts w:ascii="Arial" w:cs="Arial" w:eastAsia="Arial" w:hAnsi="Arial"/>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Artículo 12. </w:t>
      </w:r>
      <w:r w:rsidDel="00000000" w:rsidR="00000000" w:rsidRPr="00000000">
        <w:rPr>
          <w:rFonts w:ascii="Times New Roman" w:cs="Times New Roman" w:eastAsia="Times New Roman" w:hAnsi="Times New Roman"/>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 w:id="2">
    <w:p w:rsidR="00000000" w:rsidDel="00000000" w:rsidP="00000000" w:rsidRDefault="00000000" w:rsidRPr="00000000" w14:paraId="0000007E">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 fin de respetar su derecho de acceso a la tutela judicial efectiva, previsto en 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17 de la Constitución Política de los Estados Unidos Mexicanos</w:t>
      </w:r>
      <w:r w:rsidDel="00000000" w:rsidR="00000000" w:rsidRPr="00000000">
        <w:rPr>
          <w:rFonts w:ascii="Arial Narrow" w:cs="Arial Narrow" w:eastAsia="Arial Narrow" w:hAnsi="Arial Narrow"/>
          <w:color w:val="212529"/>
          <w:sz w:val="16"/>
          <w:szCs w:val="16"/>
          <w:highlight w:val="white"/>
          <w:rtl w:val="0"/>
        </w:rPr>
        <w:t xml:space="preserve">, es dable otorgar las copias solicitadas gratuitamente, pues considerar que su expedición genera el pago de derechos, con base en 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23 del Código de Procedimientos Penales para el Distrito Federal</w:t>
      </w:r>
      <w:r w:rsidDel="00000000" w:rsidR="00000000" w:rsidRPr="00000000">
        <w:rPr>
          <w:rFonts w:ascii="Arial Narrow" w:cs="Arial Narrow" w:eastAsia="Arial Narrow" w:hAnsi="Arial Narrow"/>
          <w:color w:val="212529"/>
          <w:sz w:val="16"/>
          <w:szCs w:val="16"/>
          <w:highlight w:val="white"/>
          <w:rtl w:val="0"/>
        </w:rPr>
        <w:t xml:space="preserve">, implica supeditarlo a requisitos carentes de razonabilidad y proporcionalidad, en lugar de respetar el derecho mencionado, ya que lo relativo a la solicitud de copias y su expedición no constituye un acto procesal, sino el derecho que el peticionario tiene para allegarse de los medios necesarios para acceder a la justicia, como lo establecen los artículos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8 de la Declaración Universal de los Derechos Humanos</w:t>
      </w:r>
      <w:r w:rsidDel="00000000" w:rsidR="00000000" w:rsidRPr="00000000">
        <w:rPr>
          <w:rFonts w:ascii="Arial Narrow" w:cs="Arial Narrow" w:eastAsia="Arial Narrow" w:hAnsi="Arial Narrow"/>
          <w:color w:val="212529"/>
          <w:sz w:val="16"/>
          <w:szCs w:val="16"/>
          <w:highlight w:val="white"/>
          <w:rtl w:val="0"/>
        </w:rPr>
        <w:t xml:space="preserve">;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2, numeral 3, inciso a), del Pacto Internacional de Derechos Civiles y Políticos</w:t>
      </w:r>
      <w:r w:rsidDel="00000000" w:rsidR="00000000" w:rsidRPr="00000000">
        <w:rPr>
          <w:rFonts w:ascii="Arial Narrow" w:cs="Arial Narrow" w:eastAsia="Arial Narrow" w:hAnsi="Arial Narrow"/>
          <w:color w:val="212529"/>
          <w:sz w:val="16"/>
          <w:szCs w:val="16"/>
          <w:highlight w:val="white"/>
          <w:rtl w:val="0"/>
        </w:rPr>
        <w:t xml:space="preserve">;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25 de la Convención Americana sobre Derechos Humanos</w:t>
      </w:r>
      <w:r w:rsidDel="00000000" w:rsidR="00000000" w:rsidRPr="00000000">
        <w:rPr>
          <w:rFonts w:ascii="Arial Narrow" w:cs="Arial Narrow" w:eastAsia="Arial Narrow" w:hAnsi="Arial Narrow"/>
          <w:color w:val="212529"/>
          <w:sz w:val="16"/>
          <w:szCs w:val="16"/>
          <w:highlight w:val="white"/>
          <w:rtl w:val="0"/>
        </w:rPr>
        <w:t xml:space="preserve">;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3o., párrafo tercero y 121, párrafo primero, de la Ley de Amparo</w:t>
      </w:r>
      <w:r w:rsidDel="00000000" w:rsidR="00000000" w:rsidRPr="00000000">
        <w:rPr>
          <w:rFonts w:ascii="Arial Narrow" w:cs="Arial Narrow" w:eastAsia="Arial Narrow" w:hAnsi="Arial Narrow"/>
          <w:color w:val="212529"/>
          <w:sz w:val="16"/>
          <w:szCs w:val="16"/>
          <w:highlight w:val="white"/>
          <w:rtl w:val="0"/>
        </w:rPr>
        <w:t xml:space="preserve"> vigente.</w:t>
      </w:r>
      <w:r w:rsidDel="00000000" w:rsidR="00000000" w:rsidRPr="00000000">
        <w:rPr>
          <w:rtl w:val="0"/>
        </w:rPr>
      </w:r>
    </w:p>
  </w:footnote>
  <w:footnote w:id="1">
    <w:p w:rsidR="00000000" w:rsidDel="00000000" w:rsidP="00000000" w:rsidRDefault="00000000" w:rsidRPr="00000000" w14:paraId="00000080">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color w:val="212529"/>
          <w:sz w:val="23"/>
          <w:szCs w:val="23"/>
          <w:highlight w:val="white"/>
          <w:rtl w:val="0"/>
        </w:rPr>
        <w:t xml:space="preserve">.</w:t>
      </w:r>
      <w:r w:rsidDel="00000000" w:rsidR="00000000" w:rsidRPr="00000000">
        <w:rPr>
          <w:rFonts w:ascii="Arial Narrow" w:cs="Arial Narrow" w:eastAsia="Arial Narrow" w:hAnsi="Arial Narrow"/>
          <w:color w:val="212529"/>
          <w:sz w:val="16"/>
          <w:szCs w:val="16"/>
          <w:highlight w:val="white"/>
          <w:rtl w:val="0"/>
        </w:rPr>
        <w:t xml:space="preserve"> En el entendido que esa declaratoria impone, en primer lugar, verificar en la correspondiente audiencia, debidamente integrada, la legalidad de la </w:t>
      </w:r>
      <w:r w:rsidDel="00000000" w:rsidR="00000000" w:rsidRPr="00000000">
        <w:rPr>
          <w:rFonts w:ascii="Arial Narrow" w:cs="Arial Narrow" w:eastAsia="Arial Narrow" w:hAnsi="Arial Narrow"/>
          <w:color w:val="212529"/>
          <w:sz w:val="16"/>
          <w:szCs w:val="16"/>
          <w:rtl w:val="0"/>
        </w:rPr>
        <w:t xml:space="preserve">notificación</w:t>
      </w:r>
      <w:r w:rsidDel="00000000" w:rsidR="00000000" w:rsidRPr="00000000">
        <w:rPr>
          <w:rFonts w:ascii="Arial Narrow" w:cs="Arial Narrow" w:eastAsia="Arial Narrow" w:hAnsi="Arial Narrow"/>
          <w:color w:val="212529"/>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que se practicó; esto es, corroborar que el medio de comunicación procesal empleado se realizó en cumplimiento a las formalidades que la ley requiere, a fin de poder establecer que la persona era legalmente conocedora de la cita judicial; y luego, que la autoridad jurisdiccional, a través de los medios que las partes le provean,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ipervnculo">
    <w:name w:val="Hyperlink"/>
    <w:basedOn w:val="Fuentedeprrafopredeter"/>
    <w:uiPriority w:val="99"/>
    <w:unhideWhenUsed w:val="1"/>
    <w:rsid w:val="00EB1E15"/>
    <w:rPr>
      <w:color w:val="0563c1" w:themeColor="hyperlink"/>
      <w:u w:val="single"/>
    </w:rPr>
  </w:style>
  <w:style w:type="character" w:styleId="Mencinsinresolver">
    <w:name w:val="Unresolved Mention"/>
    <w:basedOn w:val="Fuentedeprrafopredeter"/>
    <w:uiPriority w:val="99"/>
    <w:semiHidden w:val="1"/>
    <w:unhideWhenUsed w:val="1"/>
    <w:rsid w:val="00EB1E15"/>
    <w:rPr>
      <w:color w:val="605e5c"/>
      <w:shd w:color="auto" w:fill="e1dfdd" w:val="clear"/>
    </w:rPr>
  </w:style>
  <w:style w:type="paragraph" w:styleId="Prrafodelista">
    <w:name w:val="List Paragraph"/>
    <w:basedOn w:val="Normal"/>
    <w:uiPriority w:val="34"/>
    <w:qFormat w:val="1"/>
    <w:rsid w:val="006C7C5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mearceomis@gmail.com"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fidelvillanueva@prodigy.net.m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HelveticaNeue-italic.ttf"/><Relationship Id="rId10" Type="http://schemas.openxmlformats.org/officeDocument/2006/relationships/font" Target="fonts/HelveticaNeue-bold.ttf"/><Relationship Id="rId13" Type="http://schemas.openxmlformats.org/officeDocument/2006/relationships/font" Target="fonts/NotoSansSymbols-regular.ttf"/><Relationship Id="rId12" Type="http://schemas.openxmlformats.org/officeDocument/2006/relationships/font" Target="fonts/HelveticaNeue-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HelveticaNeue-regular.ttf"/><Relationship Id="rId14" Type="http://schemas.openxmlformats.org/officeDocument/2006/relationships/font" Target="fonts/NotoSansSymbols-bold.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epXLV6/1n9rBIfPNQeQDuysCg==">CgMxLjA4AHIhMXJROUpoY05fSmg0N25ULUN3MkExMDZWWDludFMwOE1n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2025-09-03T19:49:00Z</dcterms:created>
  <dc:creator>CEJUM</dc:creator>
</cp:coreProperties>
</file>