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196/2026-B-2</w:t>
      </w:r>
    </w:p>
    <w:p w:rsidR="00000000" w:rsidDel="00000000" w:rsidP="00000000" w:rsidRDefault="00000000" w:rsidRPr="00000000" w14:paraId="00000002">
      <w:pPr>
        <w:ind w:left="0"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JUAN CARLOS GONZALEZ HERNANDEZ </w:t>
      </w:r>
    </w:p>
    <w:p w:rsidR="00000000" w:rsidDel="00000000" w:rsidP="00000000" w:rsidRDefault="00000000" w:rsidRPr="00000000" w14:paraId="00000004">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JUEZ DE INSTRUCCIÓN ADSCRITO AL JUZGADO CIVIL Y FAMILIAR ORAL DE PRIMERA INSTANCIA Y DIVERSAS. </w:t>
      </w:r>
    </w:p>
    <w:p w:rsidR="00000000" w:rsidDel="00000000" w:rsidP="00000000" w:rsidRDefault="00000000" w:rsidRPr="00000000" w14:paraId="00000005">
      <w:pPr>
        <w:spacing w:line="276"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76" w:lineRule="auto"/>
        <w:ind w:left="4536"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ASUNTO: </w:t>
      </w:r>
      <w:r w:rsidDel="00000000" w:rsidR="00000000" w:rsidRPr="00000000">
        <w:rPr>
          <w:rFonts w:ascii="Arial" w:cs="Arial" w:eastAsia="Arial" w:hAnsi="Arial"/>
          <w:rtl w:val="0"/>
        </w:rPr>
        <w:t xml:space="preserve">Se avisa a este juzgado federal que el quejoso  interpone recurso de queja contra del auto de fecha 05 de marzo del año 2026, en el cual se negó la suspensión provisional.</w:t>
      </w:r>
      <w:r w:rsidDel="00000000" w:rsidR="00000000" w:rsidRPr="00000000">
        <w:rPr>
          <w:rtl w:val="0"/>
        </w:rPr>
      </w:r>
    </w:p>
    <w:p w:rsidR="00000000" w:rsidDel="00000000" w:rsidP="00000000" w:rsidRDefault="00000000" w:rsidRPr="00000000" w14:paraId="00000007">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JUEZ NOVENO DE DISTRITO EN EL ESTADO DE QUINTANA ROO.</w:t>
      </w:r>
    </w:p>
    <w:p w:rsidR="00000000" w:rsidDel="00000000" w:rsidP="00000000" w:rsidRDefault="00000000" w:rsidRPr="00000000" w14:paraId="0000000A">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PRESENTE </w:t>
      </w:r>
    </w:p>
    <w:p w:rsidR="00000000" w:rsidDel="00000000" w:rsidP="00000000" w:rsidRDefault="00000000" w:rsidRPr="00000000" w14:paraId="0000000C">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 </w:t>
      </w:r>
      <w:r w:rsidDel="00000000" w:rsidR="00000000" w:rsidRPr="00000000">
        <w:rPr>
          <w:rFonts w:ascii="Arial" w:cs="Arial" w:eastAsia="Arial" w:hAnsi="Arial"/>
          <w:sz w:val="26"/>
          <w:szCs w:val="26"/>
          <w:rtl w:val="0"/>
        </w:rPr>
        <w:t xml:space="preserve">con la personalidad que se tiene debidamente reconocida como quejoso en el asunto que se cita al rubro, con el debido respeto comparezco para exponer lo siguiente:</w:t>
      </w:r>
      <w:r w:rsidDel="00000000" w:rsidR="00000000" w:rsidRPr="00000000">
        <w:rPr>
          <w:rtl w:val="0"/>
        </w:rPr>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0F">
      <w:pPr>
        <w:spacing w:after="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ocurso, respetuosamente se comparece a avisar a este Honorable Juzgado Federal que con esta fecha se ha interpuesto RECURSO DE QUEJA en términos del artículo </w:t>
      </w:r>
      <w:r w:rsidDel="00000000" w:rsidR="00000000" w:rsidRPr="00000000">
        <w:rPr>
          <w:rFonts w:ascii="Arial" w:cs="Arial" w:eastAsia="Arial" w:hAnsi="Arial"/>
          <w:rtl w:val="0"/>
        </w:rPr>
        <w:t xml:space="preserve">97, fracción I, inciso a) </w:t>
      </w:r>
      <w:r w:rsidDel="00000000" w:rsidR="00000000" w:rsidRPr="00000000">
        <w:rPr>
          <w:rFonts w:ascii="Arial" w:cs="Arial" w:eastAsia="Arial" w:hAnsi="Arial"/>
          <w:rtl w:val="0"/>
        </w:rPr>
        <w:t xml:space="preserve">de la Ley de Amparo contra EL ACUERDO de fecha 05 DE MARZO DE 2026 en la cual se DESECHÓ DE PLANO LA DEMANDA DE AMPARO, solicitando lo siguiente:</w:t>
      </w:r>
    </w:p>
    <w:p w:rsidR="00000000" w:rsidDel="00000000" w:rsidP="00000000" w:rsidRDefault="00000000" w:rsidRPr="00000000" w14:paraId="00000010">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Tener por interpuesta la presente queja.</w:t>
      </w:r>
    </w:p>
    <w:p w:rsidR="00000000" w:rsidDel="00000000" w:rsidP="00000000" w:rsidRDefault="00000000" w:rsidRPr="00000000" w14:paraId="00000011">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Certificar la fecha de notificación de dicha resolución y la fecha de interposición del recurso.</w:t>
      </w:r>
    </w:p>
    <w:p w:rsidR="00000000" w:rsidDel="00000000" w:rsidP="00000000" w:rsidRDefault="00000000" w:rsidRPr="00000000" w14:paraId="00000012">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 las copias que se acompañan de este escrito y el de expresión de agravios, correr traslado a las demás partes en el juicio, dando cumplimiento a lo dispuesto por el párrafo tercero del artículo 101 de la Ley de Amparo.</w:t>
      </w:r>
    </w:p>
    <w:p w:rsidR="00000000" w:rsidDel="00000000" w:rsidP="00000000" w:rsidRDefault="00000000" w:rsidRPr="00000000" w14:paraId="00000013">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Remitir los autos del presente recurso de queja interpuesto en contra del resolución de fecha 05 de marzo del año 2026, en el plazo máximo que para estos casos se encuentra establecido en el artículo 102 de la Ley de Amparo.</w:t>
      </w:r>
    </w:p>
    <w:p w:rsidR="00000000" w:rsidDel="00000000" w:rsidP="00000000" w:rsidRDefault="00000000" w:rsidRPr="00000000" w14:paraId="00000014">
      <w:pP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16">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mediante </w:t>
      </w:r>
      <w:r w:rsidDel="00000000" w:rsidR="00000000" w:rsidRPr="00000000">
        <w:rPr>
          <w:rFonts w:ascii="Arial" w:cs="Arial" w:eastAsia="Arial" w:hAnsi="Arial"/>
          <w:highlight w:val="white"/>
          <w:rtl w:val="0"/>
        </w:rPr>
        <w:t xml:space="preserve">notificación electronica e</w:t>
      </w:r>
      <w:r w:rsidDel="00000000" w:rsidR="00000000" w:rsidRPr="00000000">
        <w:rPr>
          <w:rFonts w:ascii="Arial" w:cs="Arial" w:eastAsia="Arial" w:hAnsi="Arial"/>
          <w:rtl w:val="0"/>
        </w:rPr>
        <w:t xml:space="preserve">l </w:t>
      </w:r>
      <w:r w:rsidDel="00000000" w:rsidR="00000000" w:rsidRPr="00000000">
        <w:rPr>
          <w:rFonts w:ascii="Arial" w:cs="Arial" w:eastAsia="Arial" w:hAnsi="Arial"/>
          <w:rtl w:val="0"/>
        </w:rPr>
        <w:t xml:space="preserve">martes 10 </w:t>
      </w:r>
      <w:r w:rsidDel="00000000" w:rsidR="00000000" w:rsidRPr="00000000">
        <w:rPr>
          <w:rFonts w:ascii="Arial" w:cs="Arial" w:eastAsia="Arial" w:hAnsi="Arial"/>
          <w:rtl w:val="0"/>
        </w:rPr>
        <w:t xml:space="preserve">de marzo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17">
      <w:pPr>
        <w:shd w:fill="ffffff" w:val="clear"/>
        <w:spacing w:line="360" w:lineRule="auto"/>
        <w:jc w:val="both"/>
        <w:rPr>
          <w:rFonts w:ascii="Arial" w:cs="Arial" w:eastAsia="Arial" w:hAnsi="Arial"/>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1D">
            <w:pPr>
              <w:spacing w:line="360" w:lineRule="auto"/>
              <w:rPr>
                <w:rFonts w:ascii="Arial" w:cs="Arial" w:eastAsia="Arial" w:hAnsi="Arial"/>
              </w:rPr>
            </w:pPr>
            <w:r w:rsidDel="00000000" w:rsidR="00000000" w:rsidRPr="00000000">
              <w:rPr>
                <w:rFonts w:ascii="Arial" w:cs="Arial" w:eastAsia="Arial" w:hAnsi="Arial"/>
                <w:rtl w:val="0"/>
              </w:rPr>
              <w:t xml:space="preserve">11 de marzo de 2026</w:t>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13 de marzo de 2026</w:t>
            </w:r>
          </w:p>
          <w:p w:rsidR="00000000" w:rsidDel="00000000" w:rsidP="00000000" w:rsidRDefault="00000000" w:rsidRPr="00000000" w14:paraId="00000021">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23">
            <w:pPr>
              <w:spacing w:line="360" w:lineRule="auto"/>
              <w:rPr>
                <w:rFonts w:ascii="Arial" w:cs="Arial" w:eastAsia="Arial" w:hAnsi="Arial"/>
              </w:rPr>
            </w:pPr>
            <w:r w:rsidDel="00000000" w:rsidR="00000000" w:rsidRPr="00000000">
              <w:rPr>
                <w:rFonts w:ascii="Arial" w:cs="Arial" w:eastAsia="Arial" w:hAnsi="Arial"/>
                <w:rtl w:val="0"/>
              </w:rPr>
              <w:t xml:space="preserve">17 </w:t>
            </w:r>
            <w:r w:rsidDel="00000000" w:rsidR="00000000" w:rsidRPr="00000000">
              <w:rPr>
                <w:rFonts w:ascii="Arial" w:cs="Arial" w:eastAsia="Arial" w:hAnsi="Arial"/>
                <w:rtl w:val="0"/>
              </w:rPr>
              <w:t xml:space="preserve">de marzo de 2026</w:t>
            </w:r>
          </w:p>
          <w:p w:rsidR="00000000" w:rsidDel="00000000" w:rsidP="00000000" w:rsidRDefault="00000000" w:rsidRPr="00000000" w14:paraId="00000024">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5">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27">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Por lo expuesto y fundado, a Usted H. Juez Noveno de Distrito en el Estado de Quintana Roo, de la manera más atenta se le solicita:</w:t>
      </w:r>
    </w:p>
    <w:p w:rsidR="00000000" w:rsidDel="00000000" w:rsidP="00000000" w:rsidRDefault="00000000" w:rsidRPr="00000000" w14:paraId="00000029">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Tener por presentada a la parte quejosa en los términos del presente escrito interponiendo la queja contra la resolución de fecha 05 de marzo del año 2026</w:t>
      </w:r>
    </w:p>
    <w:p w:rsidR="00000000" w:rsidDel="00000000" w:rsidP="00000000" w:rsidRDefault="00000000" w:rsidRPr="00000000" w14:paraId="0000002A">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Realizar la certificación solicitada y distribución de las copias de traslado entre las partes, procediendo a la remisión del asunto dentro de los plazos y términos establecidos en el artículo 101 de la ley de amparo</w:t>
      </w:r>
    </w:p>
    <w:p w:rsidR="00000000" w:rsidDel="00000000" w:rsidP="00000000" w:rsidRDefault="00000000" w:rsidRPr="00000000" w14:paraId="0000002B">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En su oportunidad, remitir los autos al Tribunal colegiado de circuito que por turno corresponda.</w:t>
      </w:r>
      <w:r w:rsidDel="00000000" w:rsidR="00000000" w:rsidRPr="00000000">
        <w:rPr>
          <w:rtl w:val="0"/>
        </w:rPr>
      </w:r>
    </w:p>
    <w:p w:rsidR="00000000" w:rsidDel="00000000" w:rsidP="00000000" w:rsidRDefault="00000000" w:rsidRPr="00000000" w14:paraId="0000002C">
      <w:pPr>
        <w:spacing w:after="160" w:before="24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D">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160" w:before="24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w:t>
      </w:r>
    </w:p>
    <w:p w:rsidR="00000000" w:rsidDel="00000000" w:rsidP="00000000" w:rsidRDefault="00000000" w:rsidRPr="00000000" w14:paraId="00000030">
      <w:pPr>
        <w:spacing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tl w:val="0"/>
        </w:rPr>
      </w:r>
    </w:p>
    <w:p w:rsidR="00000000" w:rsidDel="00000000" w:rsidP="00000000" w:rsidRDefault="00000000" w:rsidRPr="00000000" w14:paraId="00000031">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06 </w:t>
      </w:r>
      <w:r w:rsidDel="00000000" w:rsidR="00000000" w:rsidRPr="00000000">
        <w:rPr>
          <w:rFonts w:ascii="Arial" w:cs="Arial" w:eastAsia="Arial" w:hAnsi="Arial"/>
          <w:b w:val="1"/>
          <w:bCs w:val="1"/>
          <w:rtl w:val="0"/>
        </w:rPr>
        <w:t xml:space="preserve">DE MARZO DEL AÑO 2026, PLAYA DEL CARME, QUINTANA ROO.</w:t>
      </w:r>
      <w:r w:rsidDel="00000000" w:rsidR="00000000" w:rsidRPr="00000000">
        <w:rPr>
          <w:rtl w:val="0"/>
        </w:rPr>
      </w:r>
    </w:p>
    <w:p w:rsidR="00000000" w:rsidDel="00000000" w:rsidP="00000000" w:rsidRDefault="00000000" w:rsidRPr="00000000" w14:paraId="00000032">
      <w:pPr>
        <w:tabs>
          <w:tab w:val="left" w:leader="none" w:pos="2972"/>
        </w:tabs>
        <w:spacing w:line="36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33">
      <w:pPr>
        <w:spacing w:after="16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4">
      <w:pPr>
        <w:spacing w:after="160" w:line="256.7994545454545"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w:t>
        <w:tab/>
        <w:tab/>
        <w:tab/>
        <w:tab/>
        <w:tab/>
        <w:tab/>
      </w:r>
    </w:p>
    <w:p w:rsidR="00000000" w:rsidDel="00000000" w:rsidP="00000000" w:rsidRDefault="00000000" w:rsidRPr="00000000" w14:paraId="00000035">
      <w:pPr>
        <w:spacing w:after="160" w:line="256.7994545454545"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spacing w:after="160" w:line="256.7994545454545" w:lineRule="auto"/>
        <w:ind w:left="360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after="160" w:line="256.7994545454545"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after="160" w:line="256.7994545454545" w:lineRule="auto"/>
        <w:ind w:left="360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QUEJA</w:t>
      </w:r>
    </w:p>
    <w:p w:rsidR="00000000" w:rsidDel="00000000" w:rsidP="00000000" w:rsidRDefault="00000000" w:rsidRPr="00000000" w14:paraId="00000041">
      <w:pPr>
        <w:ind w:left="4320"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AMPARO INDIRECTO 196/2026-B-2</w:t>
      </w:r>
    </w:p>
    <w:p w:rsidR="00000000" w:rsidDel="00000000" w:rsidP="00000000" w:rsidRDefault="00000000" w:rsidRPr="00000000" w14:paraId="00000042">
      <w:pPr>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3">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JUAN CARLOS GONZALEZ HERNANDEZ </w:t>
      </w:r>
    </w:p>
    <w:p w:rsidR="00000000" w:rsidDel="00000000" w:rsidP="00000000" w:rsidRDefault="00000000" w:rsidRPr="00000000" w14:paraId="00000044">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AUTORIDAD RESPONSABLE: JUEZ DE INSTRUCCIÓN ADSCRITO AL JUZGADO CIVIL Y FAMILIAR ORAL DE PRIMERA INSTANCIA Y DIVERSAS. </w:t>
      </w:r>
    </w:p>
    <w:p w:rsidR="00000000" w:rsidDel="00000000" w:rsidP="00000000" w:rsidRDefault="00000000" w:rsidRPr="00000000" w14:paraId="00000045">
      <w:pPr>
        <w:spacing w:after="109" w:line="360" w:lineRule="auto"/>
        <w:ind w:left="4077" w:right="14" w:hanging="1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46">
      <w:pPr>
        <w:spacing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MAGISTRADOS INTEGRANTES DEL TRIBUNAL COLEGIADO DEL VIGÉSIMO SÉPTIMO CIRCUITO, CON RESIDENCIA EN ESTADO DE QUINTANA ROO.</w:t>
      </w:r>
    </w:p>
    <w:p w:rsidR="00000000" w:rsidDel="00000000" w:rsidP="00000000" w:rsidRDefault="00000000" w:rsidRPr="00000000" w14:paraId="0000004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4A">
      <w:pPr>
        <w:spacing w:line="360" w:lineRule="auto"/>
        <w:jc w:val="both"/>
        <w:rPr>
          <w:rFonts w:ascii="Arial" w:cs="Arial" w:eastAsia="Arial" w:hAnsi="Arial"/>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el ubicado en  las oficinas del Corporativo de Especialidades Juridicas de México, ubicado en Boulevard Kukulkán KM 25, Manzana 60, Lote 5-02, Sección D Tercera Etapa, en la Zona Hotelera, (Delfinario Dolphin Discovery Cancún),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 la Licenciada María Estefany Arceo Mis con cédula profesional 12732758 y a la Licenciada Eleonor Ortega Valles con cédula profesional 2465840 para recibir notificaciones personales e imponerse en autos y tener acceso al expediente, y así mismo autorizo para recibir toda clase de notificaciones, documentos o valores, así como imponer en autos al pasante en derecho Alberto Arturo Pegueros Castillo, y a los ciudadanos Fidel Arturo Ladron de Guevara Bravo y Sergio Alejandro Rasso Sosa,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rtl w:val="0"/>
        </w:rPr>
        <w:t xml:space="preserve">“marceomis”</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u w:val="single"/>
          <w:rtl w:val="0"/>
        </w:rPr>
        <w:t xml:space="preserve">mearceomis@g</w:t>
      </w:r>
      <w:hyperlink r:id="rId7">
        <w:r w:rsidDel="00000000" w:rsidR="00000000" w:rsidRPr="00000000">
          <w:rPr>
            <w:rFonts w:ascii="Arial" w:cs="Arial" w:eastAsia="Arial" w:hAnsi="Arial"/>
            <w:b w:val="1"/>
            <w:bCs w:val="1"/>
            <w:u w:val="single"/>
            <w:rtl w:val="0"/>
          </w:rPr>
          <w:t xml:space="preserve">mai</w:t>
        </w:r>
      </w:hyperlink>
      <w:hyperlink r:id="rId8">
        <w:r w:rsidDel="00000000" w:rsidR="00000000" w:rsidRPr="00000000">
          <w:rPr>
            <w:rFonts w:ascii="Arial" w:cs="Arial" w:eastAsia="Arial" w:hAnsi="Arial"/>
            <w:b w:val="1"/>
            <w:bCs w:val="1"/>
            <w:u w:val="single"/>
            <w:rtl w:val="0"/>
          </w:rPr>
          <w:t xml:space="preserve">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alvaro_pegueros</w:t>
      </w:r>
      <w:r w:rsidDel="00000000" w:rsidR="00000000" w:rsidRPr="00000000">
        <w:rPr>
          <w:rFonts w:ascii="Arial" w:cs="Arial" w:eastAsia="Arial" w:hAnsi="Arial"/>
          <w:rtl w:val="0"/>
        </w:rPr>
        <w:t xml:space="preserve">” con correo electrónico “</w:t>
      </w:r>
      <w:hyperlink r:id="rId9">
        <w:r w:rsidDel="00000000" w:rsidR="00000000" w:rsidRPr="00000000">
          <w:rPr>
            <w:rFonts w:ascii="Arial" w:cs="Arial" w:eastAsia="Arial" w:hAnsi="Arial"/>
            <w:b w:val="1"/>
            <w:bCs w:val="1"/>
            <w:u w:val="single"/>
            <w:rtl w:val="0"/>
          </w:rPr>
          <w:t xml:space="preserve">alvaro_pegueros@hotmail.com</w:t>
        </w:r>
      </w:hyperlink>
      <w:r w:rsidDel="00000000" w:rsidR="00000000" w:rsidRPr="00000000">
        <w:rPr>
          <w:rFonts w:ascii="Arial" w:cs="Arial" w:eastAsia="Arial" w:hAnsi="Arial"/>
          <w:rtl w:val="0"/>
        </w:rPr>
        <w:t xml:space="preserve">”,y </w:t>
      </w:r>
      <w:r w:rsidDel="00000000" w:rsidR="00000000" w:rsidRPr="00000000">
        <w:rPr>
          <w:rFonts w:ascii="Arial" w:cs="Arial" w:eastAsia="Arial" w:hAnsi="Arial"/>
          <w:b w:val="1"/>
          <w:bCs w:val="1"/>
          <w:rtl w:val="0"/>
        </w:rPr>
        <w:t xml:space="preserve">“fidelvillanueva”</w:t>
      </w:r>
      <w:r w:rsidDel="00000000" w:rsidR="00000000" w:rsidRPr="00000000">
        <w:rPr>
          <w:rFonts w:ascii="Arial" w:cs="Arial" w:eastAsia="Arial" w:hAnsi="Arial"/>
          <w:rtl w:val="0"/>
        </w:rPr>
        <w:t xml:space="preserve"> con correo electrónico registrado como </w:t>
      </w:r>
      <w:r w:rsidDel="00000000" w:rsidR="00000000" w:rsidRPr="00000000">
        <w:rPr>
          <w:rFonts w:ascii="Arial" w:cs="Arial" w:eastAsia="Arial" w:hAnsi="Arial"/>
          <w:b w:val="1"/>
          <w:bCs w:val="1"/>
          <w:rtl w:val="0"/>
        </w:rPr>
        <w:t xml:space="preserve">“</w:t>
      </w:r>
      <w:hyperlink r:id="rId10">
        <w:r w:rsidDel="00000000" w:rsidR="00000000" w:rsidRPr="00000000">
          <w:rPr>
            <w:rFonts w:ascii="Arial" w:cs="Arial" w:eastAsia="Arial" w:hAnsi="Arial"/>
            <w:b w:val="1"/>
            <w:bCs w:val="1"/>
            <w:u w:val="single"/>
            <w:rtl w:val="0"/>
          </w:rPr>
          <w:t xml:space="preserve">notificaciones@cejum.com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4B">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medio del presente escrito y con fundamento en los artículos 103, fracción I y 107, párrafo primero, de la Constitución Política de los Estados Unidos Mexicanos; 97 fracción I inciso a) de la Ley de Amparo; se interpone </w:t>
      </w:r>
      <w:r w:rsidDel="00000000" w:rsidR="00000000" w:rsidRPr="00000000">
        <w:rPr>
          <w:rFonts w:ascii="Arial" w:cs="Arial" w:eastAsia="Arial" w:hAnsi="Arial"/>
          <w:b w:val="1"/>
          <w:bCs w:val="1"/>
          <w:rtl w:val="0"/>
        </w:rPr>
        <w:t xml:space="preserve">RECURSO DE QUEJA</w:t>
      </w:r>
      <w:r w:rsidDel="00000000" w:rsidR="00000000" w:rsidRPr="00000000">
        <w:rPr>
          <w:rFonts w:ascii="Arial" w:cs="Arial" w:eastAsia="Arial" w:hAnsi="Arial"/>
          <w:rtl w:val="0"/>
        </w:rPr>
        <w:t xml:space="preserve"> en contra del acuerdo de fecha </w:t>
      </w:r>
      <w:r w:rsidDel="00000000" w:rsidR="00000000" w:rsidRPr="00000000">
        <w:rPr>
          <w:rFonts w:ascii="Arial" w:cs="Arial" w:eastAsia="Arial" w:hAnsi="Arial"/>
          <w:b w:val="1"/>
          <w:bCs w:val="1"/>
          <w:rtl w:val="0"/>
        </w:rPr>
        <w:t xml:space="preserve">05 de marzo del año 2026</w:t>
      </w:r>
      <w:r w:rsidDel="00000000" w:rsidR="00000000" w:rsidRPr="00000000">
        <w:rPr>
          <w:rFonts w:ascii="Arial" w:cs="Arial" w:eastAsia="Arial" w:hAnsi="Arial"/>
          <w:rtl w:val="0"/>
        </w:rPr>
        <w:t xml:space="preserve">, emitido por el Juez Noveno de Distrito en el Estado de Quintana Roo dictado en el expediente del amparo indirecto 196/2026, acuerdo en el cual DESECHO DE PLANO LA DEMANDA DE AMPARO.</w:t>
      </w:r>
    </w:p>
    <w:p w:rsidR="00000000" w:rsidDel="00000000" w:rsidP="00000000" w:rsidRDefault="00000000" w:rsidRPr="00000000" w14:paraId="0000004C">
      <w:pPr>
        <w:shd w:fill="ffffff" w:val="clear"/>
        <w:jc w:val="both"/>
        <w:rPr>
          <w:rFonts w:ascii="Arial Black" w:cs="Arial Black" w:eastAsia="Arial Black" w:hAnsi="Arial Black"/>
          <w:b w:val="1"/>
          <w:bCs w:val="1"/>
          <w:i w:val="1"/>
          <w:iCs w:val="1"/>
        </w:rPr>
      </w:pPr>
      <w:r w:rsidDel="00000000" w:rsidR="00000000" w:rsidRPr="00000000">
        <w:rPr>
          <w:rtl w:val="0"/>
        </w:rPr>
      </w:r>
    </w:p>
    <w:p w:rsidR="00000000" w:rsidDel="00000000" w:rsidP="00000000" w:rsidRDefault="00000000" w:rsidRPr="00000000" w14:paraId="0000004D">
      <w:pPr>
        <w:shd w:fill="ffffff" w:val="clear"/>
        <w:jc w:val="center"/>
        <w:rPr>
          <w:rFonts w:ascii="Arial" w:cs="Arial" w:eastAsia="Arial" w:hAnsi="Arial"/>
          <w:b w:val="1"/>
          <w:bCs w:val="1"/>
        </w:rPr>
      </w:pPr>
      <w:r w:rsidDel="00000000" w:rsidR="00000000" w:rsidRPr="00000000">
        <w:rPr>
          <w:rFonts w:ascii="Arial" w:cs="Arial" w:eastAsia="Arial" w:hAnsi="Arial"/>
          <w:b w:val="1"/>
          <w:bCs w:val="1"/>
          <w:rtl w:val="0"/>
        </w:rPr>
        <w:t xml:space="preserve">OPORTUNIDAD DE LA PRESENTACIÓN</w:t>
      </w:r>
    </w:p>
    <w:p w:rsidR="00000000" w:rsidDel="00000000" w:rsidP="00000000" w:rsidRDefault="00000000" w:rsidRPr="00000000" w14:paraId="0000004E">
      <w:pPr>
        <w:shd w:fill="ffffff" w:val="clea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shd w:fill="ffffff" w:val="clea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La notificacion de la resolucion en el que acordo se desecho la demanda de amparo indirecto se realizó mediante </w:t>
      </w:r>
      <w:r w:rsidDel="00000000" w:rsidR="00000000" w:rsidRPr="00000000">
        <w:rPr>
          <w:rFonts w:ascii="Arial" w:cs="Arial" w:eastAsia="Arial" w:hAnsi="Arial"/>
          <w:highlight w:val="white"/>
          <w:rtl w:val="0"/>
        </w:rPr>
        <w:t xml:space="preserve">notificación electronica </w:t>
      </w:r>
      <w:r w:rsidDel="00000000" w:rsidR="00000000" w:rsidRPr="00000000">
        <w:rPr>
          <w:rFonts w:ascii="Arial" w:cs="Arial" w:eastAsia="Arial" w:hAnsi="Arial"/>
          <w:rtl w:val="0"/>
        </w:rPr>
        <w:t xml:space="preserve">el martes 10 </w:t>
      </w:r>
      <w:r w:rsidDel="00000000" w:rsidR="00000000" w:rsidRPr="00000000">
        <w:rPr>
          <w:rFonts w:ascii="Arial" w:cs="Arial" w:eastAsia="Arial" w:hAnsi="Arial"/>
          <w:rtl w:val="0"/>
        </w:rPr>
        <w:t xml:space="preserve">de marzo de 2026; razones por las cuales, si en materia amparo, el plazo empezará a correr al dia siguiente de que surta efectos la notificación tal como establece el artículo 22</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de la Ley en materia y las notificaciones surten sus efectos al día hábil siguiente al de la notificación, de conformidad con la fracción II del artículo 31 de la Ley de Amparo, el suscrito se encuentra en tiempo para presentar este recurso a la luz del siguiente análisis: </w:t>
      </w:r>
    </w:p>
    <w:p w:rsidR="00000000" w:rsidDel="00000000" w:rsidP="00000000" w:rsidRDefault="00000000" w:rsidRPr="00000000" w14:paraId="00000050">
      <w:pPr>
        <w:shd w:fill="ffffff" w:val="clear"/>
        <w:spacing w:line="360" w:lineRule="auto"/>
        <w:jc w:val="both"/>
        <w:rPr>
          <w:rFonts w:ascii="Arial" w:cs="Arial" w:eastAsia="Arial" w:hAnsi="Arial"/>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4405"/>
        <w:tblGridChange w:id="0">
          <w:tblGrid>
            <w:gridCol w:w="4423"/>
            <w:gridCol w:w="4405"/>
          </w:tblGrid>
        </w:tblGridChange>
      </w:tblGrid>
      <w:tr>
        <w:trPr>
          <w:cantSplit w:val="0"/>
          <w:tblHeader w:val="0"/>
        </w:trPr>
        <w:tc>
          <w:tcPr/>
          <w:p w:rsidR="00000000" w:rsidDel="00000000" w:rsidP="00000000" w:rsidRDefault="00000000" w:rsidRPr="00000000" w14:paraId="00000051">
            <w:pPr>
              <w:spacing w:line="360" w:lineRule="auto"/>
              <w:rPr>
                <w:rFonts w:ascii="Arial" w:cs="Arial" w:eastAsia="Arial" w:hAnsi="Arial"/>
              </w:rPr>
            </w:pPr>
            <w:r w:rsidDel="00000000" w:rsidR="00000000" w:rsidRPr="00000000">
              <w:rPr>
                <w:rFonts w:ascii="Arial" w:cs="Arial" w:eastAsia="Arial" w:hAnsi="Arial"/>
                <w:rtl w:val="0"/>
              </w:rPr>
              <w:t xml:space="preserve">Día en que fui notificado.</w:t>
            </w:r>
          </w:p>
        </w:tc>
        <w:tc>
          <w:tcPr/>
          <w:p w:rsidR="00000000" w:rsidDel="00000000" w:rsidP="00000000" w:rsidRDefault="00000000" w:rsidRPr="00000000" w14:paraId="00000052">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53">
            <w:pPr>
              <w:spacing w:line="360" w:lineRule="auto"/>
              <w:rPr>
                <w:rFonts w:ascii="Arial" w:cs="Arial" w:eastAsia="Arial" w:hAnsi="Arial"/>
              </w:rPr>
            </w:pPr>
            <w:r w:rsidDel="00000000" w:rsidR="00000000" w:rsidRPr="00000000">
              <w:rPr>
                <w:rFonts w:ascii="Arial" w:cs="Arial" w:eastAsia="Arial" w:hAnsi="Arial"/>
                <w:rtl w:val="0"/>
              </w:rPr>
              <w:t xml:space="preserve">Día en que surte efectos la notificación.</w:t>
            </w:r>
          </w:p>
        </w:tc>
        <w:tc>
          <w:tcPr/>
          <w:p w:rsidR="00000000" w:rsidDel="00000000" w:rsidP="00000000" w:rsidRDefault="00000000" w:rsidRPr="00000000" w14:paraId="00000054">
            <w:pPr>
              <w:spacing w:line="360" w:lineRule="auto"/>
              <w:rPr>
                <w:rFonts w:ascii="Arial" w:cs="Arial" w:eastAsia="Arial" w:hAnsi="Arial"/>
              </w:rPr>
            </w:pPr>
            <w:r w:rsidDel="00000000" w:rsidR="00000000" w:rsidRPr="00000000">
              <w:rPr>
                <w:rFonts w:ascii="Arial" w:cs="Arial" w:eastAsia="Arial" w:hAnsi="Arial"/>
                <w:rtl w:val="0"/>
              </w:rPr>
              <w:t xml:space="preserve">10 de marzo de 2026</w:t>
            </w:r>
          </w:p>
        </w:tc>
      </w:tr>
      <w:tr>
        <w:trPr>
          <w:cantSplit w:val="0"/>
          <w:tblHeader w:val="0"/>
        </w:trPr>
        <w:tc>
          <w:tcPr/>
          <w:p w:rsidR="00000000" w:rsidDel="00000000" w:rsidP="00000000" w:rsidRDefault="00000000" w:rsidRPr="00000000" w14:paraId="00000055">
            <w:pPr>
              <w:spacing w:line="360" w:lineRule="auto"/>
              <w:rPr>
                <w:rFonts w:ascii="Arial" w:cs="Arial" w:eastAsia="Arial" w:hAnsi="Arial"/>
              </w:rPr>
            </w:pPr>
            <w:r w:rsidDel="00000000" w:rsidR="00000000" w:rsidRPr="00000000">
              <w:rPr>
                <w:rFonts w:ascii="Arial" w:cs="Arial" w:eastAsia="Arial" w:hAnsi="Arial"/>
                <w:rtl w:val="0"/>
              </w:rPr>
              <w:t xml:space="preserve">Día en que empieza a correr el término (5 días).</w:t>
            </w:r>
          </w:p>
        </w:tc>
        <w:tc>
          <w:tcPr/>
          <w:p w:rsidR="00000000" w:rsidDel="00000000" w:rsidP="00000000" w:rsidRDefault="00000000" w:rsidRPr="00000000" w14:paraId="00000056">
            <w:pPr>
              <w:spacing w:line="360" w:lineRule="auto"/>
              <w:rPr>
                <w:rFonts w:ascii="Arial" w:cs="Arial" w:eastAsia="Arial" w:hAnsi="Arial"/>
              </w:rPr>
            </w:pPr>
            <w:r w:rsidDel="00000000" w:rsidR="00000000" w:rsidRPr="00000000">
              <w:rPr>
                <w:rFonts w:ascii="Arial" w:cs="Arial" w:eastAsia="Arial" w:hAnsi="Arial"/>
                <w:rtl w:val="0"/>
              </w:rPr>
              <w:t xml:space="preserve">11 de marzo de 2026</w:t>
            </w:r>
          </w:p>
          <w:p w:rsidR="00000000" w:rsidDel="00000000" w:rsidP="00000000" w:rsidRDefault="00000000" w:rsidRPr="00000000" w14:paraId="00000057">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360" w:lineRule="auto"/>
              <w:rPr>
                <w:rFonts w:ascii="Arial" w:cs="Arial" w:eastAsia="Arial" w:hAnsi="Arial"/>
              </w:rPr>
            </w:pPr>
            <w:r w:rsidDel="00000000" w:rsidR="00000000" w:rsidRPr="00000000">
              <w:rPr>
                <w:rFonts w:ascii="Arial" w:cs="Arial" w:eastAsia="Arial" w:hAnsi="Arial"/>
                <w:rtl w:val="0"/>
              </w:rPr>
              <w:t xml:space="preserve">Fecha en que se interpone el recurso de queja.</w:t>
            </w:r>
          </w:p>
        </w:tc>
        <w:tc>
          <w:tcPr/>
          <w:p w:rsidR="00000000" w:rsidDel="00000000" w:rsidP="00000000" w:rsidRDefault="00000000" w:rsidRPr="00000000" w14:paraId="00000059">
            <w:pPr>
              <w:spacing w:line="360" w:lineRule="auto"/>
              <w:rPr>
                <w:rFonts w:ascii="Arial" w:cs="Arial" w:eastAsia="Arial" w:hAnsi="Arial"/>
              </w:rPr>
            </w:pPr>
            <w:r w:rsidDel="00000000" w:rsidR="00000000" w:rsidRPr="00000000">
              <w:rPr>
                <w:rFonts w:ascii="Arial" w:cs="Arial" w:eastAsia="Arial" w:hAnsi="Arial"/>
                <w:rtl w:val="0"/>
              </w:rPr>
              <w:t xml:space="preserve">13 de marzo de 2026</w:t>
            </w:r>
          </w:p>
          <w:p w:rsidR="00000000" w:rsidDel="00000000" w:rsidP="00000000" w:rsidRDefault="00000000" w:rsidRPr="00000000" w14:paraId="0000005A">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360" w:lineRule="auto"/>
              <w:rPr>
                <w:rFonts w:ascii="Arial" w:cs="Arial" w:eastAsia="Arial" w:hAnsi="Arial"/>
              </w:rPr>
            </w:pPr>
            <w:r w:rsidDel="00000000" w:rsidR="00000000" w:rsidRPr="00000000">
              <w:rPr>
                <w:rFonts w:ascii="Arial" w:cs="Arial" w:eastAsia="Arial" w:hAnsi="Arial"/>
                <w:rtl w:val="0"/>
              </w:rPr>
              <w:t xml:space="preserve">Último día para la presentación del recurso.</w:t>
            </w:r>
          </w:p>
        </w:tc>
        <w:tc>
          <w:tcPr/>
          <w:p w:rsidR="00000000" w:rsidDel="00000000" w:rsidP="00000000" w:rsidRDefault="00000000" w:rsidRPr="00000000" w14:paraId="0000005C">
            <w:pPr>
              <w:spacing w:line="360" w:lineRule="auto"/>
              <w:rPr>
                <w:rFonts w:ascii="Arial" w:cs="Arial" w:eastAsia="Arial" w:hAnsi="Arial"/>
              </w:rPr>
            </w:pPr>
            <w:r w:rsidDel="00000000" w:rsidR="00000000" w:rsidRPr="00000000">
              <w:rPr>
                <w:rFonts w:ascii="Arial" w:cs="Arial" w:eastAsia="Arial" w:hAnsi="Arial"/>
                <w:rtl w:val="0"/>
              </w:rPr>
              <w:t xml:space="preserve">17 de marzo de 2026</w:t>
            </w:r>
          </w:p>
          <w:p w:rsidR="00000000" w:rsidDel="00000000" w:rsidP="00000000" w:rsidRDefault="00000000" w:rsidRPr="00000000" w14:paraId="0000005D">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line="360" w:lineRule="auto"/>
        <w:ind w:firstLine="700"/>
        <w:jc w:val="both"/>
        <w:rPr>
          <w:rFonts w:ascii="Arial" w:cs="Arial" w:eastAsia="Arial" w:hAnsi="Arial"/>
        </w:rPr>
      </w:pPr>
      <w:r w:rsidDel="00000000" w:rsidR="00000000" w:rsidRPr="00000000">
        <w:rPr>
          <w:rFonts w:ascii="Arial" w:cs="Arial" w:eastAsia="Arial" w:hAnsi="Arial"/>
          <w:rtl w:val="0"/>
        </w:rPr>
        <w:t xml:space="preserve">Toda vez que el presente recurso se interpone en tiempo dentro del término establecido por la Ley de Amparo, debe reconocerse su oportunidad.</w:t>
      </w:r>
    </w:p>
    <w:p w:rsidR="00000000" w:rsidDel="00000000" w:rsidP="00000000" w:rsidRDefault="00000000" w:rsidRPr="00000000" w14:paraId="00000060">
      <w:pPr>
        <w:spacing w:line="360" w:lineRule="auto"/>
        <w:ind w:firstLine="700"/>
        <w:jc w:val="both"/>
        <w:rPr>
          <w:rFonts w:ascii="Arial" w:cs="Arial" w:eastAsia="Arial" w:hAnsi="Arial"/>
        </w:rPr>
      </w:pPr>
      <w:r w:rsidDel="00000000" w:rsidR="00000000" w:rsidRPr="00000000">
        <w:rPr>
          <w:rtl w:val="0"/>
        </w:rPr>
      </w:r>
    </w:p>
    <w:p w:rsidR="00000000" w:rsidDel="00000000" w:rsidP="00000000" w:rsidRDefault="00000000" w:rsidRPr="00000000" w14:paraId="00000061">
      <w:pPr>
        <w:spacing w:line="360" w:lineRule="auto"/>
        <w:jc w:val="center"/>
        <w:rPr>
          <w:rFonts w:ascii="Arial Black" w:cs="Arial Black" w:eastAsia="Arial Black" w:hAnsi="Arial Black"/>
          <w:b w:val="1"/>
          <w:bCs w:val="1"/>
        </w:rPr>
      </w:pPr>
      <w:r w:rsidDel="00000000" w:rsidR="00000000" w:rsidRPr="00000000">
        <w:rPr>
          <w:rFonts w:ascii="Arial Black" w:cs="Arial Black" w:eastAsia="Arial Black" w:hAnsi="Arial Black"/>
          <w:b w:val="1"/>
          <w:bCs w:val="1"/>
          <w:rtl w:val="0"/>
        </w:rPr>
        <w:t xml:space="preserve">PROCEDENCIA</w:t>
      </w:r>
    </w:p>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Fonts w:ascii="Arial" w:cs="Arial" w:eastAsia="Arial" w:hAnsi="Arial"/>
          <w:rtl w:val="0"/>
        </w:rPr>
        <w:t xml:space="preserve">Es procedente el recurso de queja toda vez que se interpone contra la resolución dictada en amparo indirecto por Juez de Distrito en donde desecho de plano la demanda de amparo promovido por la parte quejosa, lo que actualiza las hipótesis previstas por el inciso a) de la fracción I, del artículo 97 de la Ley de Amparo en vigor.</w:t>
      </w:r>
    </w:p>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tabs>
          <w:tab w:val="left" w:leader="none" w:pos="2972"/>
        </w:tabs>
        <w:spacing w:line="360"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AGRAVIOS </w:t>
      </w:r>
    </w:p>
    <w:p w:rsidR="00000000" w:rsidDel="00000000" w:rsidP="00000000" w:rsidRDefault="00000000" w:rsidRPr="00000000" w14:paraId="00000066">
      <w:pPr>
        <w:tabs>
          <w:tab w:val="left" w:leader="none" w:pos="2972"/>
        </w:tabs>
        <w:spacing w:line="360" w:lineRule="auto"/>
        <w:jc w:val="center"/>
        <w:rPr>
          <w:rFonts w:ascii="Arial Black" w:cs="Arial Black" w:eastAsia="Arial Black" w:hAnsi="Arial Black"/>
          <w:b w:val="1"/>
          <w:bCs w:val="1"/>
        </w:rPr>
      </w:pPr>
      <w:r w:rsidDel="00000000" w:rsidR="00000000" w:rsidRPr="00000000">
        <w:rPr>
          <w:rtl w:val="0"/>
        </w:rPr>
      </w:r>
    </w:p>
    <w:p w:rsidR="00000000" w:rsidDel="00000000" w:rsidP="00000000" w:rsidRDefault="00000000" w:rsidRPr="00000000" w14:paraId="00000067">
      <w:pPr>
        <w:tabs>
          <w:tab w:val="left" w:leader="none" w:pos="2972"/>
        </w:tabs>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GENERAL: EN EL ACUERDO DE FECHA 05 DE MARZO DEL AÑO 2026, QUE SE RECURRE SE PRECISA LO QUE CAUSA EL AGRAVIO GENERAL EN LAS FOJAS 5 Y 6 DE LA RESOLUCIÓN DICTADA, EN DONDE SE ESTABLECE:</w:t>
      </w:r>
    </w:p>
    <w:p w:rsidR="00000000" w:rsidDel="00000000" w:rsidP="00000000" w:rsidRDefault="00000000" w:rsidRPr="00000000" w14:paraId="00000068">
      <w:pPr>
        <w:tabs>
          <w:tab w:val="left" w:leader="none" w:pos="2972"/>
        </w:tabs>
        <w:spacing w:line="360" w:lineRule="auto"/>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69">
      <w:pPr>
        <w:tabs>
          <w:tab w:val="left" w:leader="none" w:pos="2972"/>
        </w:tabs>
        <w:spacing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 no procede el juicio de amparo indirecto, en tanto que se impugna una resolución emitida dentro del procedimiento de ejecución del convenio transaccional que constituye cosa juzgada en el juicio de origen y equiparable a una sentencia definitiva, la cual no constituye la última resolución dictada en dicho procedimiento de ejecución, como lo establece el artículo 107, fracción IV, párrafo segundo, de la Ley de la Materia, pues en ella no se aprueba o reconoce el cumplimiento total de lo sentenciado o declara la imposibilidad material o jurídica para darle cumplimiento, u ordena el archivo definitivo del expediente” </w:t>
      </w:r>
    </w:p>
    <w:p w:rsidR="00000000" w:rsidDel="00000000" w:rsidP="00000000" w:rsidRDefault="00000000" w:rsidRPr="00000000" w14:paraId="0000006A">
      <w:pPr>
        <w:tabs>
          <w:tab w:val="left" w:leader="none" w:pos="2972"/>
        </w:tabs>
        <w:spacing w:line="360" w:lineRule="auto"/>
        <w:ind w:left="0" w:firstLine="0"/>
        <w:jc w:val="both"/>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06B">
      <w:pPr>
        <w:tabs>
          <w:tab w:val="left" w:leader="none" w:pos="2972"/>
        </w:tabs>
        <w:spacing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AGRAVIO PARTICULAR. INDEBIDA DETERMINACIÓN DE IMPROCEDENCIA DEL JUICIO DE AMPARO AL CONSIDERAR QUE EL AUTO RECLAMADO NO CONSTITUYE LA ÚLTIMA RESOLUCIÓN DEL PROCEDIMIENTO DE EJECUCIÓN, CUANDO EN REALIDAD SE TRATA DEL ACTO QUE ORDENA LA EJECUCIÓN MATERIAL DEL LANZAMIENTO DEL INMUEBLE.</w:t>
      </w:r>
      <w:r w:rsidDel="00000000" w:rsidR="00000000" w:rsidRPr="00000000">
        <w:rPr>
          <w:rtl w:val="0"/>
        </w:rPr>
      </w:r>
    </w:p>
    <w:p w:rsidR="00000000" w:rsidDel="00000000" w:rsidP="00000000" w:rsidRDefault="00000000" w:rsidRPr="00000000" w14:paraId="0000006C">
      <w:pPr>
        <w:tabs>
          <w:tab w:val="left" w:leader="none" w:pos="2972"/>
        </w:tabs>
        <w:spacing w:line="36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PRIMERA REFUTATIO:</w:t>
      </w:r>
      <w:r w:rsidDel="00000000" w:rsidR="00000000" w:rsidRPr="00000000">
        <w:rPr>
          <w:rFonts w:ascii="Arial" w:cs="Arial" w:eastAsia="Arial" w:hAnsi="Arial"/>
          <w:rtl w:val="0"/>
        </w:rPr>
        <w:t xml:space="preserve"> La resolución recurrida causa agravio a la parte quejosa, en virtud de que el Juez de Distrito determinó desechar la demanda de amparo bajo el argumento de que el acto reclamado (consistente en el auto de veinticinco de febrero de dos mil veintiséis que ordena la ejecución del lanzamiento del inmueble) no constituye la última resolución dictada dentro del procedimiento de ejecución, estimando que se trata únicamente de un acto intermedio dentro de dicha fase procesal. Tal determinación resulta jurídicamente incorrecta, pues parte de una interpretación restrictiva y descontextualizada del artículo 107, fracción IV, de la Ley de Amparo, sin considerar las particularidades del procedimiento de ejecución en el caso concreto.</w:t>
      </w:r>
    </w:p>
    <w:p w:rsidR="00000000" w:rsidDel="00000000" w:rsidP="00000000" w:rsidRDefault="00000000" w:rsidRPr="00000000" w14:paraId="0000006E">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       En efecto, el juzgador federal soslayó que dentro del juicio natural ya se declaró que la sentencia o convenio transaccional causó ejecutoria, por lo que la fase de ejecución se encuentra plenamente abierta y tiene como finalidad única materializar el cumplimiento forzoso de lo resuelto. En ese contexto, el auto reclamado no constituye un simple trámite preparatorio, sino el acto jurisdiccional que ordena de manera directa la ejecución material del lanzamiento del inmueble, incluso autorizando el uso de la fuerza pública y la fractura de cerraduras. En consecuencia, la resolución combatida sí reviste el carácter de acto definitivo dentro del procedimiento de ejecución, pues es el acto jurisdiccional que da inicio a la ejecución material del desalojo, lo cual impacta de manera directa e inmediata en la esfera jurídica del quejoso, particularmente en su derecho de posesión y ocupación del inmueble.</w:t>
      </w:r>
    </w:p>
    <w:p w:rsidR="00000000" w:rsidDel="00000000" w:rsidP="00000000" w:rsidRDefault="00000000" w:rsidRPr="00000000" w14:paraId="0000006F">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           La conclusión adoptada por el Juez de Distrito parte de una interpretación formalista del concepto de “última resolución”, limitándolo únicamente a aquellas que declaran cumplida la sentencia o que ordenan el archivo del expediente, sin advertir que la doctrina constitucional y la jurisprudencia han sostenido que el análisis debe realizarse atendiendo a la naturaleza del acto y a sus efectos jurídicos reales, particularmente cuando se trata de actos de ejecución que producen consecuencias irreparables. En ese sentido, el auto que ordena el lanzamiento y autoriza el uso de la fuerza pública constituye el acto jurisdiccional que materializa el cumplimiento de la sentencia, por lo que su impugnación resulta procedente en la vía de amparo indirecto, ya que es precisamente el acto que genera una afectación directa, actual e irreparable en los derechos del gobernado.</w:t>
      </w:r>
    </w:p>
    <w:p w:rsidR="00000000" w:rsidDel="00000000" w:rsidP="00000000" w:rsidRDefault="00000000" w:rsidRPr="00000000" w14:paraId="00000070">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tanto, la decisión de desechar la demanda de amparo bajo el argumento de que el acto reclamado no constituye la última resolución del procedimiento de ejecución resulta violatoria del derecho de acceso a la justicia consagrado en el artículo 17 constitucional, al impedir que el órgano de control constitucional analice la legalidad del acto que ordena la ejecución forzosa del lanzamiento.</w:t>
      </w:r>
    </w:p>
    <w:p w:rsidR="00000000" w:rsidDel="00000000" w:rsidP="00000000" w:rsidRDefault="00000000" w:rsidRPr="00000000" w14:paraId="00000071">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SEGUNDO REFUTATIO.- </w:t>
      </w:r>
      <w:r w:rsidDel="00000000" w:rsidR="00000000" w:rsidRPr="00000000">
        <w:rPr>
          <w:rFonts w:ascii="Arial" w:cs="Arial" w:eastAsia="Arial" w:hAnsi="Arial"/>
          <w:rtl w:val="0"/>
        </w:rPr>
        <w:t xml:space="preserve">El razonamiento del juez federal parte de la premisa de que el auto reclamado forma parte de una serie de actos intermedios dentro del procedimiento de ejecución. Sin embargo, dicha premisa resulta equivocada. En el caso concreto, el auto de veinticinco de febrero de dos mil veintiséis no se limita a impulsar el procedimiento o a realizar un acto preparatorio, sino que ordena expresamente la ejecución del lanzamiento del inmueble, incluso autorizando el uso de la fuerza pública y la fractura de cerraduras en caso necesario.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Este tipo de determinaciones tienen una naturaleza jurídica distinta a los actos meramente procesales o intermedios, pues constituyen actos de ejecución material del fallo, mediante los cuales el órgano jurisdiccional ordena que la sentencia se lleve a la realidad.</w:t>
      </w:r>
    </w:p>
    <w:p w:rsidR="00000000" w:rsidDel="00000000" w:rsidP="00000000" w:rsidRDefault="00000000" w:rsidRPr="00000000" w14:paraId="00000072">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materia procesal civil, el lanzamiento constituye el acto final de cumplimiento forzoso de una sentencia que ordena la desocupación de un inmueble, ya que mediante dicha diligencia se priva físicamente al ocupante de la posesión del bien. Por lo tanto, desde una perspectiva funcional del proceso de ejecución, el auto que ordena el lanzamiento no puede considerarse un acto intermedio, puesto que es el acto que da lugar a la diligencia que materializa el cumplimiento de la sentencia.</w:t>
      </w:r>
    </w:p>
    <w:p w:rsidR="00000000" w:rsidDel="00000000" w:rsidP="00000000" w:rsidRDefault="00000000" w:rsidRPr="00000000" w14:paraId="00000073">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Bajo esta lógica, resulta incorrecto sostener que el juicio de amparo solo podría promoverse hasta que se dicte una resolución que declare cumplida la sentencia, ya que para ese momento el acto lesivo (esto es, la privación material de la posesión) ya se habría consumado. Tal interpretación produciría un efecto abiertamente contrario a la finalidad del juicio de amparo, que es prevenir la consumación de actos violatorios de derechos fundamentales, pues obligaría al gobernado a esperar a que el lanzamiento se ejecute para poder cuestionar su legalidad.</w:t>
      </w:r>
    </w:p>
    <w:p w:rsidR="00000000" w:rsidDel="00000000" w:rsidP="00000000" w:rsidRDefault="00000000" w:rsidRPr="00000000" w14:paraId="00000074">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 ello, la interpretación correcta del artículo 107 de la Ley de Amparo debe atender a la naturaleza real del acto reclamado, reconociendo que el auto que ordena el lanzamiento constituye el acto decisorio que desencadena la ejecución material de la sentencia, y por tanto debe considerarse susceptible de control constitucional.</w:t>
      </w:r>
    </w:p>
    <w:p w:rsidR="00000000" w:rsidDel="00000000" w:rsidP="00000000" w:rsidRDefault="00000000" w:rsidRPr="00000000" w14:paraId="00000075">
      <w:pPr>
        <w:tabs>
          <w:tab w:val="left" w:leader="none" w:pos="2972"/>
        </w:tabs>
        <w:spacing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TERCER REFUTATIO.-</w:t>
      </w:r>
      <w:r w:rsidDel="00000000" w:rsidR="00000000" w:rsidRPr="00000000">
        <w:rPr>
          <w:rFonts w:ascii="Arial" w:cs="Arial" w:eastAsia="Arial" w:hAnsi="Arial"/>
          <w:rtl w:val="0"/>
        </w:rPr>
        <w:t xml:space="preserve"> Es importante precisar la incorrecta determinación del juez de distrito puesto que omitió analizar el contexto procesal en que se emitió el acto reclamado. En el expediente de origen se determinó previamente que el convenio transaccional tenía carácter de cosa juzgada y que la resolución correspondiente había causado ejecutoria, lo cual implica que el procedimiento se encontraba en la etapa de ejecución. Una vez que una sentencia adquiere firmeza, la jurisdicción se orienta exclusivamente a garantizar su cumplimiento, mediante actos encaminados a realizar materialmente lo ordenado.</w:t>
      </w:r>
    </w:p>
    <w:p w:rsidR="00000000" w:rsidDel="00000000" w:rsidP="00000000" w:rsidRDefault="00000000" w:rsidRPr="00000000" w14:paraId="00000076">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Dentro de esa lógica procesal, el auto reclamado forma parte de la fase de ejecución forzosa, en la cual el órgano jurisdiccional adopta las medidas necesarias para lograr el cumplimiento de la sentencia cuando la parte obligada no lo hace voluntariamente. El lanzamiento es precisamente una de las medidas más intensas dentro del proceso de ejecución, pues implica la intervención directa del Estado para privar físicamente a una persona de la posesión de un inmueble, por ello, el auto que ordena dicha medida no puede considerarse un simple trámite o impulso procesal, sino una determinación jurisdiccional que activa el mecanismo coercitivo del Estado para ejecutar la sentencia.</w:t>
      </w:r>
    </w:p>
    <w:p w:rsidR="00000000" w:rsidDel="00000000" w:rsidP="00000000" w:rsidRDefault="00000000" w:rsidRPr="00000000" w14:paraId="00000077">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 por ello que, la determinación recurrida también resulta incorrecta porque genera una restricción indebida al derecho de acceso a la justicia. Si se aceptara el criterio del juez federal, el gobernado únicamente podría promover el juicio de amparo hasta que se dicte una resolución que declare cumplida la sentencia o archive el expediente, lo cual ocurriría necesariamente después de haberse ejecutado el lanzamiento. Esto implicaría que el control constitucional se ejercería cuando el acto ya se hubiera consumado materialmente, lo cual vaciaría de contenido la protección que brinda el juicio de amparo frente a actos de ejecución que afectan derechos fundamentales.</w:t>
      </w:r>
    </w:p>
    <w:p w:rsidR="00000000" w:rsidDel="00000000" w:rsidP="00000000" w:rsidRDefault="00000000" w:rsidRPr="00000000" w14:paraId="00000078">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Debe tenerse presente que el lanzamiento de un inmueble constituye un acto de ejecución que produce efectos inmediatos e irreversibles, ya que una vez realizado resulta sumamente complejo restituir al afectado en la posesión del bien. Por ello, la doctrina constitucional ha sostenido que los actos de ejecución que implican una afectación directa a derechos sustantivos deben ser susceptibles de control constitucional antes de su consumación, precisamente para evitar daños irreparables.</w:t>
      </w:r>
    </w:p>
    <w:p w:rsidR="00000000" w:rsidDel="00000000" w:rsidP="00000000" w:rsidRDefault="00000000" w:rsidRPr="00000000" w14:paraId="00000079">
      <w:pPr>
        <w:tabs>
          <w:tab w:val="left" w:leader="none" w:pos="2972"/>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interpretación adoptada por el juez de distrito desconoce este principio y convierte el requisito de la “última resolución” en un obstáculo procesal que impide el acceso efectivo al juicio de amparo. En consecuencia, el acuerdo recurrido debe revocarse, pues el auto reclamado (al ordenar la ejecución del lanzamiento del inmueble) sí constituye un acto susceptible de control constitucional, al tratarse de la determinación jurisdiccional que dispone la ejecución material de la sentencia firme.</w:t>
      </w:r>
    </w:p>
    <w:p w:rsidR="00000000" w:rsidDel="00000000" w:rsidP="00000000" w:rsidRDefault="00000000" w:rsidRPr="00000000" w14:paraId="0000007A">
      <w:pPr>
        <w:tabs>
          <w:tab w:val="left" w:leader="none" w:pos="1119.0000000000002"/>
        </w:tabs>
        <w:spacing w:line="360" w:lineRule="auto"/>
        <w:jc w:val="both"/>
        <w:rPr>
          <w:rFonts w:ascii="Arial" w:cs="Arial" w:eastAsia="Arial" w:hAnsi="Arial"/>
        </w:rPr>
      </w:pPr>
      <w:r w:rsidDel="00000000" w:rsidR="00000000" w:rsidRPr="00000000">
        <w:rPr>
          <w:rFonts w:ascii="Arial" w:cs="Arial" w:eastAsia="Arial" w:hAnsi="Arial"/>
          <w:rtl w:val="0"/>
        </w:rPr>
        <w:t xml:space="preserve">Por lo expuesto y fundado, a ustedes señores Magistrados atentamente se les solicita:</w:t>
      </w:r>
    </w:p>
    <w:p w:rsidR="00000000" w:rsidDel="00000000" w:rsidP="00000000" w:rsidRDefault="00000000" w:rsidRPr="00000000" w14:paraId="0000007B">
      <w:pPr>
        <w:tabs>
          <w:tab w:val="left" w:leader="none" w:pos="1119.000000000000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tabs>
          <w:tab w:val="left" w:leader="none" w:pos="2972"/>
        </w:tabs>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Tener por presentada a la parte quejosa en los términos del presente ocurso, interponiendo recurso de queja en contra del auto de fecha 05 de marzo de 2026, dictado dentro del juicio de amparo indirecto número 196/2026-B-2, mediante el cual se desechó de plano la demanda de amparo; y, en su oportunidad, se revoque dicha determinación y se ordene la admisión de la demanda para su trámite legal correspondiente.</w:t>
      </w:r>
    </w:p>
    <w:p w:rsidR="00000000" w:rsidDel="00000000" w:rsidP="00000000" w:rsidRDefault="00000000" w:rsidRPr="00000000" w14:paraId="0000007D">
      <w:pPr>
        <w:tabs>
          <w:tab w:val="left" w:leader="none" w:pos="2972"/>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tabs>
          <w:tab w:val="left" w:leader="none" w:pos="2972"/>
        </w:tabs>
        <w:spacing w:line="360" w:lineRule="auto"/>
        <w:jc w:val="center"/>
        <w:rPr>
          <w:rFonts w:ascii="Arial" w:cs="Arial" w:eastAsia="Arial" w:hAnsi="Arial"/>
        </w:rPr>
      </w:pPr>
      <w:r w:rsidDel="00000000" w:rsidR="00000000" w:rsidRPr="00000000">
        <w:rPr>
          <w:rFonts w:ascii="Arial" w:cs="Arial" w:eastAsia="Arial" w:hAnsi="Arial"/>
          <w:b w:val="1"/>
          <w:bCs w:val="1"/>
          <w:rtl w:val="0"/>
        </w:rPr>
        <w:t xml:space="preserve">SE PROTESTA LO NECESARIO </w:t>
      </w:r>
      <w:r w:rsidDel="00000000" w:rsidR="00000000" w:rsidRPr="00000000">
        <w:rPr>
          <w:rtl w:val="0"/>
        </w:rPr>
      </w:r>
    </w:p>
    <w:p w:rsidR="00000000" w:rsidDel="00000000" w:rsidP="00000000" w:rsidRDefault="00000000" w:rsidRPr="00000000" w14:paraId="0000007F">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0">
      <w:pPr>
        <w:tabs>
          <w:tab w:val="left" w:leader="none" w:pos="2972"/>
        </w:tabs>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1">
      <w:pPr>
        <w:spacing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sz w:val="26"/>
          <w:szCs w:val="26"/>
          <w:rtl w:val="0"/>
        </w:rPr>
        <w:t xml:space="preserve">JUAN CARLOS GONZALEZ HERNANDEZ</w:t>
      </w:r>
      <w:r w:rsidDel="00000000" w:rsidR="00000000" w:rsidRPr="00000000">
        <w:rPr>
          <w:rtl w:val="0"/>
        </w:rPr>
      </w:r>
    </w:p>
    <w:p w:rsidR="00000000" w:rsidDel="00000000" w:rsidP="00000000" w:rsidRDefault="00000000" w:rsidRPr="00000000" w14:paraId="00000082">
      <w:pPr>
        <w:tabs>
          <w:tab w:val="left" w:leader="none" w:pos="2972"/>
        </w:tabs>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06 DE MARZO DEL 2026, PLAYA DEL CARMEN, QUINTANA ROO.</w:t>
      </w:r>
    </w:p>
    <w:sectPr>
      <w:headerReference r:id="rId11" w:type="default"/>
      <w:foot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2A6C12"/>
    <w:pPr>
      <w:ind w:left="720"/>
      <w:contextualSpacing w:val="1"/>
    </w:pPr>
  </w:style>
  <w:style w:type="paragraph" w:styleId="Textonotapie">
    <w:name w:val="footnote text"/>
    <w:basedOn w:val="Normal"/>
    <w:link w:val="TextonotapieCar"/>
    <w:uiPriority w:val="99"/>
    <w:semiHidden w:val="1"/>
    <w:unhideWhenUsed w:val="1"/>
    <w:rsid w:val="00C16B6B"/>
    <w:rPr>
      <w:sz w:val="20"/>
      <w:szCs w:val="20"/>
    </w:rPr>
  </w:style>
  <w:style w:type="character" w:styleId="TextonotapieCar" w:customStyle="1">
    <w:name w:val="Texto nota pie Car"/>
    <w:basedOn w:val="Fuentedeprrafopredeter"/>
    <w:link w:val="Textonotapie"/>
    <w:uiPriority w:val="99"/>
    <w:semiHidden w:val="1"/>
    <w:rsid w:val="00C16B6B"/>
    <w:rPr>
      <w:sz w:val="20"/>
      <w:szCs w:val="20"/>
    </w:rPr>
  </w:style>
  <w:style w:type="character" w:styleId="Refdenotaalpie">
    <w:name w:val="footnote reference"/>
    <w:basedOn w:val="Fuentedeprrafopredeter"/>
    <w:uiPriority w:val="99"/>
    <w:semiHidden w:val="1"/>
    <w:unhideWhenUsed w:val="1"/>
    <w:rsid w:val="00C16B6B"/>
    <w:rPr>
      <w:vertAlign w:val="superscript"/>
    </w:rPr>
  </w:style>
  <w:style w:type="paragraph" w:styleId="Citadestacada">
    <w:name w:val="Intense Quote"/>
    <w:basedOn w:val="Normal"/>
    <w:next w:val="Normal"/>
    <w:link w:val="CitadestacadaCar"/>
    <w:uiPriority w:val="30"/>
    <w:qFormat w:val="1"/>
    <w:rsid w:val="008060D2"/>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8060D2"/>
    <w:rPr>
      <w:i w:val="1"/>
      <w:iCs w:val="1"/>
      <w:color w:val="4472c4" w:themeColor="accent1"/>
    </w:rPr>
  </w:style>
  <w:style w:type="paragraph" w:styleId="Encabezado">
    <w:name w:val="header"/>
    <w:basedOn w:val="Normal"/>
    <w:link w:val="EncabezadoCar"/>
    <w:uiPriority w:val="99"/>
    <w:unhideWhenUsed w:val="1"/>
    <w:rsid w:val="0058130C"/>
    <w:pPr>
      <w:tabs>
        <w:tab w:val="center" w:pos="4419"/>
        <w:tab w:val="right" w:pos="8838"/>
      </w:tabs>
    </w:pPr>
  </w:style>
  <w:style w:type="character" w:styleId="EncabezadoCar" w:customStyle="1">
    <w:name w:val="Encabezado Car"/>
    <w:basedOn w:val="Fuentedeprrafopredeter"/>
    <w:link w:val="Encabezado"/>
    <w:uiPriority w:val="99"/>
    <w:rsid w:val="0058130C"/>
  </w:style>
  <w:style w:type="paragraph" w:styleId="Piedepgina">
    <w:name w:val="footer"/>
    <w:basedOn w:val="Normal"/>
    <w:link w:val="PiedepginaCar"/>
    <w:uiPriority w:val="99"/>
    <w:unhideWhenUsed w:val="1"/>
    <w:rsid w:val="0058130C"/>
    <w:pPr>
      <w:tabs>
        <w:tab w:val="center" w:pos="4419"/>
        <w:tab w:val="right" w:pos="8838"/>
      </w:tabs>
    </w:pPr>
  </w:style>
  <w:style w:type="character" w:styleId="PiedepginaCar" w:customStyle="1">
    <w:name w:val="Pie de página Car"/>
    <w:basedOn w:val="Fuentedeprrafopredeter"/>
    <w:link w:val="Piedepgina"/>
    <w:uiPriority w:val="99"/>
    <w:rsid w:val="0058130C"/>
  </w:style>
  <w:style w:type="character" w:styleId="Ttulo2Car" w:customStyle="1">
    <w:name w:val="Título 2 Car"/>
    <w:basedOn w:val="Fuentedeprrafopredeter"/>
    <w:link w:val="Ttulo2"/>
    <w:uiPriority w:val="9"/>
    <w:rsid w:val="00463584"/>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uiPriority w:val="99"/>
    <w:unhideWhenUsed w:val="1"/>
    <w:rsid w:val="00A62445"/>
    <w:rPr>
      <w:color w:val="0563c1" w:themeColor="hyperlink"/>
      <w:u w:val="single"/>
    </w:rPr>
  </w:style>
  <w:style w:type="character" w:styleId="Mencinsinresolver">
    <w:name w:val="Unresolved Mention"/>
    <w:basedOn w:val="Fuentedeprrafopredeter"/>
    <w:uiPriority w:val="99"/>
    <w:semiHidden w:val="1"/>
    <w:unhideWhenUsed w:val="1"/>
    <w:rsid w:val="00A62445"/>
    <w:rPr>
      <w:color w:val="605e5c"/>
      <w:shd w:color="auto" w:fill="e1dfdd" w:val="clear"/>
    </w:rPr>
  </w:style>
  <w:style w:type="paragraph" w:styleId="NormalWeb">
    <w:name w:val="Normal (Web)"/>
    <w:basedOn w:val="Normal"/>
    <w:uiPriority w:val="99"/>
    <w:unhideWhenUsed w:val="1"/>
    <w:rsid w:val="00A62445"/>
    <w:pPr>
      <w:spacing w:after="100" w:afterAutospacing="1" w:before="100" w:beforeAutospacing="1"/>
    </w:pPr>
  </w:style>
  <w:style w:type="table" w:styleId="Tablaconcuadrcula">
    <w:name w:val="Table Grid"/>
    <w:basedOn w:val="Tablanormal"/>
    <w:uiPriority w:val="39"/>
    <w:rsid w:val="00A6244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A62445"/>
    <w:rPr>
      <w:i w:val="1"/>
      <w:iCs w:val="1"/>
    </w:rPr>
  </w:style>
  <w:style w:type="character" w:styleId="Textoennegrita">
    <w:name w:val="Strong"/>
    <w:basedOn w:val="Fuentedeprrafopredeter"/>
    <w:uiPriority w:val="22"/>
    <w:qFormat w:val="1"/>
    <w:rsid w:val="00A62445"/>
    <w:rPr>
      <w:b w:val="1"/>
      <w:bCs w:val="1"/>
    </w:rPr>
  </w:style>
  <w:style w:type="paragraph" w:styleId="temp" w:customStyle="1">
    <w:name w:val="temp"/>
    <w:basedOn w:val="Normal"/>
    <w:rsid w:val="00A62445"/>
    <w:pPr>
      <w:spacing w:after="100" w:afterAutospacing="1" w:before="100" w:beforeAutospacing="1"/>
    </w:pPr>
  </w:style>
  <w:style w:type="character" w:styleId="bold" w:customStyle="1">
    <w:name w:val="bold"/>
    <w:basedOn w:val="Fuentedeprrafopredeter"/>
    <w:rsid w:val="00A62445"/>
  </w:style>
  <w:style w:type="character" w:styleId="ng-star-inserted" w:customStyle="1">
    <w:name w:val="ng-star-inserted"/>
    <w:basedOn w:val="Fuentedeprrafopredeter"/>
    <w:rsid w:val="00A62445"/>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notificaciones@cejum.com" TargetMode="External"/><Relationship Id="rId12" Type="http://schemas.openxmlformats.org/officeDocument/2006/relationships/footer" Target="footer1.xml"/><Relationship Id="rId9" Type="http://schemas.openxmlformats.org/officeDocument/2006/relationships/hyperlink" Target="mailto:alvaro_pegueros@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artin_arjona@hotmail.com" TargetMode="Externa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w55TCXUjKkesunToXXv1EnHyg==">CgMxLjA4AHIhMTBYMVk5T1RmdmVkbjd2RnpWWWEyTkJzWFphOHgwcklm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2024-01-16T21:02:00Z</dcterms:created>
  <dc:creator>Alvaro Pegueros Castillo</dc:creator>
</cp:coreProperties>
</file>