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4536"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921/2025</w:t>
      </w:r>
    </w:p>
    <w:p w:rsidR="00000000" w:rsidDel="00000000" w:rsidP="00000000" w:rsidRDefault="00000000" w:rsidRPr="00000000" w14:paraId="00000002">
      <w:pPr>
        <w:spacing w:after="0" w:line="240" w:lineRule="auto"/>
        <w:ind w:left="4536"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3">
      <w:pPr>
        <w:spacing w:after="0" w:line="240" w:lineRule="auto"/>
        <w:ind w:left="4536"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QUEJOSO: FIDEL ARTURO LADRON DE GUEVARA BRAVO.</w:t>
      </w:r>
    </w:p>
    <w:p w:rsidR="00000000" w:rsidDel="00000000" w:rsidP="00000000" w:rsidRDefault="00000000" w:rsidRPr="00000000" w14:paraId="00000004">
      <w:pPr>
        <w:spacing w:after="0" w:line="240" w:lineRule="auto"/>
        <w:ind w:left="4536"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5">
      <w:pPr>
        <w:spacing w:after="0" w:line="240" w:lineRule="auto"/>
        <w:ind w:left="4536"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AUTORIDADES RESPONSABLES:</w:t>
      </w:r>
    </w:p>
    <w:p w:rsidR="00000000" w:rsidDel="00000000" w:rsidP="00000000" w:rsidRDefault="00000000" w:rsidRPr="00000000" w14:paraId="00000006">
      <w:pPr>
        <w:spacing w:after="0" w:line="240" w:lineRule="auto"/>
        <w:ind w:left="4536"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JUEZ DÉCIMO CIVIL DE PROCESO DE LA CIUDAD DE MÉXICO; JUZGADO 1° CIVIL DE PRIMERA INSTANCIA DE CANCÚN Y DIVERSAS</w:t>
      </w:r>
    </w:p>
    <w:p w:rsidR="00000000" w:rsidDel="00000000" w:rsidP="00000000" w:rsidRDefault="00000000" w:rsidRPr="00000000" w14:paraId="00000007">
      <w:pPr>
        <w:spacing w:after="0" w:line="240" w:lineRule="auto"/>
        <w:ind w:left="4536"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0" w:line="240" w:lineRule="auto"/>
        <w:ind w:left="4536" w:firstLine="0"/>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ASUNTO. </w:t>
      </w:r>
      <w:r w:rsidDel="00000000" w:rsidR="00000000" w:rsidRPr="00000000">
        <w:rPr>
          <w:rFonts w:ascii="Arial" w:cs="Arial" w:eastAsia="Arial" w:hAnsi="Arial"/>
          <w:sz w:val="26"/>
          <w:szCs w:val="26"/>
          <w:rtl w:val="0"/>
        </w:rPr>
        <w:t xml:space="preserve">Se avisa a este juzgado federal que el quejoso  interpone recurso de revisión contra la interlocutoria relativa a la negativa de la suspensión definitiva.</w:t>
      </w:r>
    </w:p>
    <w:p w:rsidR="00000000" w:rsidDel="00000000" w:rsidP="00000000" w:rsidRDefault="00000000" w:rsidRPr="00000000" w14:paraId="00000009">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A">
      <w:pPr>
        <w:spacing w:after="0" w:line="240" w:lineRule="auto"/>
        <w:ind w:right="2317"/>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B">
      <w:pPr>
        <w:spacing w:after="0" w:line="240" w:lineRule="auto"/>
        <w:ind w:right="2317"/>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JUZGADO CUARTO DE DISTRITO EN EL ESTADO DE QUINTANA ROO</w:t>
      </w: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PRESENTE </w:t>
      </w:r>
    </w:p>
    <w:p w:rsidR="00000000" w:rsidDel="00000000" w:rsidP="00000000" w:rsidRDefault="00000000" w:rsidRPr="00000000" w14:paraId="0000000E">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F">
      <w:pPr>
        <w:spacing w:after="0" w:line="360" w:lineRule="auto"/>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FIDEL ARTURO LADRON DE GUEVARA BRAVO, </w:t>
      </w:r>
      <w:r w:rsidDel="00000000" w:rsidR="00000000" w:rsidRPr="00000000">
        <w:rPr>
          <w:rFonts w:ascii="Arial" w:cs="Arial" w:eastAsia="Arial" w:hAnsi="Arial"/>
          <w:sz w:val="26"/>
          <w:szCs w:val="26"/>
          <w:rtl w:val="0"/>
        </w:rPr>
        <w:t xml:space="preserve">con la personalidad que se tiene debidamente reconocida como quejoso en el asunto que se cita al rubro, con el debido respeto comparezco para exponer lo siguiente:</w:t>
      </w:r>
    </w:p>
    <w:p w:rsidR="00000000" w:rsidDel="00000000" w:rsidP="00000000" w:rsidRDefault="00000000" w:rsidRPr="00000000" w14:paraId="00000010">
      <w:pPr>
        <w:spacing w:after="0"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1">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Por medio del presente escrito respetuosamente se avisa a este Juzgado Federal que, con esta fecha, se ha interpuesto </w:t>
      </w:r>
      <w:r w:rsidDel="00000000" w:rsidR="00000000" w:rsidRPr="00000000">
        <w:rPr>
          <w:rFonts w:ascii="Arial" w:cs="Arial" w:eastAsia="Arial" w:hAnsi="Arial"/>
          <w:b w:val="1"/>
          <w:bCs w:val="1"/>
          <w:sz w:val="26"/>
          <w:szCs w:val="26"/>
          <w:rtl w:val="0"/>
        </w:rPr>
        <w:t xml:space="preserve">RECURSO DE REVISIÓN </w:t>
      </w:r>
      <w:r w:rsidDel="00000000" w:rsidR="00000000" w:rsidRPr="00000000">
        <w:rPr>
          <w:rFonts w:ascii="Arial" w:cs="Arial" w:eastAsia="Arial" w:hAnsi="Arial"/>
          <w:sz w:val="26"/>
          <w:szCs w:val="26"/>
          <w:rtl w:val="0"/>
        </w:rPr>
        <w:t xml:space="preserve">en términos del artículo 81, fracción I, inciso a) de la Ley de Amparo contra de la Resolución dictada en la audiencia incidental verificada en fecha 25 de noviembre del año 2025, del asunto citado al rubro en la cual se </w:t>
      </w:r>
      <w:r w:rsidDel="00000000" w:rsidR="00000000" w:rsidRPr="00000000">
        <w:rPr>
          <w:rFonts w:ascii="Arial" w:cs="Arial" w:eastAsia="Arial" w:hAnsi="Arial"/>
          <w:b w:val="1"/>
          <w:bCs w:val="1"/>
          <w:sz w:val="26"/>
          <w:szCs w:val="26"/>
          <w:rtl w:val="0"/>
        </w:rPr>
        <w:t xml:space="preserve">NIEGA LA SUSPENSIÓN DEFINITIVA; </w:t>
      </w:r>
      <w:r w:rsidDel="00000000" w:rsidR="00000000" w:rsidRPr="00000000">
        <w:rPr>
          <w:rFonts w:ascii="Arial" w:cs="Arial" w:eastAsia="Arial" w:hAnsi="Arial"/>
          <w:sz w:val="26"/>
          <w:szCs w:val="26"/>
          <w:rtl w:val="0"/>
        </w:rPr>
        <w:t xml:space="preserve">consecuentemente, se solicita a esta autoridad jurisdiccional se sirva realizar lo siguiente:</w:t>
      </w:r>
    </w:p>
    <w:p w:rsidR="00000000" w:rsidDel="00000000" w:rsidP="00000000" w:rsidRDefault="00000000" w:rsidRPr="00000000" w14:paraId="00000012">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Tener por interpuesta la presente revisión.</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Certificar la fecha de notificación de dicha resolución y la fecha de interposición del recurso.</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Con las copias que se acompañan de este escrito y el de expresión de agravios, correr traslado a las demás partes en el juicio, dando cumplimiento a lo dispuesto por el párrafo tercero del artículo 88 de la Ley de Amparo.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Remitir los autos del presente recurso de revisión interpuesto en el incidente de suspensión en el plazo máximo que para estos casos se encuentra establecido en el artículo 90 de la Ley de Amparo.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Por lo expuesto y fundado, a Usted Juez Cuarto de Distrito en el Estado de Quintana Roo, de la manera más atenta se le solicita:</w:t>
      </w:r>
    </w:p>
    <w:p w:rsidR="00000000" w:rsidDel="00000000" w:rsidP="00000000" w:rsidRDefault="00000000" w:rsidRPr="00000000" w14:paraId="0000001A">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B">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PRIMERO. </w:t>
      </w:r>
      <w:r w:rsidDel="00000000" w:rsidR="00000000" w:rsidRPr="00000000">
        <w:rPr>
          <w:rFonts w:ascii="Arial" w:cs="Arial" w:eastAsia="Arial" w:hAnsi="Arial"/>
          <w:sz w:val="26"/>
          <w:szCs w:val="26"/>
          <w:rtl w:val="0"/>
        </w:rPr>
        <w:t xml:space="preserve">Tener por presentada a la parte quejosa en los términos del presente escrito interponiendo la revisión contra la resolución que se indica.</w:t>
      </w:r>
    </w:p>
    <w:p w:rsidR="00000000" w:rsidDel="00000000" w:rsidP="00000000" w:rsidRDefault="00000000" w:rsidRPr="00000000" w14:paraId="0000001C">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D">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SEGUNDO</w:t>
      </w:r>
      <w:r w:rsidDel="00000000" w:rsidR="00000000" w:rsidRPr="00000000">
        <w:rPr>
          <w:rFonts w:ascii="Arial" w:cs="Arial" w:eastAsia="Arial" w:hAnsi="Arial"/>
          <w:sz w:val="26"/>
          <w:szCs w:val="26"/>
          <w:rtl w:val="0"/>
        </w:rPr>
        <w:t xml:space="preserve">. Realizar la certificación solicitada y distribución de las copias de traslado entre las partes, procediendo a la remisión del asunto dentro de los plazos y términos establecidos en el artículo 90 de la ley de amparo</w:t>
      </w:r>
    </w:p>
    <w:p w:rsidR="00000000" w:rsidDel="00000000" w:rsidP="00000000" w:rsidRDefault="00000000" w:rsidRPr="00000000" w14:paraId="0000001E">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F">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TERCERO. </w:t>
      </w:r>
      <w:r w:rsidDel="00000000" w:rsidR="00000000" w:rsidRPr="00000000">
        <w:rPr>
          <w:rFonts w:ascii="Arial" w:cs="Arial" w:eastAsia="Arial" w:hAnsi="Arial"/>
          <w:sz w:val="26"/>
          <w:szCs w:val="26"/>
          <w:rtl w:val="0"/>
        </w:rPr>
        <w:t xml:space="preserve">En su oportunidad, remitir los autos al Tribunal colegiado de circuito que por turno corresponda.</w:t>
      </w:r>
    </w:p>
    <w:p w:rsidR="00000000" w:rsidDel="00000000" w:rsidP="00000000" w:rsidRDefault="00000000" w:rsidRPr="00000000" w14:paraId="00000020">
      <w:pPr>
        <w:spacing w:after="0" w:line="24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1">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LA PARTE QUEJOSA PROTESTA LO NECESARIO.</w:t>
      </w:r>
    </w:p>
    <w:p w:rsidR="00000000" w:rsidDel="00000000" w:rsidP="00000000" w:rsidRDefault="00000000" w:rsidRPr="00000000" w14:paraId="00000022">
      <w:pPr>
        <w:spacing w:after="0" w:line="240" w:lineRule="auto"/>
        <w:jc w:val="center"/>
        <w:rPr>
          <w:rFonts w:ascii="Arial" w:cs="Arial" w:eastAsia="Arial" w:hAnsi="Arial"/>
          <w:sz w:val="26"/>
          <w:szCs w:val="26"/>
        </w:rPr>
      </w:pPr>
      <w:r w:rsidDel="00000000" w:rsidR="00000000" w:rsidRPr="00000000">
        <w:rPr>
          <w:rFonts w:ascii="Arial" w:cs="Arial" w:eastAsia="Arial" w:hAnsi="Arial"/>
          <w:sz w:val="26"/>
          <w:szCs w:val="26"/>
          <w:rtl w:val="0"/>
        </w:rPr>
        <w:t xml:space="preserve">Cancún, Quintana Roo, en la fecha de interposición.</w:t>
      </w:r>
    </w:p>
    <w:p w:rsidR="00000000" w:rsidDel="00000000" w:rsidP="00000000" w:rsidRDefault="00000000" w:rsidRPr="00000000" w14:paraId="00000023">
      <w:pPr>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4">
      <w:pPr>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6">
      <w:pPr>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7">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______________________________________</w:t>
      </w:r>
    </w:p>
    <w:p w:rsidR="00000000" w:rsidDel="00000000" w:rsidP="00000000" w:rsidRDefault="00000000" w:rsidRPr="00000000" w14:paraId="00000028">
      <w:pPr>
        <w:spacing w:after="0" w:line="240" w:lineRule="auto"/>
        <w:jc w:val="center"/>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FIDEL ARTURO LADRON DE GUEVARA BRAVO</w:t>
      </w:r>
      <w:r w:rsidDel="00000000" w:rsidR="00000000" w:rsidRPr="00000000">
        <w:rPr>
          <w:rtl w:val="0"/>
        </w:rPr>
      </w:r>
    </w:p>
    <w:p w:rsidR="00000000" w:rsidDel="00000000" w:rsidP="00000000" w:rsidRDefault="00000000" w:rsidRPr="00000000" w14:paraId="00000029">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 </w:t>
      </w: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C">
      <w:pPr>
        <w:spacing w:after="0" w:line="240" w:lineRule="auto"/>
        <w:ind w:firstLine="708"/>
        <w:jc w:val="both"/>
        <w:rPr>
          <w:rFonts w:ascii="Times New Roman" w:cs="Times New Roman" w:eastAsia="Times New Roman" w:hAnsi="Times New Roman"/>
          <w:sz w:val="26"/>
          <w:szCs w:val="26"/>
        </w:rPr>
        <w:sectPr>
          <w:footerReference r:id="rId8" w:type="default"/>
          <w:pgSz w:h="18720" w:w="12240" w:orient="portrait"/>
          <w:pgMar w:bottom="1418" w:top="1418" w:left="1701" w:right="1418" w:header="709" w:footer="709"/>
          <w:pgNumType w:start="1"/>
        </w:sectPr>
      </w:pPr>
      <w:r w:rsidDel="00000000" w:rsidR="00000000" w:rsidRPr="00000000">
        <w:rPr>
          <w:rtl w:val="0"/>
        </w:rPr>
      </w:r>
    </w:p>
    <w:p w:rsidR="00000000" w:rsidDel="00000000" w:rsidP="00000000" w:rsidRDefault="00000000" w:rsidRPr="00000000" w14:paraId="0000002D">
      <w:pPr>
        <w:spacing w:after="0" w:line="240" w:lineRule="auto"/>
        <w:ind w:left="360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RECURSO DE REVISIÓN</w:t>
      </w:r>
    </w:p>
    <w:p w:rsidR="00000000" w:rsidDel="00000000" w:rsidP="00000000" w:rsidRDefault="00000000" w:rsidRPr="00000000" w14:paraId="0000002E">
      <w:pPr>
        <w:spacing w:after="0" w:line="240" w:lineRule="auto"/>
        <w:ind w:left="3981"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F">
      <w:pPr>
        <w:spacing w:after="0" w:line="240" w:lineRule="auto"/>
        <w:ind w:left="360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INTERPUESTO CONTRA DE LA RESOLUCIÓN DICTADA EN LA AUDIENCIA INCIDENTAL VERIFICADA EN FECHA 25 DE NOVIEMBRE DEL AÑO 2025 EN LOS AUTOS DEL INCIDENTE DE SUSPENSIÓN DEL AMPARO INDIRECTO 921/2025 POR EL JUZGADO CUARTO DE DISTRITO EN EL ESTADO DE QUINTANA ROO CON RESIDENCIA EN CANCÚN.</w:t>
      </w:r>
    </w:p>
    <w:p w:rsidR="00000000" w:rsidDel="00000000" w:rsidP="00000000" w:rsidRDefault="00000000" w:rsidRPr="00000000" w14:paraId="00000030">
      <w:pPr>
        <w:spacing w:after="0" w:line="360" w:lineRule="auto"/>
        <w:ind w:left="3600" w:firstLine="708.0000000000001"/>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1">
      <w:pPr>
        <w:spacing w:after="0" w:line="240" w:lineRule="auto"/>
        <w:ind w:left="360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QUEJOSO: </w:t>
      </w:r>
    </w:p>
    <w:p w:rsidR="00000000" w:rsidDel="00000000" w:rsidP="00000000" w:rsidRDefault="00000000" w:rsidRPr="00000000" w14:paraId="00000032">
      <w:pPr>
        <w:spacing w:after="0" w:line="240" w:lineRule="auto"/>
        <w:ind w:left="360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FIDEL ARTURO LADRON DE GUEVARA BRAVO</w:t>
      </w:r>
    </w:p>
    <w:p w:rsidR="00000000" w:rsidDel="00000000" w:rsidP="00000000" w:rsidRDefault="00000000" w:rsidRPr="00000000" w14:paraId="00000033">
      <w:pPr>
        <w:spacing w:after="0" w:line="240" w:lineRule="auto"/>
        <w:ind w:left="6861"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4">
      <w:pPr>
        <w:spacing w:after="0" w:line="240" w:lineRule="auto"/>
        <w:ind w:left="360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AUTORIDADES RESPONSABLES:</w:t>
      </w:r>
    </w:p>
    <w:p w:rsidR="00000000" w:rsidDel="00000000" w:rsidP="00000000" w:rsidRDefault="00000000" w:rsidRPr="00000000" w14:paraId="00000035">
      <w:pPr>
        <w:spacing w:after="0" w:line="240" w:lineRule="auto"/>
        <w:ind w:left="3600" w:firstLine="0"/>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JUEZ DÉCIMO CIVIL DE PROCESO DE LA CIUDAD DE MÉXICO; JUZGADO 1° CIVIL DE PRIMERA INSTANCIA DE CANCÚN Y DIVERSAS</w:t>
      </w:r>
      <w:r w:rsidDel="00000000" w:rsidR="00000000" w:rsidRPr="00000000">
        <w:rPr>
          <w:rtl w:val="0"/>
        </w:rPr>
      </w:r>
    </w:p>
    <w:p w:rsidR="00000000" w:rsidDel="00000000" w:rsidP="00000000" w:rsidRDefault="00000000" w:rsidRPr="00000000" w14:paraId="00000036">
      <w:pPr>
        <w:spacing w:after="0" w:line="240" w:lineRule="auto"/>
        <w:ind w:left="0" w:right="2317"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7">
      <w:pPr>
        <w:spacing w:after="0" w:line="240" w:lineRule="auto"/>
        <w:ind w:left="0" w:right="2317"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SEÑORES MAGISTRADOS INTEGRANTES DEL TRIBUNAL COLEGIADO DEL VIGÉSIMO SÉPTIMO CIRCUITO, CON RESIDENCIA EN CANCÚN, QUINTANA ROO, EN TURNO.</w:t>
      </w:r>
    </w:p>
    <w:p w:rsidR="00000000" w:rsidDel="00000000" w:rsidP="00000000" w:rsidRDefault="00000000" w:rsidRPr="00000000" w14:paraId="00000038">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PRESENTE </w:t>
      </w:r>
    </w:p>
    <w:p w:rsidR="00000000" w:rsidDel="00000000" w:rsidP="00000000" w:rsidRDefault="00000000" w:rsidRPr="00000000" w14:paraId="0000003B">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C">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D">
      <w:pPr>
        <w:spacing w:after="0" w:line="360" w:lineRule="auto"/>
        <w:jc w:val="both"/>
        <w:rPr>
          <w:rFonts w:ascii="Arial" w:cs="Arial" w:eastAsia="Arial" w:hAnsi="Arial"/>
          <w:sz w:val="26"/>
          <w:szCs w:val="26"/>
        </w:rPr>
      </w:pPr>
      <w:bookmarkStart w:colFirst="0" w:colLast="0" w:name="_heading=h.ymag8gnvaz2r" w:id="0"/>
      <w:bookmarkEnd w:id="0"/>
      <w:r w:rsidDel="00000000" w:rsidR="00000000" w:rsidRPr="00000000">
        <w:rPr>
          <w:rFonts w:ascii="Arial" w:cs="Arial" w:eastAsia="Arial" w:hAnsi="Arial"/>
          <w:b w:val="1"/>
          <w:bCs w:val="1"/>
          <w:sz w:val="26"/>
          <w:szCs w:val="26"/>
          <w:rtl w:val="0"/>
        </w:rPr>
        <w:t xml:space="preserve">FIDEL ARTURO LADRON DE GUEVARA BRAVO; </w:t>
      </w:r>
      <w:r w:rsidDel="00000000" w:rsidR="00000000" w:rsidRPr="00000000">
        <w:rPr>
          <w:rFonts w:ascii="Arial" w:cs="Arial" w:eastAsia="Arial" w:hAnsi="Arial"/>
          <w:sz w:val="26"/>
          <w:szCs w:val="26"/>
          <w:rtl w:val="0"/>
        </w:rPr>
        <w:t xml:space="preserve">quejoso en el presente asunto, solicitando atentamente que ante este tribunal colegiado se tengan por reconocidas las autorizaciones en términos amplios y restringidos que fueron reconocidas en este mismo juicio por el juzgado de Distrito que dictó la resolución recurrida y se tenga como señalando como domicilio procesal para oír y recibir notificaciones</w:t>
      </w:r>
      <w:r w:rsidDel="00000000" w:rsidR="00000000" w:rsidRPr="00000000">
        <w:rPr>
          <w:rFonts w:ascii="Arial" w:cs="Arial" w:eastAsia="Arial" w:hAnsi="Arial"/>
          <w:sz w:val="26"/>
          <w:szCs w:val="26"/>
          <w:rtl w:val="0"/>
        </w:rPr>
        <w:t xml:space="preserve">, las oficinas administrativas del Delfinario Dolphin Discovery Cancún, localizado en la Zona Hotelera, en el Boulevard Kukulkán a la altura del KM 25, en esta ciudad de Cancún, Quintana Roo.</w:t>
      </w:r>
      <w:r w:rsidDel="00000000" w:rsidR="00000000" w:rsidRPr="00000000">
        <w:rPr>
          <w:rFonts w:ascii="Arial" w:cs="Arial" w:eastAsia="Arial" w:hAnsi="Arial"/>
          <w:sz w:val="26"/>
          <w:szCs w:val="26"/>
          <w:rtl w:val="0"/>
        </w:rPr>
        <w:t xml:space="preserve"> Así mismo, autorizo a los licenciados en derecho en términos del artículo 12 de la Ley de Amparo</w:t>
      </w:r>
      <w:r w:rsidDel="00000000" w:rsidR="00000000" w:rsidRPr="00000000">
        <w:rPr>
          <w:rFonts w:ascii="Arial" w:cs="Arial" w:eastAsia="Arial" w:hAnsi="Arial"/>
          <w:sz w:val="26"/>
          <w:szCs w:val="26"/>
          <w:rtl w:val="0"/>
        </w:rPr>
        <w:t xml:space="preserve"> autorizo en términos amplios a los licenciados en derecho Álvaro Adrián Pegueros Castillo con número de cédula profesional 14486345, Doctor en Derecho Fidel Gabriel Villanueva Rivero con número de cédula profesional 9380620, Ricardo Ignacio Martin Arjona con número de cédula profesional 382325, licenciada en derecho Amairanny Amissadai Villalta Peralta con número de cédula profesional 14323013,  a la Licenciada María Estefany Arceo Mis con cédula profesional 12732758 </w:t>
      </w:r>
      <w:r w:rsidDel="00000000" w:rsidR="00000000" w:rsidRPr="00000000">
        <w:rPr>
          <w:rFonts w:ascii="Arial" w:cs="Arial" w:eastAsia="Arial" w:hAnsi="Arial"/>
          <w:sz w:val="24"/>
          <w:szCs w:val="24"/>
          <w:rtl w:val="0"/>
        </w:rPr>
        <w:t xml:space="preserve">y </w:t>
      </w:r>
      <w:r w:rsidDel="00000000" w:rsidR="00000000" w:rsidRPr="00000000">
        <w:rPr>
          <w:rFonts w:ascii="Arial" w:cs="Arial" w:eastAsia="Arial" w:hAnsi="Arial"/>
          <w:sz w:val="26"/>
          <w:szCs w:val="26"/>
          <w:rtl w:val="0"/>
        </w:rPr>
        <w:t xml:space="preserve">Eleonor Ortega Valles con cédula profesional 2465840,</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6"/>
          <w:szCs w:val="26"/>
          <w:rtl w:val="0"/>
        </w:rPr>
        <w:t xml:space="preserve">para recibir notificaciones personales e imponerse en autos y tener acceso al expediente,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rFonts w:ascii="Arial" w:cs="Arial" w:eastAsia="Arial" w:hAnsi="Arial"/>
          <w:b w:val="1"/>
          <w:bCs w:val="1"/>
          <w:sz w:val="26"/>
          <w:szCs w:val="26"/>
          <w:rtl w:val="0"/>
        </w:rPr>
        <w:t xml:space="preserve">rmartin_arjona”, </w:t>
      </w:r>
      <w:r w:rsidDel="00000000" w:rsidR="00000000" w:rsidRPr="00000000">
        <w:rPr>
          <w:rFonts w:ascii="Arial" w:cs="Arial" w:eastAsia="Arial" w:hAnsi="Arial"/>
          <w:sz w:val="26"/>
          <w:szCs w:val="26"/>
          <w:rtl w:val="0"/>
        </w:rPr>
        <w:t xml:space="preserve">con correo electrónico registrado como </w:t>
      </w:r>
      <w:r w:rsidDel="00000000" w:rsidR="00000000" w:rsidRPr="00000000">
        <w:rPr>
          <w:rFonts w:ascii="Arial" w:cs="Arial" w:eastAsia="Arial" w:hAnsi="Arial"/>
          <w:b w:val="1"/>
          <w:bCs w:val="1"/>
          <w:sz w:val="26"/>
          <w:szCs w:val="26"/>
          <w:rtl w:val="0"/>
        </w:rPr>
        <w:t xml:space="preserve">“</w:t>
      </w:r>
      <w:hyperlink r:id="rId9">
        <w:r w:rsidDel="00000000" w:rsidR="00000000" w:rsidRPr="00000000">
          <w:rPr>
            <w:rFonts w:ascii="Arial" w:cs="Arial" w:eastAsia="Arial" w:hAnsi="Arial"/>
            <w:b w:val="1"/>
            <w:bCs w:val="1"/>
            <w:color w:val="1155cc"/>
            <w:sz w:val="26"/>
            <w:szCs w:val="26"/>
            <w:u w:val="single"/>
            <w:rtl w:val="0"/>
          </w:rPr>
          <w:t xml:space="preserve">rmartin_arjona@hotmail.com</w:t>
        </w:r>
      </w:hyperlink>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b w:val="1"/>
          <w:bCs w:val="1"/>
          <w:sz w:val="26"/>
          <w:szCs w:val="26"/>
          <w:rtl w:val="0"/>
        </w:rPr>
        <w:t xml:space="preserve">“alvaro_pegueros” </w:t>
      </w:r>
      <w:r w:rsidDel="00000000" w:rsidR="00000000" w:rsidRPr="00000000">
        <w:rPr>
          <w:rFonts w:ascii="Arial" w:cs="Arial" w:eastAsia="Arial" w:hAnsi="Arial"/>
          <w:sz w:val="26"/>
          <w:szCs w:val="26"/>
          <w:rtl w:val="0"/>
        </w:rPr>
        <w:t xml:space="preserve">con correo electrónico </w:t>
      </w:r>
      <w:hyperlink r:id="rId10">
        <w:r w:rsidDel="00000000" w:rsidR="00000000" w:rsidRPr="00000000">
          <w:rPr>
            <w:rFonts w:ascii="Arial" w:cs="Arial" w:eastAsia="Arial" w:hAnsi="Arial"/>
            <w:b w:val="1"/>
            <w:bCs w:val="1"/>
            <w:color w:val="1155cc"/>
            <w:sz w:val="26"/>
            <w:szCs w:val="26"/>
            <w:u w:val="single"/>
            <w:rtl w:val="0"/>
          </w:rPr>
          <w:t xml:space="preserve">alvaro_pegueros@hotmail.com</w:t>
        </w:r>
      </w:hyperlink>
      <w:r w:rsidDel="00000000" w:rsidR="00000000" w:rsidRPr="00000000">
        <w:rPr>
          <w:rFonts w:ascii="Arial" w:cs="Arial" w:eastAsia="Arial" w:hAnsi="Arial"/>
          <w:sz w:val="26"/>
          <w:szCs w:val="26"/>
          <w:rtl w:val="0"/>
        </w:rPr>
        <w:t xml:space="preserve">  y </w:t>
      </w:r>
      <w:r w:rsidDel="00000000" w:rsidR="00000000" w:rsidRPr="00000000">
        <w:rPr>
          <w:rFonts w:ascii="Arial" w:cs="Arial" w:eastAsia="Arial" w:hAnsi="Arial"/>
          <w:b w:val="1"/>
          <w:bCs w:val="1"/>
          <w:sz w:val="26"/>
          <w:szCs w:val="26"/>
          <w:rtl w:val="0"/>
        </w:rPr>
        <w:t xml:space="preserve">“marceomis”</w:t>
      </w:r>
      <w:r w:rsidDel="00000000" w:rsidR="00000000" w:rsidRPr="00000000">
        <w:rPr>
          <w:rFonts w:ascii="Arial" w:cs="Arial" w:eastAsia="Arial" w:hAnsi="Arial"/>
          <w:sz w:val="26"/>
          <w:szCs w:val="26"/>
          <w:rtl w:val="0"/>
        </w:rPr>
        <w:t xml:space="preserve"> con correo electrónico registrado como </w:t>
      </w:r>
      <w:r w:rsidDel="00000000" w:rsidR="00000000" w:rsidRPr="00000000">
        <w:rPr>
          <w:rFonts w:ascii="Arial" w:cs="Arial" w:eastAsia="Arial" w:hAnsi="Arial"/>
          <w:b w:val="1"/>
          <w:bCs w:val="1"/>
          <w:sz w:val="26"/>
          <w:szCs w:val="26"/>
          <w:rtl w:val="0"/>
        </w:rPr>
        <w:t xml:space="preserve">“</w:t>
      </w:r>
      <w:hyperlink r:id="rId11">
        <w:r w:rsidDel="00000000" w:rsidR="00000000" w:rsidRPr="00000000">
          <w:rPr>
            <w:rFonts w:ascii="Arial" w:cs="Arial" w:eastAsia="Arial" w:hAnsi="Arial"/>
            <w:b w:val="1"/>
            <w:bCs w:val="1"/>
            <w:color w:val="1155cc"/>
            <w:sz w:val="26"/>
            <w:szCs w:val="26"/>
            <w:u w:val="single"/>
            <w:rtl w:val="0"/>
          </w:rPr>
          <w:t xml:space="preserve">mearceomis@gmail.com</w:t>
        </w:r>
      </w:hyperlink>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sz w:val="26"/>
          <w:szCs w:val="26"/>
          <w:rtl w:val="0"/>
        </w:rPr>
        <w:t xml:space="preserve">para que el expediente que se forme sea vinculado a este usuario; en el entendido que el trámite del juicio deberá continuarse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3E">
      <w:pPr>
        <w:spacing w:after="0"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F">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Por medio del presente escrito y con fundamento en los artículos 103, fracción I y 107, párrafo primero, y fracción X de la Constitución Política de los Estados Unidos Mexicanos;  81, fracción I, inciso a), 84, 86, 88, 89 y 90 de la Ley de Amparo, se interpone </w:t>
      </w:r>
      <w:r w:rsidDel="00000000" w:rsidR="00000000" w:rsidRPr="00000000">
        <w:rPr>
          <w:rFonts w:ascii="Arial" w:cs="Arial" w:eastAsia="Arial" w:hAnsi="Arial"/>
          <w:b w:val="1"/>
          <w:bCs w:val="1"/>
          <w:sz w:val="26"/>
          <w:szCs w:val="26"/>
          <w:rtl w:val="0"/>
        </w:rPr>
        <w:t xml:space="preserve">RECURSO DE REVISIÓN contra la interlocutoria dictada en la audiencia incidental verificada el 25 de noviembre de 2025 en los autos del incidente de suspensión del amparo indirecto 921/2025 por el Juez Cuarto de Distrito en el Estado de Quintana Roo, con residencia en Cancún, resolución en la cual indebidamente se niega al quejoso la suspensión definitiva.</w:t>
      </w:r>
      <w:r w:rsidDel="00000000" w:rsidR="00000000" w:rsidRPr="00000000">
        <w:rPr>
          <w:rtl w:val="0"/>
        </w:rPr>
      </w:r>
    </w:p>
    <w:p w:rsidR="00000000" w:rsidDel="00000000" w:rsidP="00000000" w:rsidRDefault="00000000" w:rsidRPr="00000000" w14:paraId="00000040">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1">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Previo a expresar los agravios, se justifica la oportunidad en la interposición del recurso.</w:t>
      </w:r>
    </w:p>
    <w:p w:rsidR="00000000" w:rsidDel="00000000" w:rsidP="00000000" w:rsidRDefault="00000000" w:rsidRPr="00000000" w14:paraId="00000042">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3">
      <w:pPr>
        <w:pBdr>
          <w:bottom w:color="000000" w:space="1" w:sz="24" w:val="single"/>
        </w:pBd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44">
      <w:pPr>
        <w:pBdr>
          <w:bottom w:color="000000" w:space="1" w:sz="24" w:val="single"/>
        </w:pBdr>
        <w:spacing w:after="0" w:line="240" w:lineRule="auto"/>
        <w:jc w:val="center"/>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OPORTUNIDAD. </w:t>
      </w: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6">
      <w:pPr>
        <w:spacing w:after="0" w:line="360" w:lineRule="auto"/>
        <w:jc w:val="both"/>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La interlocutoria recurrida fue notificada al quejoso, mediante </w:t>
      </w:r>
      <w:r w:rsidDel="00000000" w:rsidR="00000000" w:rsidRPr="00000000">
        <w:rPr>
          <w:rFonts w:ascii="Arial" w:cs="Arial" w:eastAsia="Arial" w:hAnsi="Arial"/>
          <w:b w:val="1"/>
          <w:bCs w:val="1"/>
          <w:sz w:val="26"/>
          <w:szCs w:val="26"/>
          <w:rtl w:val="0"/>
        </w:rPr>
        <w:t xml:space="preserve">publicación por lista realizada el miércoles 26 de noviembre de 2025</w:t>
      </w:r>
      <w:r w:rsidDel="00000000" w:rsidR="00000000" w:rsidRPr="00000000">
        <w:rPr>
          <w:rFonts w:ascii="Arial" w:cs="Arial" w:eastAsia="Arial" w:hAnsi="Arial"/>
          <w:sz w:val="26"/>
          <w:szCs w:val="26"/>
          <w:rtl w:val="0"/>
        </w:rPr>
        <w:t xml:space="preserve">; razones por las cuales, si en amparo, las notificaciones surten sus efectos al día hábil siguiente al de la notificación o publicación por lista, de conformidad con la fracción II del artículo 31 de la Ley de Amparo</w:t>
      </w:r>
      <w:r w:rsidDel="00000000" w:rsidR="00000000" w:rsidRPr="00000000">
        <w:rPr>
          <w:rFonts w:ascii="Arial" w:cs="Arial" w:eastAsia="Arial" w:hAnsi="Arial"/>
          <w:b w:val="1"/>
          <w:bCs w:val="1"/>
          <w:sz w:val="26"/>
          <w:szCs w:val="26"/>
          <w:rtl w:val="0"/>
        </w:rPr>
        <w:t xml:space="preserve">. </w:t>
      </w:r>
    </w:p>
    <w:p w:rsidR="00000000" w:rsidDel="00000000" w:rsidP="00000000" w:rsidRDefault="00000000" w:rsidRPr="00000000" w14:paraId="00000047">
      <w:pPr>
        <w:spacing w:after="0" w:line="360" w:lineRule="auto"/>
        <w:ind w:firstLine="708"/>
        <w:jc w:val="both"/>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Considerando lo anterior, el plazo de 10 días hábiles para interponer el recurso de revisión a que se refiere el artículo 86, párrafo primero, de la Ley de Amparo (considerando que los días 29, 30 del mes de noviembre, y los días 6 y 7 del mes de diciembre todos del año 2025 fueron inhábiles por tratarse de sábado y domingo respectivamente) comenzó a correr al día hábil siguiente al de la fecha de surtimiento de efectos de la notificación en los términos señalados en el párrafo anterior, es decir el día jueves 27 de noviembre del año de 2025 y la fecha de término corresponde al miércoles 10 de diciembre del año 2025.</w:t>
      </w:r>
      <w:r w:rsidDel="00000000" w:rsidR="00000000" w:rsidRPr="00000000">
        <w:rPr>
          <w:rtl w:val="0"/>
        </w:rPr>
      </w:r>
    </w:p>
    <w:p w:rsidR="00000000" w:rsidDel="00000000" w:rsidP="00000000" w:rsidRDefault="00000000" w:rsidRPr="00000000" w14:paraId="00000048">
      <w:pPr>
        <w:spacing w:after="0" w:line="360" w:lineRule="auto"/>
        <w:ind w:firstLine="708"/>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49">
      <w:pPr>
        <w:spacing w:after="0" w:line="360" w:lineRule="auto"/>
        <w:ind w:firstLine="708"/>
        <w:jc w:val="both"/>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Al realizar el cómputo del párrafo anterior, deben descontarse los días inhábiles para efectos del amparo de conformidad con los artículos 19 de la Ley de Amparo y 143 de la legislación orgánica del Poder Judicial de la Federación, que en el caso fueron, por tratarse de días sábados y domingos, días 29, 30 del mes de noviembre, y los días 6 y 7 del mes de diciembre todos del año 2025. </w:t>
      </w:r>
      <w:r w:rsidDel="00000000" w:rsidR="00000000" w:rsidRPr="00000000">
        <w:rPr>
          <w:rtl w:val="0"/>
        </w:rPr>
      </w:r>
    </w:p>
    <w:p w:rsidR="00000000" w:rsidDel="00000000" w:rsidP="00000000" w:rsidRDefault="00000000" w:rsidRPr="00000000" w14:paraId="0000004A">
      <w:pPr>
        <w:spacing w:after="0" w:line="360" w:lineRule="auto"/>
        <w:ind w:firstLine="708"/>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4B">
      <w:pPr>
        <w:spacing w:after="0" w:line="360" w:lineRule="auto"/>
        <w:ind w:firstLine="708"/>
        <w:jc w:val="both"/>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Toda vez que el presente recurso se interpone antes de la conclusión de la fecha de término, debe reconocerse su oportunidad.</w:t>
      </w:r>
      <w:r w:rsidDel="00000000" w:rsidR="00000000" w:rsidRPr="00000000">
        <w:rPr>
          <w:rtl w:val="0"/>
        </w:rPr>
      </w:r>
    </w:p>
    <w:p w:rsidR="00000000" w:rsidDel="00000000" w:rsidP="00000000" w:rsidRDefault="00000000" w:rsidRPr="00000000" w14:paraId="0000004C">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E">
      <w:pPr>
        <w:pBdr>
          <w:bottom w:color="000000" w:space="1" w:sz="24" w:val="single"/>
        </w:pBd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PROCEDENCIA. </w:t>
      </w:r>
    </w:p>
    <w:p w:rsidR="00000000" w:rsidDel="00000000" w:rsidP="00000000" w:rsidRDefault="00000000" w:rsidRPr="00000000" w14:paraId="0000004F">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0">
      <w:pPr>
        <w:spacing w:after="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De conformidad con lo dispuesto por el artículo 81, fracción I, inciso a) de la Ley de Amparo, tratándose el amparo indirecto ante juzgados de distrito, espero de curso de revisión contra las resoluciones que no nieguen la suspensión definitiva, casos en los cuales también podrán impugnarse los acuerdos pronunciados en la audiencia incidental. </w:t>
      </w:r>
    </w:p>
    <w:p w:rsidR="00000000" w:rsidDel="00000000" w:rsidP="00000000" w:rsidRDefault="00000000" w:rsidRPr="00000000" w14:paraId="00000051">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2">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3">
      <w:pPr>
        <w:pBdr>
          <w:bottom w:color="000000" w:space="1" w:sz="24" w:val="single"/>
        </w:pBd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AGRAVIOS.</w:t>
      </w:r>
    </w:p>
    <w:p w:rsidR="00000000" w:rsidDel="00000000" w:rsidP="00000000" w:rsidRDefault="00000000" w:rsidRPr="00000000" w14:paraId="00000054">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55">
      <w:pPr>
        <w:spacing w:after="0" w:line="36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AGRAVIO GENERAL: LA NEGATIVA DE LA SUSPENSIÓN DEFINITIVA.</w:t>
      </w:r>
    </w:p>
    <w:p w:rsidR="00000000" w:rsidDel="00000000" w:rsidP="00000000" w:rsidRDefault="00000000" w:rsidRPr="00000000" w14:paraId="00000056">
      <w:pPr>
        <w:pStyle w:val="Heading3"/>
        <w:keepNext w:val="0"/>
        <w:keepLines w:val="0"/>
        <w:spacing w:after="80" w:before="280" w:line="360" w:lineRule="auto"/>
        <w:jc w:val="both"/>
        <w:rPr>
          <w:rFonts w:ascii="Arial" w:cs="Arial" w:eastAsia="Arial" w:hAnsi="Arial"/>
          <w:b w:val="1"/>
          <w:bCs w:val="1"/>
          <w:color w:val="000000"/>
          <w:sz w:val="26"/>
          <w:szCs w:val="26"/>
        </w:rPr>
      </w:pPr>
      <w:bookmarkStart w:colFirst="0" w:colLast="0" w:name="_heading=h.n40od6kqo5yc" w:id="1"/>
      <w:bookmarkEnd w:id="1"/>
      <w:r w:rsidDel="00000000" w:rsidR="00000000" w:rsidRPr="00000000">
        <w:rPr>
          <w:rFonts w:ascii="Arial" w:cs="Arial" w:eastAsia="Arial" w:hAnsi="Arial"/>
          <w:b w:val="1"/>
          <w:bCs w:val="1"/>
          <w:color w:val="000000"/>
          <w:sz w:val="26"/>
          <w:szCs w:val="26"/>
          <w:rtl w:val="0"/>
        </w:rPr>
        <w:t xml:space="preserve">AGRAVIO PARTICULAR. LA INCORRECTA VALORACIÓN DE LAS PRUEBAS.</w:t>
      </w:r>
    </w:p>
    <w:p w:rsidR="00000000" w:rsidDel="00000000" w:rsidP="00000000" w:rsidRDefault="00000000" w:rsidRPr="00000000" w14:paraId="00000057">
      <w:pPr>
        <w:ind w:left="720" w:firstLine="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“Ahora bien, con tales documentos se acredita la personalidad con que comparece el representante de la parte quejosa; sin embargo no son aptos para acreditar el interés suspensional, que permita a la accionista acudir ante esta instancia constitucional a solicitar la suspensión de la ejecución de los actos reclamados.</w:t>
      </w:r>
    </w:p>
    <w:p w:rsidR="00000000" w:rsidDel="00000000" w:rsidP="00000000" w:rsidRDefault="00000000" w:rsidRPr="00000000" w14:paraId="00000058">
      <w:pPr>
        <w:ind w:left="720" w:firstLine="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Lo jurídicamente relevante es que, ofreció como prueba principal de la acreditación de su derecho real sobre el inmueble, un contrato de operación celebrado con Ejecutivos de Turismo Sustentable, Sociedad Anónima de Capital Variable, y el uno de septiembre de dos mil veinticuatro, por medio del cual la moral referida entrega la posesión de los bienes que ahí se describen (albercas, áreas de servicio, etc.) del inmueble citado en la Declaración C) de dicho documento, esto es, Lote 5-02, Mza. 70, Sección D Tercera Etapa, Zona Hotelera de Cancún, Quintana Roo, lo cual difiere con el señalado por la parte quejosa y con el resto de los medios de convicción referidos (licencias de funcionamiento y de bebidas alcohólicas, acta de inspección, etc.), mismo que versan sobre el inmueble; esto es, ZONA HOTELERA, MZA. 60 LT.5-02 BLVD. KUKULKAN SECCIÓN D TERCERA ETAPA entre BLVD. KUKULKAN Y PUNTA NIZUC.”</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PRIMERA REFUTACIÓN.-</w:t>
      </w:r>
      <w:r w:rsidDel="00000000" w:rsidR="00000000" w:rsidRPr="00000000">
        <w:rPr>
          <w:rFonts w:ascii="Arial" w:cs="Arial" w:eastAsia="Arial" w:hAnsi="Arial"/>
          <w:sz w:val="24"/>
          <w:szCs w:val="24"/>
          <w:rtl w:val="0"/>
        </w:rPr>
        <w:t xml:space="preserve"> La autoridad responsable negó la suspensión definitiva argumentando que el contrato exhibido por la quejosa refiere un inmueble ubicado en la “Manzana 70”, mientras que el acto reclamado se pretende ejecutar en la “Manzana 60”, concluyendo que no se acredita la relación jurídica necesaria para justificar el interés jurídico. Dicha determinación es ilegal, ya que parte de una exigencia formal excesiva e incompatible con la naturaleza del incidente de suspensión.</w:t>
      </w:r>
    </w:p>
    <w:p w:rsidR="00000000" w:rsidDel="00000000" w:rsidP="00000000" w:rsidRDefault="00000000" w:rsidRPr="00000000" w14:paraId="0000005B">
      <w:pPr>
        <w:spacing w:after="0" w:line="360" w:lineRule="auto"/>
        <w:ind w:firstLine="7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al artículo 138 de la Ley de Amparo, en materia de suspensión basta con que exista una apariencia razonable de que el quejoso tiene un derecho susceptible de ser afectado con la ejecución del acto reclamado. La resolución recurrida desconoció este parámetro al exigir una coincidencia documental absoluta, ignorando que en el juicio se aportaron diversas constancias oficiales como lo son las licencias y actas, que demuestran que el inmueble que poseo se encuentra materialmente ubicado en la Manzana 60, siendo el mismo al que pretende acceder la autoridad responsable.</w:t>
      </w:r>
    </w:p>
    <w:p w:rsidR="00000000" w:rsidDel="00000000" w:rsidP="00000000" w:rsidRDefault="00000000" w:rsidRPr="00000000" w14:paraId="0000005C">
      <w:pPr>
        <w:spacing w:after="0" w:line="360" w:lineRule="auto"/>
        <w:ind w:firstLine="7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el juzgador realizó una interpretación restrictiva y formalista que no corresponde al estándar de apariencia del buen derecho aplicable, generando un perjuicio directo al quejoso. La autoridad responsable omitió valorar de manera integral las pruebas ofrecidas por la quejosa para acreditar la ubicación real del inmueble. En la resolución impugnada se observa que únicamente se consideró el error material contenido en el contrato, dejando sin análisis las constancias emitidas por autoridades municipales y otros documentos que confirman inequívocamente que el inmueble en cuestión se identifica como ubicado en la “Manzana 60”. Dicha omisión constituye una violación al deber de exhaustividad, pues el juzgador está obligado a examinar todos los elementos ofrecidos que resulten relevantes para determinar la existencia del interés jurídico en la suspensión. El análisis parcial e incompleto de las pruebas condujo a una conclusión incorrecta y perjudicial, generando un agravio directo en mi perjuicio.Además, la resolución carece de estudio sobre la explicación claramente señalada por la quejosa respecto del error material en la designación de la manzana contenida en el contrato, omisión que impide considerar que se trata de un inmueble distinto y no del mismo predio materialmente identificado con múltiples documentos oficiales.</w:t>
      </w:r>
    </w:p>
    <w:p w:rsidR="00000000" w:rsidDel="00000000" w:rsidP="00000000" w:rsidRDefault="00000000" w:rsidRPr="00000000" w14:paraId="0000005D">
      <w:pPr>
        <w:spacing w:after="0" w:line="360" w:lineRule="auto"/>
        <w:ind w:firstLine="70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SEGUNDA REFUTACIÓN.-</w:t>
      </w:r>
      <w:r w:rsidDel="00000000" w:rsidR="00000000" w:rsidRPr="00000000">
        <w:rPr>
          <w:rFonts w:ascii="Arial" w:cs="Arial" w:eastAsia="Arial" w:hAnsi="Arial"/>
          <w:sz w:val="24"/>
          <w:szCs w:val="24"/>
          <w:rtl w:val="0"/>
        </w:rPr>
        <w:t xml:space="preserve"> Aun en el supuesto de que existiera una inconsistencia entre la manzana señalada en el contrato y la ubicación del inmueble, la suspensión debió concederse atendiendo al principio pro persona y al derecho de acceso a la justicia reconocido en el artículo 17 constitucional.</w:t>
      </w:r>
    </w:p>
    <w:p w:rsidR="00000000" w:rsidDel="00000000" w:rsidP="00000000" w:rsidRDefault="00000000" w:rsidRPr="00000000" w14:paraId="0000005F">
      <w:pPr>
        <w:spacing w:after="0" w:line="360" w:lineRule="auto"/>
        <w:ind w:firstLine="7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efectos de suspensión, los tribunales han sostenido que las formalidades no pueden privar de protección cautelar cuando existen elementos suficientes para identificar que el inmueble es el mismo que podría resultar afectado por el acto reclamado. La resolución recurrida, sin embargo, se basa exclusivamente en una discrepancia numérica que como se demostró es un error de designación, privilegiando una formalidad sobre la realidad física del bien.</w:t>
      </w:r>
    </w:p>
    <w:p w:rsidR="00000000" w:rsidDel="00000000" w:rsidP="00000000" w:rsidRDefault="00000000" w:rsidRPr="00000000" w14:paraId="0000006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autoridad responsable debió ponderar que la finalidad de la suspensión es evitar daños de imposible reparación; por ello, la interpretación de los requisitos de procedencia debe ser amplia y protectora, y nunca restrictiva o formalista. La negativa vulnera este estándar y deja sin tutela efectiva mis derechos.</w:t>
      </w:r>
    </w:p>
    <w:p w:rsidR="00000000" w:rsidDel="00000000" w:rsidP="00000000" w:rsidRDefault="00000000" w:rsidRPr="00000000" w14:paraId="00000061">
      <w:pPr>
        <w:spacing w:after="0" w:line="360" w:lineRule="auto"/>
        <w:ind w:firstLine="7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resolución impugnada analizó la acreditación de la posesión como si se tratara de una sentencia de fondo, exigiendo plena prueba y descartando la apariencia del derecho. El criterio aplicado desconoce la esencia del incidente de suspensión, cuyo objeto es únicamente determinar si existe una probabilidad razonable de que el quejoso pueda resultar afectado por el acto reclamado. Las diversas constancias públicas y privadas aportadas demuestran con suficiencia indiciaria que el inmueble donde se pretende llevar a cabo el desalojo es el mismo que poseo y habito. La discrepancia formal en el número de manzana del contrato no elimina dicha probabilidad. Exigir coincidencia documental absoluta constituye una sobrerregulación del estándar cautelar, que afecta de manera indebida a la quejosa.</w:t>
      </w:r>
    </w:p>
    <w:p w:rsidR="00000000" w:rsidDel="00000000" w:rsidP="00000000" w:rsidRDefault="00000000" w:rsidRPr="00000000" w14:paraId="00000062">
      <w:pPr>
        <w:spacing w:after="0" w:line="360" w:lineRule="auto"/>
        <w:ind w:firstLine="70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TERCERA REFUTACIÓN.-</w:t>
      </w:r>
      <w:r w:rsidDel="00000000" w:rsidR="00000000" w:rsidRPr="00000000">
        <w:rPr>
          <w:rFonts w:ascii="Arial" w:cs="Arial" w:eastAsia="Arial" w:hAnsi="Arial"/>
          <w:sz w:val="24"/>
          <w:szCs w:val="24"/>
          <w:rtl w:val="0"/>
        </w:rPr>
        <w:t xml:space="preserve"> La negativa de la suspensión permite la ejecución del desalojo reclamado, lo cual causaría un daño de imposible reparación, al privarme materialmente del inmueble que habito. La autoridad responsable pasó por alto que la suspensión tiene como finalidad preservar la materia del juicio de amparo, lo cual se ve claramente comprometido si se autoriza la ejecución del desalojo mientras continúa el proceso. La resolución recurrida, al basarse en una apreciación formal del contrato e ignorar el conjunto de pruebas que demuestran la verdadera ubicación del inmueble, pone en riesgo la subsistencia del objeto del juicio de amparo, lo cual justifica plenamente la revocación de la negativa y la concesión de la suspensión.</w:t>
      </w:r>
    </w:p>
    <w:p w:rsidR="00000000" w:rsidDel="00000000" w:rsidP="00000000" w:rsidRDefault="00000000" w:rsidRPr="00000000" w14:paraId="0000006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SEGUNDO AGRAVIO PARTICULAR.- </w:t>
      </w:r>
      <w:r w:rsidDel="00000000" w:rsidR="00000000" w:rsidRPr="00000000">
        <w:rPr>
          <w:rFonts w:ascii="Aptos" w:cs="Aptos" w:eastAsia="Aptos" w:hAnsi="Aptos"/>
          <w:b w:val="1"/>
          <w:bCs w:val="1"/>
          <w:sz w:val="24"/>
          <w:szCs w:val="24"/>
          <w:rtl w:val="0"/>
        </w:rPr>
        <w:t xml:space="preserve">LA AFECTACIÓN CONSTITUCIONAL ES LA DESPOSESIÓN DEL INMUEBLE, NO EL CONTRATO.</w:t>
      </w:r>
      <w:r w:rsidDel="00000000" w:rsidR="00000000" w:rsidRPr="00000000">
        <w:rPr>
          <w:rtl w:val="0"/>
        </w:rPr>
      </w:r>
    </w:p>
    <w:p w:rsidR="00000000" w:rsidDel="00000000" w:rsidP="00000000" w:rsidRDefault="00000000" w:rsidRPr="00000000" w14:paraId="00000066">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PRIMERA REFUTATIO.-</w:t>
      </w:r>
      <w:r w:rsidDel="00000000" w:rsidR="00000000" w:rsidRPr="00000000">
        <w:rPr>
          <w:rFonts w:ascii="Arial" w:cs="Arial" w:eastAsia="Arial" w:hAnsi="Arial"/>
          <w:sz w:val="24"/>
          <w:szCs w:val="24"/>
          <w:rtl w:val="0"/>
        </w:rPr>
        <w:t xml:space="preserve"> Es importante mencionar que el acto reclamado del amparo del cual deriva el presente recurso es, de manera clara, la orden judicial de desposesión material del inmueble, emitida por una autoridad distinta a la competente territorialmente y dirigida a entregar físicamente el bien a un ente cuya existencia ni siquiera ha sido acreditada. La esencia de la afectación no reside en la validez de un contrato, sino en la ejecución de un acto de fuerza pública que desplazaría al quejoso del inmueble, alterando su estabilidad jurídica, operativa y ambiental. Es constitucionalmente irrelevante, para efectos de la suspensión y de la materia del amparo, si en un proceso civil alguien exhibe un “contrato”, un “convenio de terminación” o cualquier otra especie documental, pues el artículo 107 de la Constitución y la Ley de Amparo son clarísimos: lo que se protege es la posesión, la integridad material del bien y la continuidad de la situación fáctica existente al momento de presentarse el juicio. La posesión, como derecho real, existe por sí misma, con plena autonomía respecto del contrato que la originó, pues constituye una manifestación jurídica autónoma, protegida por el orden constitucional, que produce efectos, genera derechos y es oponible incluso frente al propietario cuando esta se ejerce de forma legítima, pública y pacífica. En este caso, la posesión no solo ha sido continua e ininterrumpida, sino que ha sido expresamente reconocida por autoridades federales administrativas como SEMARNAT y PROFEPA, quienes han intervenido directamente en el inmueble, han inspeccionado, asegurado y autorizado su operación. Incluso si el contrato llegará a discutirse en otra sede (lo cual no corresponde al juez de amparo) esa discusión jamás podría justificar la consumación de un despojo bajo apariencia formal. La desposesión es el acto reclamado porque altera el estado de hecho, afecta directamente a quien detenta la posesión, y genera un daño que no podría repararse aunque la sentencia de amparo fuera favorable. Es claro que el tercero interesado busca desplazar la discusión del ámbito constitucional al ámbito contractual, porque solo así puede ocultar que lo que está provocando es un despojo judicialmente asistido, cuyo beneficiario carece de personalidad jurídica, carece de legitimación ambiental y carece de reconocimiento estatal.</w:t>
      </w:r>
    </w:p>
    <w:p w:rsidR="00000000" w:rsidDel="00000000" w:rsidP="00000000" w:rsidRDefault="00000000" w:rsidRPr="00000000" w14:paraId="00000067">
      <w:pP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Dejar que el debate gire en torno al contrato sería ignorar la verdadera vulneración: la intención de una autoridad judicial local de usar una orden de entrega como instrumento para alterar un estado de posesión protegido por la autoridad federal ambiental, por actos administrativos vigentes y por inspecciones que confirman la operación continua a cargo de Proyectos Ejecutivos Sustentables, S.A. de C.V.</w:t>
      </w:r>
    </w:p>
    <w:p w:rsidR="00000000" w:rsidDel="00000000" w:rsidP="00000000" w:rsidRDefault="00000000" w:rsidRPr="00000000" w14:paraId="00000068">
      <w:pP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ello, el único acto reclamado real y jurídicamente relevante es la desposesión, ya que es un acto consumativo de consecuencias irreversibles. El desplazamiento físico de quien ocupa legítimamente un inmueble no puede repararse con mera restitución monetaria, ni subsanarse con resoluciones tardías. El momento de la entrega material del inmueble implica la pérdida inmediata de control, operación, acceso y custodia, colocando al afectado en estado de indefensión práctica. Esta naturaleza irreversible del acto es precisamente la que obliga constitucionalmente a la concesión de la suspensión, pues su finalidad es impedir que el proceso constitucional se torne inútil por ejecución anticipada del agravio, la cual fue negada dentro del cuadernillo incidental</w:t>
      </w:r>
    </w:p>
    <w:p w:rsidR="00000000" w:rsidDel="00000000" w:rsidP="00000000" w:rsidRDefault="00000000" w:rsidRPr="00000000" w14:paraId="00000069">
      <w:pPr>
        <w:spacing w:before="24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Resulta jurídicamente inexacto y procesalmente manipulado que se intente reducir la materia de este juicio de amparo al análisis de la existencia, validez o terminación de un contrato civil, cuando lo que verdaderamente se está ejecutando es una orden material de entrega del inmueble, con capacidad real y directa de privar al quejoso de la posesión física del bien que legítimamente detenta. El acto reclamado no es, ni ha sido nunca, una controversia contractual, sino un mandato judicial emitido por una autoridad diversa (el Juez Décimo Civil del Proceso Escrito de la Ciudad de México) que pretende ejecutar un despojo bajo apariencia de legalidad. Este tipo de actos, cuando derivan en la privación efectiva de la posesión, son por naturaleza actos de imposible reparación, debido a que alteran el estado material de las cosas y colocan al gobernado en una situación jurídicamente irreversible. La intervención de un juez ajeno a la jurisdicción territorial, material y administrativa del inmueble, mediante órdenes que tienen como único resultado la pérdida del control físico del bien, no puede ser normalizada como un simple efecto contractual, pues convierte lo civil en una herramienta de coerción material. </w:t>
      </w:r>
    </w:p>
    <w:p w:rsidR="00000000" w:rsidDel="00000000" w:rsidP="00000000" w:rsidRDefault="00000000" w:rsidRPr="00000000" w14:paraId="0000006A">
      <w:pP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contrato es únicamente el pretexto narrativo que pretende justificar la ejecución del despojo, pero el agravio constitucional se genera desde el momento en que una autoridad ordena la entrega del inmueble, sin considerar derechos reales, situaciones administrativas, dominio operativo y posesión reconocida por una autoridad federal. El Juzgado de Distrito está llamado a analizar la realidad jurídica del acto ejecutado, no la apariencia contractual con la que se reviste.</w:t>
      </w:r>
    </w:p>
    <w:p w:rsidR="00000000" w:rsidDel="00000000" w:rsidP="00000000" w:rsidRDefault="00000000" w:rsidRPr="00000000" w14:paraId="0000006B">
      <w:pPr>
        <w:spacing w:after="240" w:before="240" w:line="360" w:lineRule="auto"/>
        <w:jc w:val="both"/>
        <w:rPr>
          <w:rFonts w:ascii="Aptos" w:cs="Aptos" w:eastAsia="Aptos" w:hAnsi="Aptos"/>
          <w:sz w:val="24"/>
          <w:szCs w:val="24"/>
        </w:rPr>
      </w:pPr>
      <w:r w:rsidDel="00000000" w:rsidR="00000000" w:rsidRPr="00000000">
        <w:rPr>
          <w:rFonts w:ascii="Arial" w:cs="Arial" w:eastAsia="Arial" w:hAnsi="Arial"/>
          <w:b w:val="1"/>
          <w:bCs w:val="1"/>
          <w:sz w:val="24"/>
          <w:szCs w:val="24"/>
          <w:rtl w:val="0"/>
        </w:rPr>
        <w:t xml:space="preserve">SEGUNDA REFUTATIO.- </w:t>
      </w:r>
      <w:r w:rsidDel="00000000" w:rsidR="00000000" w:rsidRPr="00000000">
        <w:rPr>
          <w:rFonts w:ascii="Aptos" w:cs="Aptos" w:eastAsia="Aptos" w:hAnsi="Aptos"/>
          <w:sz w:val="24"/>
          <w:szCs w:val="24"/>
          <w:rtl w:val="0"/>
        </w:rPr>
        <w:t xml:space="preserve">El acto se vuelve no solo arbitrario, sino jurídico y ontológicamente imposible. Una orden judicial que entrega bienes a quien no existe no produce efectos legales válidos, pero sí genera efectos fácticos devastadores para quien sí existe, sí opera, sí acredita personalidad y sí tiene derechos reconocidos por autoridades administrativas. </w:t>
      </w:r>
      <w:r w:rsidDel="00000000" w:rsidR="00000000" w:rsidRPr="00000000">
        <w:rPr>
          <w:rFonts w:ascii="Aptos" w:cs="Aptos" w:eastAsia="Aptos" w:hAnsi="Aptos"/>
          <w:sz w:val="24"/>
          <w:szCs w:val="24"/>
          <w:rtl w:val="0"/>
        </w:rPr>
        <w:t xml:space="preserve">Este fenómeno constituye una forma sofisticada de fraude procesal estructurado, al introducir un ente ficticio como receptor de una posesión real, con el objetivo de evadir responsabilidades legales y ocultar la verdadera titularidad corporativa.</w:t>
      </w:r>
    </w:p>
    <w:p w:rsidR="00000000" w:rsidDel="00000000" w:rsidP="00000000" w:rsidRDefault="00000000" w:rsidRPr="00000000" w14:paraId="0000006C">
      <w:pPr>
        <w:spacing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Uno de los elementos más graves del acto reclamado consiste en que el inmueble se ordena entregar a un sujeto que no ha acreditado su existencia jurídica, ni su personalidad, ni su representación legal: el denominado “Grupo Dolphin”. En derecho mexicano, una persona moral sólo puede existir si se encuentra debidamente constituida ante fedatario público, inscrita en los registros correspondientes y legalmente identificable como sujeto de derechos y obligaciones. Ninguna de estas condiciones se cumple respecto de la figura llamada “Grupo Dolphin”. No existe acta constitutiva, no existe inscripción en RPC, no existe RFC, no existen representantes debidamente acreditados. Pretender que una autoridad jurisdiccional entregue un inmueble a un ente inexistente equivale jurídicamente a una orden dirigida al vacío. La autoridad judicial que ejecuta este tipo de órdenes no solo incurre en error de apreciación, sino que rompe con el principio esencial de certeza jurídica, pues ningún juez puede ordenar la transmisión de posesión si antes no está acreditada la personalidad de quien la recibe. Lo contrario convierte al aparato judicial en instrumento de despojo y no en garante del derecho. Por lo que, la gravedad de lo ocurrido no se limita al hecho de que se pretenda desposeer a quien legítimamente opera el inmueble; la gravedad se acentúa porque la autoridad ordena entregar dicho inmueble a un ente denominado “Grupo Dolphin”, cuya existencia jurídica no está acreditada ante ninguna autoridad mexicana. Este punto no es menor ni técnico: constituye una violación profunda a los principios más básicos del derecho procesal mexicano. Toda orden judicial debe dirigirse a un sujeto debidamente identificado, con existencia verificable y representación acreditada. No puede haber actos de autoridad dirigidos a entes sin personalidad, porque la personalidad jurídica es el presupuesto de la capacidad para adquirir derechos, asumir obligaciones y recibir posesión de bienes. La imposibilidad jurídica de cumplimiento hace que el acto no solo sea inconstitucional, sino nulo de pleno derecho. Una autoridad no puede transferir posesión a quien carece de existencia jurídica, y aun así el juez local emitió una orden que busca generar un desplazamiento físico en favor de un vacío legal. Desde la óptica constitucional, este comportamiento judicial atenta contra la certeza jurídica, contra el principio de legalidad y contra el debido proceso. No se puede permitir que el aparato del Estado sea utilizado para desposeer a un sujeto existente, regulado y supervisado, para entregar un bien a un ente ficticio utilizado como fachada operativa. No es un error técnico; es un fraude procesal agravado mediante el uso de un juzgado. Esta sola circunstancia basta para demostrar que el acto reclamado es absolutamente arbitrario, desproporcionado y contrario al orden jurídico mexicano.</w:t>
      </w:r>
    </w:p>
    <w:p w:rsidR="00000000" w:rsidDel="00000000" w:rsidP="00000000" w:rsidRDefault="00000000" w:rsidRPr="00000000" w14:paraId="0000006D">
      <w:pPr>
        <w:spacing w:before="240" w:line="276"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TERCER AGRAVIO PARTICULAR.- EXTRALIMITACIÓN DEL JUEZ CONSTITUCIONAL AL VALIDAR UN CONTRATO.</w:t>
      </w:r>
      <w:r w:rsidDel="00000000" w:rsidR="00000000" w:rsidRPr="00000000">
        <w:rPr>
          <w:rtl w:val="0"/>
        </w:rPr>
      </w:r>
    </w:p>
    <w:p w:rsidR="00000000" w:rsidDel="00000000" w:rsidP="00000000" w:rsidRDefault="00000000" w:rsidRPr="00000000" w14:paraId="0000006E">
      <w:pPr>
        <w:spacing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PRIMERA REFUTATIO.-  </w:t>
      </w:r>
      <w:r w:rsidDel="00000000" w:rsidR="00000000" w:rsidRPr="00000000">
        <w:rPr>
          <w:rFonts w:ascii="Aptos" w:cs="Aptos" w:eastAsia="Aptos" w:hAnsi="Aptos"/>
          <w:sz w:val="24"/>
          <w:szCs w:val="24"/>
          <w:rtl w:val="0"/>
        </w:rPr>
        <w:t xml:space="preserve">La suspensión definitiva debió limitarse a analizar si existía riesgo real e inminente de que la autoridad responsable realice la desposesión del inmueble y si la restitución posterior sería imposible. Sin embargo, el razonamiento que se utilizó para negar la suspensión consistió en </w:t>
      </w:r>
      <w:r w:rsidDel="00000000" w:rsidR="00000000" w:rsidRPr="00000000">
        <w:rPr>
          <w:rFonts w:ascii="Aptos" w:cs="Aptos" w:eastAsia="Aptos" w:hAnsi="Aptos"/>
          <w:b w:val="1"/>
          <w:bCs w:val="1"/>
          <w:sz w:val="24"/>
          <w:szCs w:val="24"/>
          <w:rtl w:val="0"/>
        </w:rPr>
        <w:t xml:space="preserve">validar un contrato</w:t>
      </w:r>
      <w:r w:rsidDel="00000000" w:rsidR="00000000" w:rsidRPr="00000000">
        <w:rPr>
          <w:rFonts w:ascii="Aptos" w:cs="Aptos" w:eastAsia="Aptos" w:hAnsi="Aptos"/>
          <w:sz w:val="24"/>
          <w:szCs w:val="24"/>
          <w:rtl w:val="0"/>
        </w:rPr>
        <w:t xml:space="preserve">, asumir su eficacia jurídica y considerar que dicho contrato había sido terminado conforme al dicho unilateral de una de las partes. La suspensión se convirtió, indebidamente, en una suerte de “mini sentencia civil”, donde el juez constitucional no sólo analizó la existencia de un contrato, sino que atribuyó valor jurídico a un documento privado cuya validez está seriamente cuestionada, plagado de irregularidades y sin ratificación notarial. Ello constituye una extralimitación evidente al validar un contrato y descalificar otro, el juzgador invadió una esfera jurisdiccional que no le compete, violentando el principio de especialización judicial y causando indefensión. La discusión que pretende imponer el tercero interesado (y que en ocasiones ha permeado de manera equivocada en algunas determinaciones) consiste en presentar este asunto como un diferendo contractual, como si el juicio de amparo tuviera por objeto decidir cuál contrato prevalece, quién celebró la terminación o si existe una relación mercantil vigente, pues el objeto real del agravio no es el contrato, sino la ejecución material del despojo posesorio que se pretende realizar por vía judicial. No existe pretensión alguna de que este órgano constitucional resuelva la validez, vigencia o rescisión de contrato alguno; la litis constitucional no se estructura en torno a obligaciones personales, sino a la privación de un derecho real de hecho como es la posesión. Sin embargo, esa narrativa distorsiona el origen del agravio constitucional y pretende minimizar la naturaleza profundamente violatoria del acto reclamado.</w:t>
      </w:r>
    </w:p>
    <w:p w:rsidR="00000000" w:rsidDel="00000000" w:rsidP="00000000" w:rsidRDefault="00000000" w:rsidRPr="00000000" w14:paraId="0000006F">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juez constitucional </w:t>
      </w:r>
      <w:r w:rsidDel="00000000" w:rsidR="00000000" w:rsidRPr="00000000">
        <w:rPr>
          <w:rFonts w:ascii="Aptos" w:cs="Aptos" w:eastAsia="Aptos" w:hAnsi="Aptos"/>
          <w:b w:val="1"/>
          <w:bCs w:val="1"/>
          <w:sz w:val="24"/>
          <w:szCs w:val="24"/>
          <w:rtl w:val="0"/>
        </w:rPr>
        <w:t xml:space="preserve">no está facultado</w:t>
      </w:r>
      <w:r w:rsidDel="00000000" w:rsidR="00000000" w:rsidRPr="00000000">
        <w:rPr>
          <w:rFonts w:ascii="Aptos" w:cs="Aptos" w:eastAsia="Aptos" w:hAnsi="Aptos"/>
          <w:sz w:val="24"/>
          <w:szCs w:val="24"/>
          <w:rtl w:val="0"/>
        </w:rPr>
        <w:t xml:space="preserve"> para determinar qué contrato está vigente, cuál terminó, si hubo consentimiento válido o si la firma es auténtica. Estas son cuestiones de fondo, pertenecientes al ámbito civil o mercantil, reservadas al juez natural. La Ley de Amparo prohíbe expresamente que en la suspensión se prejuzgue sobre derechos subjetivos o sobre la validez de actos jurídicos distintos del acto reclamado. El Juez Cuarto de Distrito construyó su resolución sobre la idea de que existía un “convenio de terminación”, como si esa sola afirmación (jamás probada) fuera suficiente para descartar la posesión real, el aseguramiento federal, las inspecciones ambientales, la operación continua y la existencia de un derecho real legítimo. Cedió ante la narrativa contractual y dejó de lado la realidad material. </w:t>
      </w:r>
    </w:p>
    <w:p w:rsidR="00000000" w:rsidDel="00000000" w:rsidP="00000000" w:rsidRDefault="00000000" w:rsidRPr="00000000" w14:paraId="00000070">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exceso es evidente: sustituyó al juez competente, dictó un pronunciamiento sobre validez contractual y basó la negativa de suspensión en un juicio anticipado sobre un documento cuya autenticidad está impugnada por fraude procesal.</w:t>
      </w:r>
    </w:p>
    <w:p w:rsidR="00000000" w:rsidDel="00000000" w:rsidP="00000000" w:rsidRDefault="00000000" w:rsidRPr="00000000" w14:paraId="00000071">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SEGUNDA REFUTATIO.- </w:t>
      </w:r>
      <w:r w:rsidDel="00000000" w:rsidR="00000000" w:rsidRPr="00000000">
        <w:rPr>
          <w:rFonts w:ascii="Aptos" w:cs="Aptos" w:eastAsia="Aptos" w:hAnsi="Aptos"/>
          <w:sz w:val="24"/>
          <w:szCs w:val="24"/>
          <w:rtl w:val="0"/>
        </w:rPr>
        <w:t xml:space="preserve">La suspensión no es una gracia judicial, ni una indulgencia procesal, sino un deber constitucional cuando existe un riesgo real de que el acto reclamado destruya la materia del juicio. En el caso que nos ocupa, al negar la suspensión con base en una valoración anticipada del fondo del asunto, la Juez de Distrito permitió que se ejecute materialmente el acto reclamado, esto es, que se lleve a cabo la desposesión del inmueble, con lo cual no sólo se permitió la violación constitucional combatida, sino que se eliminó la posibilidad real de restitución. La Juez Cuarto de Distrito no sólo se extralimitó al realizar una valoración sustantiva de contratos, sino que además transgredió uno de los principios más elementales del juicio de amparo: la obligación constitucional de conservar viva la materia del juicio. El juicio de amparo no es una figura ornamental del sistema jurídico, sino un mecanismo de control constitucional cuya finalidad esencial consiste en impedir que los actos de autoridad realicen daños irreversibles mientras se resuelve la constitucionalidad del acto reclamado.</w:t>
      </w:r>
    </w:p>
    <w:p w:rsidR="00000000" w:rsidDel="00000000" w:rsidP="00000000" w:rsidRDefault="00000000" w:rsidRPr="00000000" w14:paraId="00000072">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Eso convierte al juicio de amparo en una ilusión procedimental. Se negó la suspensión no porque no existiera riesgo, sino porque la Juez resolvió indebidamente el fondo bajo criterios civiles, cuando su función constitucional es impedir consecuencias irreparables. Negar la suspensión bajo ese razonamiento convierte la justicia constitucional en formalismo vacío. Permitir la ejecución bajo una premisa no juzgada significa tolerar que la Constitución sea violada mientras se analiza si ha sido violada. Eso es una contradicción jurídica insalvable.</w:t>
      </w:r>
    </w:p>
    <w:p w:rsidR="00000000" w:rsidDel="00000000" w:rsidP="00000000" w:rsidRDefault="00000000" w:rsidRPr="00000000" w14:paraId="00000073">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TERCERA REFUTATIO.- </w:t>
      </w:r>
      <w:r w:rsidDel="00000000" w:rsidR="00000000" w:rsidRPr="00000000">
        <w:rPr>
          <w:rFonts w:ascii="Aptos" w:cs="Aptos" w:eastAsia="Aptos" w:hAnsi="Aptos"/>
          <w:sz w:val="24"/>
          <w:szCs w:val="24"/>
          <w:rtl w:val="0"/>
        </w:rPr>
        <w:t xml:space="preserve">La suspensión definitiva no es un instrumento para “resolver” el conflicto principal. Es una medida conservadora destinada a evitar que el juicio de amparo pierda materia por actos de autoridad que modifiquen el estado de hecho. El juez constitucional está obligado a preservar la situación existente al momento del amparo para evitar daños irreparables.</w:t>
      </w:r>
    </w:p>
    <w:p w:rsidR="00000000" w:rsidDel="00000000" w:rsidP="00000000" w:rsidRDefault="00000000" w:rsidRPr="00000000" w14:paraId="00000074">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este caso, el estado de hecho es clarísimo:</w:t>
      </w:r>
    </w:p>
    <w:p w:rsidR="00000000" w:rsidDel="00000000" w:rsidP="00000000" w:rsidRDefault="00000000" w:rsidRPr="00000000" w14:paraId="00000075">
      <w:pPr>
        <w:numPr>
          <w:ilvl w:val="0"/>
          <w:numId w:val="1"/>
        </w:numPr>
        <w:spacing w:after="0" w:afterAutospacing="0" w:before="240" w:line="360"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Proyectos Ejecutivos Sustentables, S.A. de C.V., tiene la posesión material del inmueble.</w:t>
      </w:r>
    </w:p>
    <w:p w:rsidR="00000000" w:rsidDel="00000000" w:rsidP="00000000" w:rsidRDefault="00000000" w:rsidRPr="00000000" w14:paraId="00000076">
      <w:pPr>
        <w:numPr>
          <w:ilvl w:val="0"/>
          <w:numId w:val="1"/>
        </w:numPr>
        <w:spacing w:after="0" w:afterAutospacing="0" w:before="0" w:beforeAutospacing="0" w:line="360"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Proyectos Ejecutivos Sustentables, S.A. de C.V., es la entidad reconocida por SEMARNAT para operar el PIMVS.</w:t>
      </w:r>
    </w:p>
    <w:p w:rsidR="00000000" w:rsidDel="00000000" w:rsidP="00000000" w:rsidRDefault="00000000" w:rsidRPr="00000000" w14:paraId="00000077">
      <w:pPr>
        <w:numPr>
          <w:ilvl w:val="0"/>
          <w:numId w:val="1"/>
        </w:numPr>
        <w:spacing w:after="0" w:afterAutospacing="0" w:before="0" w:beforeAutospacing="0" w:line="36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PROFEPA verificó en inspección que Proyectos Ejecutivos Sustentables, S.A. de C.V., opera continuamente.</w:t>
      </w:r>
    </w:p>
    <w:p w:rsidR="00000000" w:rsidDel="00000000" w:rsidP="00000000" w:rsidRDefault="00000000" w:rsidRPr="00000000" w14:paraId="00000078">
      <w:pPr>
        <w:numPr>
          <w:ilvl w:val="0"/>
          <w:numId w:val="1"/>
        </w:numPr>
        <w:spacing w:after="0" w:afterAutospacing="0" w:before="0" w:beforeAutospacing="0" w:line="36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El inmueble está asegurado y bajo medidas de seguridad ambiental.</w:t>
      </w:r>
    </w:p>
    <w:p w:rsidR="00000000" w:rsidDel="00000000" w:rsidP="00000000" w:rsidRDefault="00000000" w:rsidRPr="00000000" w14:paraId="00000079">
      <w:pPr>
        <w:numPr>
          <w:ilvl w:val="0"/>
          <w:numId w:val="1"/>
        </w:numPr>
        <w:spacing w:after="240" w:before="0" w:beforeAutospacing="0" w:line="36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Los delfines están bajo resguardo legal de Proyectos Ejecutivos Sustentables, S.A. de C.V.</w:t>
      </w:r>
    </w:p>
    <w:p w:rsidR="00000000" w:rsidDel="00000000" w:rsidP="00000000" w:rsidRDefault="00000000" w:rsidRPr="00000000" w14:paraId="0000007A">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juez, sin embargo, dejó de lado todo este acervo factual y se centró en un documento civil cuya autenticidad ni siquiera es clara. Con ello permitió indirectamente que la autoridad civil realice el un acto que afectará no solo la posesión, sino el equilibrio ambiental, la continuidad del aseguramiento y la vida de los ejemplares. La suspensión no debió analizar si había o no terminación contractual (porque ese no es el acto reclamado) sino si el acto de desposesión podría dejar sin materia el juicio. Y claramente sí lo hace: una vez consumada la entrega del inmueble, recuperar la posesión o restituir el control del manejo de vida silvestre sería casi imposible. El juez constitucional ignoró este mandato y produjo una resolución que pone en riesgo no solo la materia del juicio, sino la integridad de un ecosistema artificial altamente especializado.</w:t>
      </w:r>
    </w:p>
    <w:p w:rsidR="00000000" w:rsidDel="00000000" w:rsidP="00000000" w:rsidRDefault="00000000" w:rsidRPr="00000000" w14:paraId="0000007B">
      <w:pPr>
        <w:spacing w:before="240" w:line="276" w:lineRule="auto"/>
        <w:jc w:val="both"/>
        <w:rPr>
          <w:rFonts w:ascii="Aptos" w:cs="Aptos" w:eastAsia="Aptos" w:hAnsi="Aptos"/>
          <w:b w:val="1"/>
          <w:bCs w:val="1"/>
          <w:sz w:val="26"/>
          <w:szCs w:val="26"/>
        </w:rPr>
      </w:pPr>
      <w:r w:rsidDel="00000000" w:rsidR="00000000" w:rsidRPr="00000000">
        <w:rPr>
          <w:rFonts w:ascii="Aptos" w:cs="Aptos" w:eastAsia="Aptos" w:hAnsi="Aptos"/>
          <w:b w:val="1"/>
          <w:bCs w:val="1"/>
          <w:sz w:val="24"/>
          <w:szCs w:val="24"/>
          <w:rtl w:val="0"/>
        </w:rPr>
        <w:t xml:space="preserve">CUARTO AGRAVIO PARTICULAR.- RIESGO AMBIENTAL, CUSTODIA DE FAUNA SILVESTRE Y OBLIGACIÓN DE DAR VISTA A PROFEPA.</w:t>
      </w:r>
      <w:r w:rsidDel="00000000" w:rsidR="00000000" w:rsidRPr="00000000">
        <w:rPr>
          <w:rtl w:val="0"/>
        </w:rPr>
      </w:r>
    </w:p>
    <w:p w:rsidR="00000000" w:rsidDel="00000000" w:rsidP="00000000" w:rsidRDefault="00000000" w:rsidRPr="00000000" w14:paraId="0000007C">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PRIMERA REFUTATIO.- </w:t>
      </w:r>
      <w:r w:rsidDel="00000000" w:rsidR="00000000" w:rsidRPr="00000000">
        <w:rPr>
          <w:rFonts w:ascii="Aptos" w:cs="Aptos" w:eastAsia="Aptos" w:hAnsi="Aptos"/>
          <w:sz w:val="24"/>
          <w:szCs w:val="24"/>
          <w:rtl w:val="0"/>
        </w:rPr>
        <w:t xml:space="preserve">Los delfines ubicados en el inmueble Nizuc no son bienes muebles de libre disposición. Son especies sujetas a regulación federal, bajo la Ley General de Vida Silvestre. La custodia de estos ejemplares sólo puede recaer en una persona moral expresamente autorizada por SEMARNAT, y la única persona autorizada es Proyectos Ejecutivos Sustentables, S.A. de C.V. (PES), y en ello consta en el Oficio SPARN/DGVS/00111/2025, las Resoluciones administrativas de SEMARNAT, la Acta de inspección de PROFEPA, Aseguramiento vigente del predio, Constancias del PIMVS oficialmente actualizado, mismas que se exhibieron dentro del cuadernillo incidental, lo cual es un hecho notorio para este H. Juzgado de Distrito dichas documentales presentadas. La autoridad federal jamás ha autorizado a Ejecutivos de Turismo Sustentable, S.A. de C.V, mucho menos a “Grupo Dolphin”, que ni siquiera existe jurídicamente. Por lo que, despojar a Proyectos Ejecutivos Sustentables, S.A. de C.V. del inmueble implica despojarlo también del cuidado de los delfines, aun cuando es la única entidad reconocida legalmente para su manejo. Cualquier desposesión que coloque a los ejemplares en manos de un ente no autorizado constituye una violación directa a la Ley General de Vida Silvestre, a regulaciones federales y a los estándares técnicos de bienestar animal.</w:t>
      </w:r>
    </w:p>
    <w:p w:rsidR="00000000" w:rsidDel="00000000" w:rsidP="00000000" w:rsidRDefault="00000000" w:rsidRPr="00000000" w14:paraId="0000007D">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SEGUNDA REFUTATIO.- </w:t>
      </w:r>
      <w:r w:rsidDel="00000000" w:rsidR="00000000" w:rsidRPr="00000000">
        <w:rPr>
          <w:rFonts w:ascii="Aptos" w:cs="Aptos" w:eastAsia="Aptos" w:hAnsi="Aptos"/>
          <w:sz w:val="24"/>
          <w:szCs w:val="24"/>
          <w:rtl w:val="0"/>
        </w:rPr>
        <w:t xml:space="preserve">Es claro precisar que el inmueble está bajo tutela federal y no puede ser entregado por un juzgado civil a una persona existente, por lo que el Juez de Distrito debe de considerar el aseguramiento, la inspección, las medidas federales, el riesgo sanitario, la obligatoriedad de que solo Proyectos Ejecutivos Sustentables, S.A. de C.V., puede acceder legalmente al inmueble para continuar con el manejo especializado de los ejemplares. Por lo que, si se realiza una falta de esta valoración no es un error; es una omisión grave que compromete la vida de los animales y viola directamente el deber constitucional de protección ambiental, pues estaría en la omisión de considerar a los delfines como una cuestión secundaria, PROFEPA acreditó la existencia de agentes infecciosos y estableció que la supervivencia de los ejemplares depende del manejo continuo, especializado y autorizado por Proyectos Ejecutivos Sustentables, S.A. de C.V.</w:t>
      </w:r>
    </w:p>
    <w:p w:rsidR="00000000" w:rsidDel="00000000" w:rsidP="00000000" w:rsidRDefault="00000000" w:rsidRPr="00000000" w14:paraId="0000007E">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Es claro precisar, que el derecho ambiental no reconoce “posesión civil” como parámetro para determinar quién puede manejar fauna sujeta a regulación federal. La autoridad ambiental sí reconoce a Proyectos Ejecutivos Sustentables, S.A. de C.V., como titular operativo; el juez civil y el juez de distrito no pueden sustituir esa determinación técnica y especializada. A mayor abundamiento, resulta especialmente grave que la autoridad federal jamás ha dirigido comunicación administrativa alguna a Ejecutivos de Turismo Sustentable, S.A. de C.V. o al inexistente Grupo Dolphin, lo que demuestra que ambas carecen absolutamente de legitimación para intervenir en el predio o manejar las especies. La única conclusión posible es que SEMARNAT y PROFEPA deben intervenir de manera inmediata en el juicio, pues su función constitucional está directamente comprometida.</w:t>
      </w:r>
    </w:p>
    <w:p w:rsidR="00000000" w:rsidDel="00000000" w:rsidP="00000000" w:rsidRDefault="00000000" w:rsidRPr="00000000" w14:paraId="0000007F">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TERCERA REFUTATIO.- </w:t>
      </w:r>
      <w:r w:rsidDel="00000000" w:rsidR="00000000" w:rsidRPr="00000000">
        <w:rPr>
          <w:rFonts w:ascii="Aptos" w:cs="Aptos" w:eastAsia="Aptos" w:hAnsi="Aptos"/>
          <w:sz w:val="24"/>
          <w:szCs w:val="24"/>
          <w:rtl w:val="0"/>
        </w:rPr>
        <w:t xml:space="preserve">Desde la presentación de la demanda de amparo quedó acreditado documentalmente que la Secretaría de Medio Ambiente y Recursos Naturales reconoció de manera expresa a Proyectos Ejecutivos Sustentables, S.A. de C.V. como la persona moral legalmente autorizada para el manejo de mamíferos marinos en el inmueble conocido como “Punta Nizuc”. Dicho reconocimiento fue emitido mediante oficio número SPARN/DGVS/00111/2025, fechado el 17 de octubre de 2024, suscrito por la M.V.Z., M. en C. Fernando Gual Sill, autoridad competente en materia de vida silvestre. Ese documento no es una opinión privada, es un reconocimiento administrativo federal.</w:t>
      </w:r>
    </w:p>
    <w:p w:rsidR="00000000" w:rsidDel="00000000" w:rsidP="00000000" w:rsidRDefault="00000000" w:rsidRPr="00000000" w14:paraId="00000080">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De conformidad con el principio de legalidad administrativa, solamente aquello que reconoce expresamente la autoridad tiene validez jurídica. Lo que no está reconocido por la autoridad simplemente no existe en el plano legal. En ninguna constancia administrativa obra reconocimiento alguno a favor de:</w:t>
      </w:r>
    </w:p>
    <w:p w:rsidR="00000000" w:rsidDel="00000000" w:rsidP="00000000" w:rsidRDefault="00000000" w:rsidRPr="00000000" w14:paraId="00000081">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 Ejecutivos de Turismo Sustentable, S.A. de C.V. (ETS),</w:t>
        <w:br w:type="textWrapping"/>
        <w:t xml:space="preserve"> – “Grupo Dolphin”,</w:t>
        <w:br w:type="textWrapping"/>
        <w:t xml:space="preserve"> – O persona alguna diversa a Proyectos Ejecutivos Sustentables, S.A. de C.V.</w:t>
      </w:r>
    </w:p>
    <w:p w:rsidR="00000000" w:rsidDel="00000000" w:rsidP="00000000" w:rsidRDefault="00000000" w:rsidRPr="00000000" w14:paraId="00000082">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Si esos entes tuvieran personalidad administrativa ante SEMARNAT, habrían sido ellos los receptores de inspecciones, requerimientos, actuaciones o medidas administrativas. Y sin embargo, todo ha sido dirigido a Proyectos Ejecutivos Sustentables, S.A. de C.V., eso demuestra indiscutiblemente que la autoridad ambiental jamás ha considerado a ningún otro sujeto como operador, custodio o responsable. Quien no existe ante SEMARNAT, no existe ante el Estado. El Estado no actúa con entes invisibles, actúa con personas jurídicas reconocidas y la única es Proyectos Ejecutivos Sustentables, S.A. de C.V.</w:t>
      </w:r>
    </w:p>
    <w:p w:rsidR="00000000" w:rsidDel="00000000" w:rsidP="00000000" w:rsidRDefault="00000000" w:rsidRPr="00000000" w14:paraId="00000083">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QUINTO AGRAVIO.</w:t>
      </w:r>
      <w:r w:rsidDel="00000000" w:rsidR="00000000" w:rsidRPr="00000000">
        <w:rPr>
          <w:rFonts w:ascii="Arial" w:cs="Arial" w:eastAsia="Arial" w:hAnsi="Arial"/>
          <w:b w:val="1"/>
          <w:bCs w:val="1"/>
          <w:sz w:val="24"/>
          <w:szCs w:val="24"/>
          <w:rtl w:val="0"/>
        </w:rPr>
        <w:t xml:space="preserve"> RIESGO DE DAÑO IRREPARABLE. </w:t>
      </w:r>
      <w:r w:rsidDel="00000000" w:rsidR="00000000" w:rsidRPr="00000000">
        <w:rPr>
          <w:rFonts w:ascii="Arial" w:cs="Arial" w:eastAsia="Arial" w:hAnsi="Arial"/>
          <w:sz w:val="24"/>
          <w:szCs w:val="24"/>
          <w:rtl w:val="0"/>
        </w:rPr>
        <w:t xml:space="preserve">El no afectar la posesión es un derecho fundamental protegido por el artículo 16 constitucional. Por lo que una vez ejecutada una orden de desalojo, el daño a este derecho se consuma de forma inmediata e irreparable, lo que haría ineficaz la tutela judicial efectiva si se esperara a que el acto se materialice para otorgar protección. Negar la suspensión con base en </w:t>
      </w:r>
      <w:r w:rsidDel="00000000" w:rsidR="00000000" w:rsidRPr="00000000">
        <w:rPr>
          <w:rFonts w:ascii="Arial" w:cs="Arial" w:eastAsia="Arial" w:hAnsi="Arial"/>
          <w:b w:val="1"/>
          <w:bCs w:val="1"/>
          <w:sz w:val="24"/>
          <w:szCs w:val="24"/>
          <w:rtl w:val="0"/>
        </w:rPr>
        <w:t xml:space="preserve">contraviene el principio de efectividad del amparo</w:t>
      </w:r>
      <w:r w:rsidDel="00000000" w:rsidR="00000000" w:rsidRPr="00000000">
        <w:rPr>
          <w:rFonts w:ascii="Arial" w:cs="Arial" w:eastAsia="Arial" w:hAnsi="Arial"/>
          <w:sz w:val="24"/>
          <w:szCs w:val="24"/>
          <w:rtl w:val="0"/>
        </w:rPr>
        <w:t xml:space="preserve">, reconocido en el artículo 25 de la Convención Americana sobre Derechos Humanos y desarrollado por la Corte Interamericana de Derechos Humanos, que exige a los Estados garantizar recursos </w:t>
      </w:r>
      <w:r w:rsidDel="00000000" w:rsidR="00000000" w:rsidRPr="00000000">
        <w:rPr>
          <w:rFonts w:ascii="Arial" w:cs="Arial" w:eastAsia="Arial" w:hAnsi="Arial"/>
          <w:b w:val="1"/>
          <w:bCs w:val="1"/>
          <w:sz w:val="24"/>
          <w:szCs w:val="24"/>
          <w:rtl w:val="0"/>
        </w:rPr>
        <w:t xml:space="preserve">sencillos, rápidos y eficaces</w:t>
      </w:r>
      <w:r w:rsidDel="00000000" w:rsidR="00000000" w:rsidRPr="00000000">
        <w:rPr>
          <w:rFonts w:ascii="Arial" w:cs="Arial" w:eastAsia="Arial" w:hAnsi="Arial"/>
          <w:sz w:val="24"/>
          <w:szCs w:val="24"/>
          <w:rtl w:val="0"/>
        </w:rPr>
        <w:t xml:space="preserve"> frente a violaciones o amenazas de derechos fundamentales.</w:t>
      </w:r>
    </w:p>
    <w:p w:rsidR="00000000" w:rsidDel="00000000" w:rsidP="00000000" w:rsidRDefault="00000000" w:rsidRPr="00000000" w14:paraId="00000084">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órgano jurisdiccional debió conceder la suspensión definitiva, aun cuando el amparo se presentó antes de la emisión de la orden de aprehensión, porque:</w:t>
      </w:r>
    </w:p>
    <w:p w:rsidR="00000000" w:rsidDel="00000000" w:rsidP="00000000" w:rsidRDefault="00000000" w:rsidRPr="00000000" w14:paraId="00000085">
      <w:pPr>
        <w:numPr>
          <w:ilvl w:val="0"/>
          <w:numId w:val="2"/>
        </w:numPr>
        <w:spacing w:after="0" w:afterAutospacing="0" w:before="24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 amparo procede contra </w:t>
      </w:r>
      <w:r w:rsidDel="00000000" w:rsidR="00000000" w:rsidRPr="00000000">
        <w:rPr>
          <w:rFonts w:ascii="Arial" w:cs="Arial" w:eastAsia="Arial" w:hAnsi="Arial"/>
          <w:b w:val="1"/>
          <w:bCs w:val="1"/>
          <w:sz w:val="24"/>
          <w:szCs w:val="24"/>
          <w:rtl w:val="0"/>
        </w:rPr>
        <w:t xml:space="preserve">actos futuros de realización cierta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6">
      <w:pPr>
        <w:numPr>
          <w:ilvl w:val="0"/>
          <w:numId w:val="2"/>
        </w:numPr>
        <w:spacing w:after="24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 suspensión tiene una </w:t>
      </w:r>
      <w:r w:rsidDel="00000000" w:rsidR="00000000" w:rsidRPr="00000000">
        <w:rPr>
          <w:rFonts w:ascii="Arial" w:cs="Arial" w:eastAsia="Arial" w:hAnsi="Arial"/>
          <w:b w:val="1"/>
          <w:bCs w:val="1"/>
          <w:sz w:val="24"/>
          <w:szCs w:val="24"/>
          <w:rtl w:val="0"/>
        </w:rPr>
        <w:t xml:space="preserve">función preventiva</w:t>
      </w:r>
      <w:r w:rsidDel="00000000" w:rsidR="00000000" w:rsidRPr="00000000">
        <w:rPr>
          <w:rFonts w:ascii="Arial" w:cs="Arial" w:eastAsia="Arial" w:hAnsi="Arial"/>
          <w:sz w:val="24"/>
          <w:szCs w:val="24"/>
          <w:rtl w:val="0"/>
        </w:rPr>
        <w:t xml:space="preserve"> para evitar daños irreparables.</w:t>
        <w:br w:type="textWrapping"/>
      </w:r>
      <w:r w:rsidDel="00000000" w:rsidR="00000000" w:rsidRPr="00000000">
        <w:rPr>
          <w:rtl w:val="0"/>
        </w:rPr>
      </w:r>
    </w:p>
    <w:p w:rsidR="00000000" w:rsidDel="00000000" w:rsidP="00000000" w:rsidRDefault="00000000" w:rsidRPr="00000000" w14:paraId="00000087">
      <w:pPr>
        <w:spacing w:after="240" w:before="240" w:line="360" w:lineRule="auto"/>
        <w:ind w:left="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PRIMERA REFUTACIÓN: PRINCIPIO PRO PERSONA.</w:t>
      </w:r>
      <w:r w:rsidDel="00000000" w:rsidR="00000000" w:rsidRPr="00000000">
        <w:rPr>
          <w:rFonts w:ascii="Arial" w:cs="Arial" w:eastAsia="Arial" w:hAnsi="Arial"/>
          <w:sz w:val="24"/>
          <w:szCs w:val="24"/>
          <w:rtl w:val="0"/>
        </w:rPr>
        <w:t xml:space="preserve"> No debe pasarse por alto que el juicio de amparo no solo tiene una función correctiva, es decir, de reparar violaciones consumadas, sino también preventiva, orientada a evitar que actos inminentes y de ejecución irreparable se consumen en perjuicio del quejoso.</w:t>
        <w:br w:type="textWrapping"/>
        <w:t xml:space="preserve">El artículo </w:t>
      </w:r>
      <w:r w:rsidDel="00000000" w:rsidR="00000000" w:rsidRPr="00000000">
        <w:rPr>
          <w:rFonts w:ascii="Arial" w:cs="Arial" w:eastAsia="Arial" w:hAnsi="Arial"/>
          <w:b w:val="1"/>
          <w:bCs w:val="1"/>
          <w:sz w:val="24"/>
          <w:szCs w:val="24"/>
          <w:rtl w:val="0"/>
        </w:rPr>
        <w:t xml:space="preserve">103 constitucional</w:t>
      </w:r>
      <w:r w:rsidDel="00000000" w:rsidR="00000000" w:rsidRPr="00000000">
        <w:rPr>
          <w:rFonts w:ascii="Arial" w:cs="Arial" w:eastAsia="Arial" w:hAnsi="Arial"/>
          <w:sz w:val="24"/>
          <w:szCs w:val="24"/>
          <w:rtl w:val="0"/>
        </w:rPr>
        <w:t xml:space="preserve"> y el </w:t>
      </w:r>
      <w:r w:rsidDel="00000000" w:rsidR="00000000" w:rsidRPr="00000000">
        <w:rPr>
          <w:rFonts w:ascii="Arial" w:cs="Arial" w:eastAsia="Arial" w:hAnsi="Arial"/>
          <w:b w:val="1"/>
          <w:bCs w:val="1"/>
          <w:sz w:val="24"/>
          <w:szCs w:val="24"/>
          <w:rtl w:val="0"/>
        </w:rPr>
        <w:t xml:space="preserve">artículo 1º de la Ley de Amparo</w:t>
      </w:r>
      <w:r w:rsidDel="00000000" w:rsidR="00000000" w:rsidRPr="00000000">
        <w:rPr>
          <w:rFonts w:ascii="Arial" w:cs="Arial" w:eastAsia="Arial" w:hAnsi="Arial"/>
          <w:sz w:val="24"/>
          <w:szCs w:val="24"/>
          <w:rtl w:val="0"/>
        </w:rPr>
        <w:t xml:space="preserve"> reconocen que el juicio procede </w:t>
      </w:r>
      <w:r w:rsidDel="00000000" w:rsidR="00000000" w:rsidRPr="00000000">
        <w:rPr>
          <w:rFonts w:ascii="Arial" w:cs="Arial" w:eastAsia="Arial" w:hAnsi="Arial"/>
          <w:b w:val="1"/>
          <w:bCs w:val="1"/>
          <w:sz w:val="24"/>
          <w:szCs w:val="24"/>
          <w:rtl w:val="0"/>
        </w:rPr>
        <w:t xml:space="preserve">contra actos inminentes</w:t>
      </w:r>
      <w:r w:rsidDel="00000000" w:rsidR="00000000" w:rsidRPr="00000000">
        <w:rPr>
          <w:rFonts w:ascii="Arial" w:cs="Arial" w:eastAsia="Arial" w:hAnsi="Arial"/>
          <w:sz w:val="24"/>
          <w:szCs w:val="24"/>
          <w:rtl w:val="0"/>
        </w:rPr>
        <w:t xml:space="preserve"> de autoridad que puedan vulnerar derechos c</w:t>
      </w:r>
      <w:r w:rsidDel="00000000" w:rsidR="00000000" w:rsidRPr="00000000">
        <w:rPr>
          <w:rFonts w:ascii="Arial" w:cs="Arial" w:eastAsia="Arial" w:hAnsi="Arial"/>
          <w:sz w:val="24"/>
          <w:szCs w:val="24"/>
          <w:rtl w:val="0"/>
        </w:rPr>
        <w:t xml:space="preserve">ontenido el </w:t>
      </w:r>
      <w:r w:rsidDel="00000000" w:rsidR="00000000" w:rsidRPr="00000000">
        <w:rPr>
          <w:rFonts w:ascii="Arial" w:cs="Arial" w:eastAsia="Arial" w:hAnsi="Arial"/>
          <w:b w:val="1"/>
          <w:bCs w:val="1"/>
          <w:sz w:val="24"/>
          <w:szCs w:val="24"/>
          <w:rtl w:val="0"/>
        </w:rPr>
        <w:t xml:space="preserve">derecho de acceso a una justicia efectiva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8">
      <w:pPr>
        <w:numPr>
          <w:ilvl w:val="0"/>
          <w:numId w:val="2"/>
        </w:numPr>
        <w:spacing w:after="240" w:before="24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 juez debió aplicar el </w:t>
      </w:r>
      <w:r w:rsidDel="00000000" w:rsidR="00000000" w:rsidRPr="00000000">
        <w:rPr>
          <w:rFonts w:ascii="Arial" w:cs="Arial" w:eastAsia="Arial" w:hAnsi="Arial"/>
          <w:b w:val="1"/>
          <w:bCs w:val="1"/>
          <w:sz w:val="24"/>
          <w:szCs w:val="24"/>
          <w:rtl w:val="0"/>
        </w:rPr>
        <w:t xml:space="preserve">principio pro persona</w:t>
      </w:r>
      <w:r w:rsidDel="00000000" w:rsidR="00000000" w:rsidRPr="00000000">
        <w:rPr>
          <w:rFonts w:ascii="Arial" w:cs="Arial" w:eastAsia="Arial" w:hAnsi="Arial"/>
          <w:sz w:val="24"/>
          <w:szCs w:val="24"/>
          <w:rtl w:val="0"/>
        </w:rPr>
        <w:t xml:space="preserve"> en favor del quejoso.</w:t>
        <w:br w:type="textWrapping"/>
        <w:t xml:space="preserve">La medida precautoria era indispensable para preservar la </w:t>
      </w:r>
      <w:r w:rsidDel="00000000" w:rsidR="00000000" w:rsidRPr="00000000">
        <w:rPr>
          <w:rFonts w:ascii="Arial" w:cs="Arial" w:eastAsia="Arial" w:hAnsi="Arial"/>
          <w:b w:val="1"/>
          <w:bCs w:val="1"/>
          <w:sz w:val="24"/>
          <w:szCs w:val="24"/>
          <w:rtl w:val="0"/>
        </w:rPr>
        <w:t xml:space="preserve">POSESIÓN</w:t>
      </w:r>
      <w:r w:rsidDel="00000000" w:rsidR="00000000" w:rsidRPr="00000000">
        <w:rPr>
          <w:rFonts w:ascii="Arial" w:cs="Arial" w:eastAsia="Arial" w:hAnsi="Arial"/>
          <w:sz w:val="24"/>
          <w:szCs w:val="24"/>
          <w:rtl w:val="0"/>
        </w:rPr>
        <w:t xml:space="preserve"> mientras se resolvía el fondo del asunto.</w:t>
      </w:r>
    </w:p>
    <w:p w:rsidR="00000000" w:rsidDel="00000000" w:rsidP="00000000" w:rsidRDefault="00000000" w:rsidRPr="00000000" w14:paraId="00000089">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concreta, el juicio de amparo prevé la tutela judicial sobre actos futuros, y en el caso particular no obstante con haber sido un acto futuro, es un acto que se tiene confirmada su existencia en el presente juicio de garantías, por lo que debe resultar procedente la suspensión provisional, y a manera de sustento se señala la tesis con registro digital </w:t>
      </w:r>
      <w:r w:rsidDel="00000000" w:rsidR="00000000" w:rsidRPr="00000000">
        <w:rPr>
          <w:rFonts w:ascii="Arial" w:cs="Arial" w:eastAsia="Arial" w:hAnsi="Arial"/>
          <w:color w:val="212529"/>
          <w:sz w:val="24"/>
          <w:szCs w:val="24"/>
          <w:rtl w:val="0"/>
        </w:rPr>
        <w:t xml:space="preserve">2023243 bajo el rubro </w:t>
      </w:r>
      <w:r w:rsidDel="00000000" w:rsidR="00000000" w:rsidRPr="00000000">
        <w:rPr>
          <w:rFonts w:ascii="Arial" w:cs="Arial" w:eastAsia="Arial" w:hAnsi="Arial"/>
          <w:b w:val="1"/>
          <w:bCs w:val="1"/>
          <w:color w:val="212529"/>
          <w:sz w:val="24"/>
          <w:szCs w:val="24"/>
          <w:rtl w:val="0"/>
        </w:rPr>
        <w:t xml:space="preserve">SUSPENSIÓN EN EL JUICIO DE AMPARO INDIRECTO. PARA DETERMINAR SOBRE SU PROCEDENCIA, ADEMÁS DEL ANÁLISIS PONDERADO DE LA APARIENCIA DEL BUEN DERECHO Y DEL INTERÉS SOCIAL, EL ÓRGANO JURISDICCIONAL DEBE ATENDER A LA NATURALEZA DEL ACTO RECLAMADO Y ESTABLECER SI ES SUSCEPTIBLE DE SUSPENDERSE.”</w:t>
      </w:r>
      <w:r w:rsidDel="00000000" w:rsidR="00000000" w:rsidRPr="00000000">
        <w:rPr>
          <w:rFonts w:ascii="Arial" w:cs="Arial" w:eastAsia="Arial" w:hAnsi="Arial"/>
          <w:b w:val="1"/>
          <w:bCs w:val="1"/>
          <w:color w:val="212529"/>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8A">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Por lo expuesto y fundado, a Ustedes Señores Magistrados, atentamente se les solicita;</w:t>
      </w:r>
    </w:p>
    <w:p w:rsidR="00000000" w:rsidDel="00000000" w:rsidP="00000000" w:rsidRDefault="00000000" w:rsidRPr="00000000" w14:paraId="0000008B">
      <w:pPr>
        <w:spacing w:after="0" w:line="360" w:lineRule="auto"/>
        <w:ind w:left="0" w:firstLine="0"/>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ÚNICO. </w:t>
      </w:r>
      <w:r w:rsidDel="00000000" w:rsidR="00000000" w:rsidRPr="00000000">
        <w:rPr>
          <w:rFonts w:ascii="Arial" w:cs="Arial" w:eastAsia="Arial" w:hAnsi="Arial"/>
          <w:sz w:val="26"/>
          <w:szCs w:val="26"/>
          <w:rtl w:val="0"/>
        </w:rPr>
        <w:t xml:space="preserve">Tener por presentado al quejoso en los términos del presente escrito interponiendo recurso de revisión en contra de la interlocutoria de fecha 25 de noviembre del año 2025.</w:t>
      </w:r>
    </w:p>
    <w:p w:rsidR="00000000" w:rsidDel="00000000" w:rsidP="00000000" w:rsidRDefault="00000000" w:rsidRPr="00000000" w14:paraId="0000008C">
      <w:pPr>
        <w:spacing w:after="0"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LA PARTE QUEJOSA PROTESTA LO NECESARIO.</w:t>
      </w:r>
    </w:p>
    <w:p w:rsidR="00000000" w:rsidDel="00000000" w:rsidP="00000000" w:rsidRDefault="00000000" w:rsidRPr="00000000" w14:paraId="0000008D">
      <w:pPr>
        <w:spacing w:after="0"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Cancún, Quintana Roo, en la fecha de su interposición</w:t>
      </w:r>
      <w:r w:rsidDel="00000000" w:rsidR="00000000" w:rsidRPr="00000000">
        <w:rPr>
          <w:rFonts w:ascii="Arial" w:cs="Arial" w:eastAsia="Arial" w:hAnsi="Arial"/>
          <w:sz w:val="26"/>
          <w:szCs w:val="26"/>
          <w:rtl w:val="0"/>
        </w:rPr>
        <w:t xml:space="preserve">                                                                                                           </w:t>
      </w:r>
      <w:r w:rsidDel="00000000" w:rsidR="00000000" w:rsidRPr="00000000">
        <w:rPr>
          <w:rtl w:val="0"/>
        </w:rPr>
      </w:r>
    </w:p>
    <w:p w:rsidR="00000000" w:rsidDel="00000000" w:rsidP="00000000" w:rsidRDefault="00000000" w:rsidRPr="00000000" w14:paraId="0000008E">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______________________________________</w:t>
      </w:r>
    </w:p>
    <w:p w:rsidR="00000000" w:rsidDel="00000000" w:rsidP="00000000" w:rsidRDefault="00000000" w:rsidRPr="00000000" w14:paraId="0000008F">
      <w:pPr>
        <w:spacing w:after="0" w:line="360" w:lineRule="auto"/>
        <w:jc w:val="center"/>
        <w:rPr>
          <w:rFonts w:ascii="Times New Roman" w:cs="Times New Roman" w:eastAsia="Times New Roman" w:hAnsi="Times New Roman"/>
          <w:sz w:val="26"/>
          <w:szCs w:val="26"/>
        </w:rPr>
      </w:pPr>
      <w:r w:rsidDel="00000000" w:rsidR="00000000" w:rsidRPr="00000000">
        <w:rPr>
          <w:rFonts w:ascii="Arial" w:cs="Arial" w:eastAsia="Arial" w:hAnsi="Arial"/>
          <w:b w:val="1"/>
          <w:bCs w:val="1"/>
          <w:sz w:val="26"/>
          <w:szCs w:val="26"/>
          <w:rtl w:val="0"/>
        </w:rPr>
        <w:t xml:space="preserve">FIDEL ARTURO LADRON DE GUEVARA BRAVO</w:t>
      </w:r>
      <w:r w:rsidDel="00000000" w:rsidR="00000000" w:rsidRPr="00000000">
        <w:rPr>
          <w:rtl w:val="0"/>
        </w:rPr>
      </w:r>
    </w:p>
    <w:sectPr>
      <w:type w:val="nextPage"/>
      <w:pgSz w:h="18720" w:w="12240" w:orient="portrait"/>
      <w:pgMar w:bottom="1418" w:top="1418"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pto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2">
      <w:pPr>
        <w:spacing w:after="0"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w:t>
      </w:r>
      <w:r w:rsidDel="00000000" w:rsidR="00000000" w:rsidRPr="00000000">
        <w:rPr>
          <w:rFonts w:ascii="Arial Narrow" w:cs="Arial Narrow" w:eastAsia="Arial Narrow" w:hAnsi="Arial Narrow"/>
          <w:color w:val="212529"/>
          <w:sz w:val="16"/>
          <w:szCs w:val="16"/>
          <w:highlight w:val="white"/>
          <w:rtl w:val="0"/>
        </w:rPr>
        <w:t xml:space="preserve">Justificación: Para determinar si existe materia para la medida cautelar y que los </w:t>
      </w:r>
      <w:r w:rsidDel="00000000" w:rsidR="00000000" w:rsidRPr="00000000">
        <w:rPr>
          <w:rFonts w:ascii="Arial Narrow" w:cs="Arial Narrow" w:eastAsia="Arial Narrow" w:hAnsi="Arial Narrow"/>
          <w:color w:val="212529"/>
          <w:sz w:val="16"/>
          <w:szCs w:val="16"/>
          <w:shd w:fill="f2b866" w:val="clear"/>
          <w:rtl w:val="0"/>
        </w:rPr>
        <w:t xml:space="preserve">actos</w:t>
      </w:r>
      <w:r w:rsidDel="00000000" w:rsidR="00000000" w:rsidRPr="00000000">
        <w:rPr>
          <w:rFonts w:ascii="Arial Narrow" w:cs="Arial Narrow" w:eastAsia="Arial Narrow" w:hAnsi="Arial Narrow"/>
          <w:color w:val="212529"/>
          <w:sz w:val="16"/>
          <w:szCs w:val="16"/>
          <w:highlight w:val="white"/>
          <w:rtl w:val="0"/>
        </w:rPr>
        <w:t xml:space="preserve"> reclamados son susceptibles de ser suspendidos en términos del artículo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107, fracción X, de la Constitución Política de los Estados Unidos Mexicanos</w:t>
      </w:r>
      <w:r w:rsidDel="00000000" w:rsidR="00000000" w:rsidRPr="00000000">
        <w:rPr>
          <w:rFonts w:ascii="Arial Narrow" w:cs="Arial Narrow" w:eastAsia="Arial Narrow" w:hAnsi="Arial Narrow"/>
          <w:color w:val="212529"/>
          <w:sz w:val="16"/>
          <w:szCs w:val="16"/>
          <w:highlight w:val="white"/>
          <w:rtl w:val="0"/>
        </w:rPr>
        <w:t xml:space="preserve">, resulta útil la siguiente clasificación: A) Desde el punto de vista del modo de su afectación los </w:t>
      </w:r>
      <w:r w:rsidDel="00000000" w:rsidR="00000000" w:rsidRPr="00000000">
        <w:rPr>
          <w:rFonts w:ascii="Arial Narrow" w:cs="Arial Narrow" w:eastAsia="Arial Narrow" w:hAnsi="Arial Narrow"/>
          <w:color w:val="212529"/>
          <w:sz w:val="16"/>
          <w:szCs w:val="16"/>
          <w:shd w:fill="f2b866" w:val="clear"/>
          <w:rtl w:val="0"/>
        </w:rPr>
        <w:t xml:space="preserve">actos</w:t>
      </w:r>
      <w:r w:rsidDel="00000000" w:rsidR="00000000" w:rsidRPr="00000000">
        <w:rPr>
          <w:rFonts w:ascii="Arial Narrow" w:cs="Arial Narrow" w:eastAsia="Arial Narrow" w:hAnsi="Arial Narrow"/>
          <w:color w:val="212529"/>
          <w:sz w:val="16"/>
          <w:szCs w:val="16"/>
          <w:highlight w:val="white"/>
          <w:rtl w:val="0"/>
        </w:rPr>
        <w:t xml:space="preserve"> pueden ser: I) positivos, es decir, aquellos que se traducen en una conducta de dar o hacer de la autoridad responsable; II) negativos, los que comprenden las negativas expresas de la autoridad para conducirse de cierto modo; III) omisivos, aquellos en que la autoridad no actúa, debiendo hacerlo; y, IV) prohibitivos, que equivalen a un verdadero hacer positivo, consistente en imponer determinadas obligaciones de no hacer o limitaciones a la actividad de los gobernados por alguna autoridad. B) Desde el punto de vista de su temporalidad los </w:t>
      </w:r>
      <w:r w:rsidDel="00000000" w:rsidR="00000000" w:rsidRPr="00000000">
        <w:rPr>
          <w:rFonts w:ascii="Arial Narrow" w:cs="Arial Narrow" w:eastAsia="Arial Narrow" w:hAnsi="Arial Narrow"/>
          <w:color w:val="212529"/>
          <w:sz w:val="16"/>
          <w:szCs w:val="16"/>
          <w:shd w:fill="f2b866" w:val="clear"/>
          <w:rtl w:val="0"/>
        </w:rPr>
        <w:t xml:space="preserve">actos</w:t>
      </w:r>
      <w:r w:rsidDel="00000000" w:rsidR="00000000" w:rsidRPr="00000000">
        <w:rPr>
          <w:rFonts w:ascii="Arial Narrow" w:cs="Arial Narrow" w:eastAsia="Arial Narrow" w:hAnsi="Arial Narrow"/>
          <w:color w:val="212529"/>
          <w:sz w:val="16"/>
          <w:szCs w:val="16"/>
          <w:highlight w:val="white"/>
          <w:rtl w:val="0"/>
        </w:rPr>
        <w:t xml:space="preserve"> pueden ser: I) pasados, es decir, aquellos que se han llevado a cabo completamente y que han producido todos sus efectos al momento de promoverse la demanda de amparo; II) presentes, los que se encuentran en ejecución al momento de promoverse el amparo, es decir, </w:t>
      </w:r>
      <w:r w:rsidDel="00000000" w:rsidR="00000000" w:rsidRPr="00000000">
        <w:rPr>
          <w:rFonts w:ascii="Arial Narrow" w:cs="Arial Narrow" w:eastAsia="Arial Narrow" w:hAnsi="Arial Narrow"/>
          <w:color w:val="212529"/>
          <w:sz w:val="16"/>
          <w:szCs w:val="16"/>
          <w:shd w:fill="f2b866" w:val="clear"/>
          <w:rtl w:val="0"/>
        </w:rPr>
        <w:t xml:space="preserve">actos</w:t>
      </w:r>
      <w:r w:rsidDel="00000000" w:rsidR="00000000" w:rsidRPr="00000000">
        <w:rPr>
          <w:rFonts w:ascii="Arial Narrow" w:cs="Arial Narrow" w:eastAsia="Arial Narrow" w:hAnsi="Arial Narrow"/>
          <w:color w:val="212529"/>
          <w:sz w:val="16"/>
          <w:szCs w:val="16"/>
          <w:highlight w:val="white"/>
          <w:rtl w:val="0"/>
        </w:rPr>
        <w:t xml:space="preserve"> cuya realización se encuentra en curso; y, III) </w:t>
      </w:r>
      <w:r w:rsidDel="00000000" w:rsidR="00000000" w:rsidRPr="00000000">
        <w:rPr>
          <w:rFonts w:ascii="Arial Narrow" w:cs="Arial Narrow" w:eastAsia="Arial Narrow" w:hAnsi="Arial Narrow"/>
          <w:color w:val="212529"/>
          <w:sz w:val="16"/>
          <w:szCs w:val="16"/>
          <w:shd w:fill="f2b866" w:val="clear"/>
          <w:rtl w:val="0"/>
        </w:rPr>
        <w:t xml:space="preserve">futuros</w:t>
      </w:r>
      <w:r w:rsidDel="00000000" w:rsidR="00000000" w:rsidRPr="00000000">
        <w:rPr>
          <w:rFonts w:ascii="Arial Narrow" w:cs="Arial Narrow" w:eastAsia="Arial Narrow" w:hAnsi="Arial Narrow"/>
          <w:color w:val="212529"/>
          <w:sz w:val="16"/>
          <w:szCs w:val="16"/>
          <w:highlight w:val="white"/>
          <w:rtl w:val="0"/>
        </w:rPr>
        <w:t xml:space="preserve">, los cuales, a su vez, se clasifican en: a) inciertos, son aquellos que no existen y no se tiene certeza de que se realizarán; y, b) inminentes, aquellos que no se han realizado, pero existe certeza de que se realizarán, por ser consecuencia necesaria de otros ya existentes. C) Desde el punto de vista del modo de su consumación los </w:t>
      </w:r>
      <w:r w:rsidDel="00000000" w:rsidR="00000000" w:rsidRPr="00000000">
        <w:rPr>
          <w:rFonts w:ascii="Arial Narrow" w:cs="Arial Narrow" w:eastAsia="Arial Narrow" w:hAnsi="Arial Narrow"/>
          <w:color w:val="212529"/>
          <w:sz w:val="16"/>
          <w:szCs w:val="16"/>
          <w:shd w:fill="f2b866" w:val="clear"/>
          <w:rtl w:val="0"/>
        </w:rPr>
        <w:t xml:space="preserve">actos</w:t>
      </w:r>
      <w:r w:rsidDel="00000000" w:rsidR="00000000" w:rsidRPr="00000000">
        <w:rPr>
          <w:rFonts w:ascii="Arial Narrow" w:cs="Arial Narrow" w:eastAsia="Arial Narrow" w:hAnsi="Arial Narrow"/>
          <w:color w:val="212529"/>
          <w:sz w:val="16"/>
          <w:szCs w:val="16"/>
          <w:highlight w:val="white"/>
          <w:rtl w:val="0"/>
        </w:rPr>
        <w:t xml:space="preserve"> pueden ser: I) instantáneos o consumados, aquellos que se agotan con su sola emisión; II) continuos, en los que la autoridad actúa una sola vez, pero sus efectos se prolongan en el tiempo, por lo que al otorgar la suspensión, el efecto será impedir que se siga materializando la ejecución al momento en que se concede la medida cautelar; y, III) de tracto sucesivo, aquellos en los que la autoridad actúa constantemente y un número ilimitado de ocasiones, ejerciendo presión fáctica sobre la situación de la persona del quejoso, de sus bienes, de su familia, posesiones, etcétera. Esta clasificación es útil, en tanto que para que proceda la suspensión del acto, éste debe ser suspendible.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aliases w:val="Car, Car,Footnote Text Char Char Char Char Char,Footnote Text Char Char Char Char,Footnote reference,FA Fu,Footnote Text Char Char Char,Footnote Text Cha,FA Fußnotentext,FA Fu?notentext,Footnote Text Char Char,FA Fuﬂnotentext,Ca,Car Car C"/>
    <w:basedOn w:val="Normal"/>
    <w:link w:val="TextonotapieCar"/>
    <w:uiPriority w:val="99"/>
    <w:unhideWhenUsed w:val="1"/>
    <w:qFormat w:val="1"/>
    <w:rsid w:val="00587247"/>
    <w:pPr>
      <w:spacing w:after="0" w:line="240" w:lineRule="auto"/>
    </w:pPr>
    <w:rPr>
      <w:sz w:val="20"/>
      <w:szCs w:val="20"/>
    </w:rPr>
  </w:style>
  <w:style w:type="character" w:styleId="TextonotapieCar" w:customStyle="1">
    <w:name w:val="Texto nota pie Car"/>
    <w:aliases w:val="Car Car, Car Car,Footnote Text Char Char Char Char Char Car,Footnote Text Char Char Char Char Car,Footnote reference Car,FA Fu Car,Footnote Text Char Char Char Car,Footnote Text Cha Car,FA Fußnotentext Car,FA Fu?notentext Car,Ca Car"/>
    <w:basedOn w:val="Fuentedeprrafopredeter"/>
    <w:link w:val="Textonotapie"/>
    <w:uiPriority w:val="99"/>
    <w:rsid w:val="00587247"/>
    <w:rPr>
      <w:sz w:val="20"/>
      <w:szCs w:val="20"/>
    </w:rPr>
  </w:style>
  <w:style w:type="character" w:styleId="Refdenotaalpie">
    <w:name w:val="footnote reference"/>
    <w:aliases w:val="Ref. de nota al pie 2,Footnotes refss,Texto de nota al pie,Appel note de bas de page,Footnote number,referencia nota al pie,BVI fnr,f,4_G,16 Point,Superscript 6 Point,Texto nota al pie,ftref,Stinking Styles10,Footnote Reference Char3"/>
    <w:basedOn w:val="Fuentedeprrafopredeter"/>
    <w:uiPriority w:val="99"/>
    <w:unhideWhenUsed w:val="1"/>
    <w:qFormat w:val="1"/>
    <w:rsid w:val="00587247"/>
    <w:rPr>
      <w:vertAlign w:val="superscript"/>
    </w:rPr>
  </w:style>
  <w:style w:type="paragraph" w:styleId="Prrafodelista">
    <w:name w:val="List Paragraph"/>
    <w:aliases w:val="Cita texto,Footnote,List Paragraph1"/>
    <w:basedOn w:val="Normal"/>
    <w:link w:val="PrrafodelistaCar"/>
    <w:uiPriority w:val="34"/>
    <w:qFormat w:val="1"/>
    <w:rsid w:val="00367EAD"/>
    <w:pPr>
      <w:ind w:left="720"/>
      <w:contextualSpacing w:val="1"/>
    </w:pPr>
  </w:style>
  <w:style w:type="character" w:styleId="Ttulo2Car" w:customStyle="1">
    <w:name w:val="Título 2 Car"/>
    <w:basedOn w:val="Fuentedeprrafopredeter"/>
    <w:link w:val="Ttulo2"/>
    <w:uiPriority w:val="9"/>
    <w:rsid w:val="00304837"/>
    <w:rPr>
      <w:rFonts w:asciiTheme="majorHAnsi" w:cstheme="majorBidi" w:eastAsiaTheme="majorEastAsia" w:hAnsiTheme="majorHAnsi"/>
      <w:color w:val="2f5496" w:themeColor="accent1" w:themeShade="0000BF"/>
      <w:sz w:val="26"/>
      <w:szCs w:val="26"/>
    </w:rPr>
  </w:style>
  <w:style w:type="character" w:styleId="Ttulo3Car" w:customStyle="1">
    <w:name w:val="Título 3 Car"/>
    <w:basedOn w:val="Fuentedeprrafopredeter"/>
    <w:link w:val="Ttulo3"/>
    <w:uiPriority w:val="9"/>
    <w:rsid w:val="00304837"/>
    <w:rPr>
      <w:rFonts w:asciiTheme="majorHAnsi" w:cstheme="majorBidi" w:eastAsiaTheme="majorEastAsia" w:hAnsiTheme="majorHAnsi"/>
      <w:color w:val="1f3763" w:themeColor="accent1" w:themeShade="00007F"/>
      <w:sz w:val="24"/>
      <w:szCs w:val="24"/>
    </w:rPr>
  </w:style>
  <w:style w:type="paragraph" w:styleId="Lista2">
    <w:name w:val="List 2"/>
    <w:basedOn w:val="Normal"/>
    <w:uiPriority w:val="99"/>
    <w:unhideWhenUsed w:val="1"/>
    <w:rsid w:val="00304837"/>
    <w:pPr>
      <w:ind w:left="566" w:hanging="283"/>
      <w:contextualSpacing w:val="1"/>
    </w:pPr>
  </w:style>
  <w:style w:type="paragraph" w:styleId="Textoindependiente">
    <w:name w:val="Body Text"/>
    <w:basedOn w:val="Normal"/>
    <w:link w:val="TextoindependienteCar"/>
    <w:uiPriority w:val="99"/>
    <w:unhideWhenUsed w:val="1"/>
    <w:rsid w:val="00304837"/>
    <w:pPr>
      <w:spacing w:after="120"/>
    </w:pPr>
  </w:style>
  <w:style w:type="character" w:styleId="TextoindependienteCar" w:customStyle="1">
    <w:name w:val="Texto independiente Car"/>
    <w:basedOn w:val="Fuentedeprrafopredeter"/>
    <w:link w:val="Textoindependiente"/>
    <w:uiPriority w:val="99"/>
    <w:rsid w:val="00304837"/>
  </w:style>
  <w:style w:type="paragraph" w:styleId="Textoindependienteprimerasangra">
    <w:name w:val="Body Text First Indent"/>
    <w:basedOn w:val="Textoindependiente"/>
    <w:link w:val="TextoindependienteprimerasangraCar"/>
    <w:uiPriority w:val="99"/>
    <w:unhideWhenUsed w:val="1"/>
    <w:rsid w:val="00304837"/>
    <w:pPr>
      <w:spacing w:after="160"/>
      <w:ind w:firstLine="360"/>
    </w:pPr>
  </w:style>
  <w:style w:type="character" w:styleId="TextoindependienteprimerasangraCar" w:customStyle="1">
    <w:name w:val="Texto independiente primera sangría Car"/>
    <w:basedOn w:val="TextoindependienteCar"/>
    <w:link w:val="Textoindependienteprimerasangra"/>
    <w:uiPriority w:val="99"/>
    <w:rsid w:val="00304837"/>
  </w:style>
  <w:style w:type="paragraph" w:styleId="Sangradetextoindependiente">
    <w:name w:val="Body Text Indent"/>
    <w:basedOn w:val="Normal"/>
    <w:link w:val="SangradetextoindependienteCar"/>
    <w:uiPriority w:val="99"/>
    <w:semiHidden w:val="1"/>
    <w:unhideWhenUsed w:val="1"/>
    <w:rsid w:val="00304837"/>
    <w:pPr>
      <w:spacing w:after="120"/>
      <w:ind w:left="283"/>
    </w:pPr>
  </w:style>
  <w:style w:type="character" w:styleId="SangradetextoindependienteCar" w:customStyle="1">
    <w:name w:val="Sangría de texto independiente Car"/>
    <w:basedOn w:val="Fuentedeprrafopredeter"/>
    <w:link w:val="Sangradetextoindependiente"/>
    <w:uiPriority w:val="99"/>
    <w:semiHidden w:val="1"/>
    <w:rsid w:val="00304837"/>
  </w:style>
  <w:style w:type="paragraph" w:styleId="Textoindependienteprimerasangra2">
    <w:name w:val="Body Text First Indent 2"/>
    <w:basedOn w:val="Sangradetextoindependiente"/>
    <w:link w:val="Textoindependienteprimerasangra2Car"/>
    <w:uiPriority w:val="99"/>
    <w:unhideWhenUsed w:val="1"/>
    <w:rsid w:val="00304837"/>
    <w:pPr>
      <w:spacing w:after="160"/>
      <w:ind w:left="360" w:firstLine="360"/>
    </w:pPr>
  </w:style>
  <w:style w:type="character" w:styleId="Textoindependienteprimerasangra2Car" w:customStyle="1">
    <w:name w:val="Texto independiente primera sangría 2 Car"/>
    <w:basedOn w:val="SangradetextoindependienteCar"/>
    <w:link w:val="Textoindependienteprimerasangra2"/>
    <w:uiPriority w:val="99"/>
    <w:rsid w:val="00304837"/>
  </w:style>
  <w:style w:type="paragraph" w:styleId="Encabezado">
    <w:name w:val="header"/>
    <w:basedOn w:val="Normal"/>
    <w:link w:val="EncabezadoCar"/>
    <w:uiPriority w:val="99"/>
    <w:unhideWhenUsed w:val="1"/>
    <w:rsid w:val="00AE7C5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E7C57"/>
  </w:style>
  <w:style w:type="paragraph" w:styleId="Piedepgina">
    <w:name w:val="footer"/>
    <w:basedOn w:val="Normal"/>
    <w:link w:val="PiedepginaCar"/>
    <w:uiPriority w:val="99"/>
    <w:unhideWhenUsed w:val="1"/>
    <w:rsid w:val="00AE7C5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E7C57"/>
  </w:style>
  <w:style w:type="character" w:styleId="EstiloCar" w:customStyle="1">
    <w:name w:val="Estilo Car"/>
    <w:basedOn w:val="Fuentedeprrafopredeter"/>
    <w:link w:val="Estilo"/>
    <w:locked w:val="1"/>
    <w:rsid w:val="0013114F"/>
    <w:rPr>
      <w:rFonts w:ascii="Arial" w:cs="Arial" w:hAnsi="Arial"/>
      <w:sz w:val="24"/>
    </w:rPr>
  </w:style>
  <w:style w:type="paragraph" w:styleId="Estilo" w:customStyle="1">
    <w:name w:val="Estilo"/>
    <w:basedOn w:val="Sinespaciado"/>
    <w:link w:val="EstiloCar"/>
    <w:qFormat w:val="1"/>
    <w:rsid w:val="0013114F"/>
    <w:pPr>
      <w:jc w:val="both"/>
    </w:pPr>
    <w:rPr>
      <w:rFonts w:ascii="Arial" w:cs="Arial" w:hAnsi="Arial"/>
      <w:sz w:val="24"/>
    </w:rPr>
  </w:style>
  <w:style w:type="paragraph" w:styleId="Sinespaciado">
    <w:name w:val="No Spacing"/>
    <w:uiPriority w:val="1"/>
    <w:qFormat w:val="1"/>
    <w:rsid w:val="0013114F"/>
    <w:pPr>
      <w:spacing w:after="0" w:line="240" w:lineRule="auto"/>
    </w:pPr>
  </w:style>
  <w:style w:type="paragraph" w:styleId="corte4fondo" w:customStyle="1">
    <w:name w:val="corte4 fondo"/>
    <w:basedOn w:val="Normal"/>
    <w:link w:val="corte4fondoCar1"/>
    <w:qFormat w:val="1"/>
    <w:rsid w:val="00DB08EF"/>
    <w:pPr>
      <w:spacing w:after="0" w:line="360" w:lineRule="auto"/>
      <w:ind w:firstLine="709"/>
      <w:jc w:val="both"/>
    </w:pPr>
    <w:rPr>
      <w:rFonts w:ascii="Arial" w:cs="Times New Roman" w:eastAsia="Times New Roman" w:hAnsi="Arial"/>
      <w:sz w:val="30"/>
      <w:szCs w:val="24"/>
      <w:lang w:eastAsia="es-MX" w:val="es-ES_tradnl"/>
    </w:rPr>
  </w:style>
  <w:style w:type="character" w:styleId="corte4fondoCar1" w:customStyle="1">
    <w:name w:val="corte4 fondo Car1"/>
    <w:link w:val="corte4fondo"/>
    <w:rsid w:val="00DB08EF"/>
    <w:rPr>
      <w:rFonts w:ascii="Arial" w:cs="Times New Roman" w:eastAsia="Times New Roman" w:hAnsi="Arial"/>
      <w:sz w:val="30"/>
      <w:szCs w:val="24"/>
      <w:lang w:eastAsia="es-MX" w:val="es-ES_tradnl"/>
    </w:rPr>
  </w:style>
  <w:style w:type="character" w:styleId="Hipervnculo">
    <w:name w:val="Hyperlink"/>
    <w:basedOn w:val="Fuentedeprrafopredeter"/>
    <w:uiPriority w:val="99"/>
    <w:unhideWhenUsed w:val="1"/>
    <w:rsid w:val="002E3533"/>
    <w:rPr>
      <w:color w:val="0563c1" w:themeColor="hyperlink"/>
      <w:u w:val="single"/>
    </w:rPr>
  </w:style>
  <w:style w:type="character" w:styleId="PrrafodelistaCar" w:customStyle="1">
    <w:name w:val="Párrafo de lista Car"/>
    <w:aliases w:val="Cita texto Car,Footnote Car,List Paragraph1 Car"/>
    <w:link w:val="Prrafodelista"/>
    <w:uiPriority w:val="34"/>
    <w:locked w:val="1"/>
    <w:rsid w:val="002E3533"/>
  </w:style>
  <w:style w:type="character" w:styleId="Ninguno" w:customStyle="1">
    <w:name w:val="Ninguno"/>
    <w:rsid w:val="003839AF"/>
  </w:style>
  <w:style w:type="character" w:styleId="Mencinsinresolver">
    <w:name w:val="Unresolved Mention"/>
    <w:basedOn w:val="Fuentedeprrafopredeter"/>
    <w:uiPriority w:val="99"/>
    <w:semiHidden w:val="1"/>
    <w:unhideWhenUsed w:val="1"/>
    <w:rsid w:val="003839AF"/>
    <w:rPr>
      <w:color w:val="605e5c"/>
      <w:shd w:color="auto" w:fill="e1dfdd" w:val="clear"/>
    </w:rPr>
  </w:style>
  <w:style w:type="character" w:styleId="Hipervnculovisitado">
    <w:name w:val="FollowedHyperlink"/>
    <w:basedOn w:val="Fuentedeprrafopredeter"/>
    <w:uiPriority w:val="99"/>
    <w:semiHidden w:val="1"/>
    <w:unhideWhenUsed w:val="1"/>
    <w:rsid w:val="003839A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mearceomis@gmail.com" TargetMode="External"/><Relationship Id="rId10" Type="http://schemas.openxmlformats.org/officeDocument/2006/relationships/hyperlink" Target="mailto:alvaro_pegueros@hotmail.com" TargetMode="External"/><Relationship Id="rId9" Type="http://schemas.openxmlformats.org/officeDocument/2006/relationships/hyperlink" Target="mailto:rmartin_arjona@hot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ALvP6+r4XhVkfiUYuoDyp+WIgA==">CgMxLjAyDmgueW1hZzhnbnZhejJyMg5oLm40MG9kNmtxbzV5YzgAciExcGtBQWNNR2lqMkNhWm1XZGMzdzUtRGp4R2ZsUm1nU3I=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2023-03-15T16:56:00Z</dcterms:created>
  <dc:creator>Emmanuel Rosales</dc:creator>
</cp:coreProperties>
</file>