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F8593" w14:textId="77777777" w:rsidR="005F77D6" w:rsidRPr="0099013E" w:rsidRDefault="00000000" w:rsidP="0099013E">
      <w:pPr>
        <w:pStyle w:val="Sinespaciado"/>
        <w:ind w:left="2637" w:firstLine="720"/>
        <w:rPr>
          <w:rFonts w:ascii="Arial" w:eastAsia="Arial" w:hAnsi="Arial" w:cs="Arial"/>
          <w:b/>
          <w:bCs/>
        </w:rPr>
      </w:pPr>
      <w:r w:rsidRPr="0099013E">
        <w:rPr>
          <w:rFonts w:ascii="Arial" w:eastAsia="Arial" w:hAnsi="Arial" w:cs="Arial"/>
          <w:b/>
          <w:bCs/>
        </w:rPr>
        <w:t>AMPARO INDIRECTO:</w:t>
      </w:r>
    </w:p>
    <w:p w14:paraId="64B1EC2F" w14:textId="77777777" w:rsidR="0099013E" w:rsidRDefault="0099013E" w:rsidP="0099013E">
      <w:pPr>
        <w:pStyle w:val="Sinespaciado"/>
        <w:ind w:left="2637" w:firstLine="720"/>
        <w:rPr>
          <w:rFonts w:eastAsia="Arial"/>
        </w:rPr>
      </w:pPr>
    </w:p>
    <w:p w14:paraId="5BD429D9" w14:textId="77777777" w:rsidR="005F77D6" w:rsidRDefault="00000000" w:rsidP="0099013E">
      <w:pPr>
        <w:pBdr>
          <w:top w:val="nil"/>
          <w:left w:val="nil"/>
          <w:bottom w:val="nil"/>
          <w:right w:val="nil"/>
          <w:between w:val="nil"/>
        </w:pBdr>
        <w:spacing w:after="109" w:line="360" w:lineRule="auto"/>
        <w:ind w:left="3357" w:right="14"/>
        <w:jc w:val="both"/>
        <w:rPr>
          <w:rFonts w:ascii="Arial" w:eastAsia="Arial" w:hAnsi="Arial" w:cs="Arial"/>
          <w:b/>
          <w:bCs/>
        </w:rPr>
      </w:pPr>
      <w:r>
        <w:rPr>
          <w:rFonts w:ascii="Arial" w:eastAsia="Arial" w:hAnsi="Arial" w:cs="Arial"/>
          <w:b/>
          <w:bCs/>
          <w:color w:val="000000"/>
        </w:rPr>
        <w:t xml:space="preserve">QUEJOSO: </w:t>
      </w:r>
      <w:r>
        <w:rPr>
          <w:rFonts w:ascii="Arial" w:eastAsia="Arial" w:hAnsi="Arial" w:cs="Arial"/>
          <w:b/>
          <w:bCs/>
        </w:rPr>
        <w:t xml:space="preserve">EDUARDO DEL MARTIN ALBOR VILLANUEVA </w:t>
      </w:r>
    </w:p>
    <w:p w14:paraId="755654AD" w14:textId="77777777" w:rsidR="005F77D6" w:rsidRDefault="00000000">
      <w:pPr>
        <w:pBdr>
          <w:top w:val="nil"/>
          <w:left w:val="nil"/>
          <w:bottom w:val="nil"/>
          <w:right w:val="nil"/>
          <w:between w:val="nil"/>
        </w:pBdr>
        <w:spacing w:after="109" w:line="360" w:lineRule="auto"/>
        <w:ind w:left="3357" w:right="14" w:hanging="10"/>
        <w:jc w:val="both"/>
        <w:rPr>
          <w:rFonts w:ascii="Arial" w:eastAsia="Arial" w:hAnsi="Arial" w:cs="Arial"/>
          <w:b/>
          <w:bCs/>
        </w:rPr>
      </w:pPr>
      <w:r>
        <w:rPr>
          <w:rFonts w:ascii="Arial" w:eastAsia="Arial" w:hAnsi="Arial" w:cs="Arial"/>
          <w:b/>
          <w:bCs/>
          <w:color w:val="000000"/>
        </w:rPr>
        <w:t>AUTORIDADES RESPONSABLE</w:t>
      </w:r>
      <w:r>
        <w:rPr>
          <w:rFonts w:ascii="Arial" w:eastAsia="Arial" w:hAnsi="Arial" w:cs="Arial"/>
          <w:b/>
          <w:bCs/>
        </w:rPr>
        <w:t>S</w:t>
      </w:r>
      <w:r>
        <w:rPr>
          <w:rFonts w:ascii="Arial" w:eastAsia="Arial" w:hAnsi="Arial" w:cs="Arial"/>
          <w:b/>
          <w:bCs/>
          <w:color w:val="000000"/>
        </w:rPr>
        <w:t>:</w:t>
      </w:r>
      <w:r>
        <w:rPr>
          <w:rFonts w:ascii="Arial" w:eastAsia="Arial" w:hAnsi="Arial" w:cs="Arial"/>
          <w:b/>
          <w:bCs/>
        </w:rPr>
        <w:t xml:space="preserve"> </w:t>
      </w:r>
    </w:p>
    <w:p w14:paraId="0BFB71CE" w14:textId="77777777" w:rsidR="005F77D6" w:rsidRDefault="00000000">
      <w:pPr>
        <w:numPr>
          <w:ilvl w:val="0"/>
          <w:numId w:val="4"/>
        </w:numPr>
        <w:pBdr>
          <w:top w:val="nil"/>
          <w:left w:val="nil"/>
          <w:bottom w:val="nil"/>
          <w:right w:val="nil"/>
          <w:between w:val="nil"/>
        </w:pBdr>
        <w:spacing w:line="360" w:lineRule="auto"/>
        <w:ind w:right="14"/>
        <w:jc w:val="both"/>
        <w:rPr>
          <w:rFonts w:ascii="Arial" w:eastAsia="Arial" w:hAnsi="Arial" w:cs="Arial"/>
          <w:b/>
          <w:bCs/>
        </w:rPr>
      </w:pPr>
      <w:r>
        <w:rPr>
          <w:rFonts w:ascii="Arial" w:eastAsia="Arial" w:hAnsi="Arial" w:cs="Arial"/>
          <w:b/>
          <w:bCs/>
        </w:rPr>
        <w:t>CÉSAR ENRIQUE MORALES HERNANDEZ, JUEZ DE CONTROL Y JUICIO ORAL ADSCRITA A LOS JUZGADOS DE CONTROL Y TRIBUNALES DE JUICIO ORAL PENAL DE PRIMERA INSTANCIA DEL DISTRITO JUDICIAL DE CANCUN, QUINTANA ROO.</w:t>
      </w:r>
    </w:p>
    <w:p w14:paraId="4849902D" w14:textId="77777777" w:rsidR="005F77D6" w:rsidRDefault="00000000">
      <w:pPr>
        <w:numPr>
          <w:ilvl w:val="0"/>
          <w:numId w:val="4"/>
        </w:numPr>
        <w:spacing w:line="360" w:lineRule="auto"/>
        <w:jc w:val="both"/>
        <w:rPr>
          <w:rFonts w:ascii="Arial" w:eastAsia="Arial" w:hAnsi="Arial" w:cs="Arial"/>
          <w:b/>
          <w:bCs/>
        </w:rPr>
      </w:pPr>
      <w:r>
        <w:rPr>
          <w:rFonts w:ascii="Arial" w:eastAsia="Arial" w:hAnsi="Arial" w:cs="Arial"/>
          <w:b/>
          <w:bCs/>
        </w:rPr>
        <w:t>MTRO. GUSTAVO ALFONSO RAMÍREZ CEQUERA, JUEZ DEL SISTEMA PROCESAL PENAL ACUSATORIO DE LA CIUDAD DE MÉXICO, EN FUNCIONES DE JUEZ DE TRÁMITE, ADSCRITO A LA UNIDAD DE GESTIÓN JUDICIAL 14, TIPO 2.</w:t>
      </w:r>
    </w:p>
    <w:p w14:paraId="492CEBDC" w14:textId="77777777" w:rsidR="005F77D6" w:rsidRDefault="00000000">
      <w:pPr>
        <w:pBdr>
          <w:top w:val="nil"/>
          <w:left w:val="nil"/>
          <w:bottom w:val="nil"/>
          <w:right w:val="nil"/>
          <w:between w:val="nil"/>
        </w:pBdr>
        <w:spacing w:after="109" w:line="360" w:lineRule="auto"/>
        <w:ind w:left="3357" w:right="14" w:hanging="10"/>
        <w:jc w:val="both"/>
        <w:rPr>
          <w:rFonts w:ascii="Arial" w:eastAsia="Arial" w:hAnsi="Arial" w:cs="Arial"/>
        </w:rPr>
      </w:pPr>
      <w:r>
        <w:rPr>
          <w:rFonts w:ascii="Arial" w:eastAsia="Arial" w:hAnsi="Arial" w:cs="Arial"/>
          <w:b/>
          <w:bCs/>
          <w:color w:val="000000"/>
        </w:rPr>
        <w:t xml:space="preserve">ASUNTO: </w:t>
      </w:r>
      <w:r>
        <w:rPr>
          <w:rFonts w:ascii="Arial" w:eastAsia="Arial" w:hAnsi="Arial" w:cs="Arial"/>
          <w:color w:val="000000"/>
        </w:rPr>
        <w:t>SE INTERPONE DEMANDA DE AMPARO INDIRECTO</w:t>
      </w:r>
      <w:r>
        <w:rPr>
          <w:rFonts w:ascii="Arial" w:eastAsia="Arial" w:hAnsi="Arial" w:cs="Arial"/>
        </w:rPr>
        <w:t>.</w:t>
      </w:r>
    </w:p>
    <w:p w14:paraId="5B6124C5" w14:textId="77777777" w:rsidR="005F77D6" w:rsidRDefault="005F77D6">
      <w:pPr>
        <w:pBdr>
          <w:top w:val="nil"/>
          <w:left w:val="nil"/>
          <w:bottom w:val="nil"/>
          <w:right w:val="nil"/>
          <w:between w:val="nil"/>
        </w:pBdr>
        <w:spacing w:after="109" w:line="360" w:lineRule="auto"/>
        <w:ind w:left="3357" w:right="14" w:hanging="10"/>
        <w:jc w:val="both"/>
        <w:rPr>
          <w:rFonts w:ascii="Arial" w:eastAsia="Arial" w:hAnsi="Arial" w:cs="Arial"/>
        </w:rPr>
      </w:pPr>
    </w:p>
    <w:p w14:paraId="38CC8F34" w14:textId="77777777" w:rsidR="005F77D6" w:rsidRDefault="00000000">
      <w:pPr>
        <w:pBdr>
          <w:top w:val="nil"/>
          <w:left w:val="nil"/>
          <w:bottom w:val="nil"/>
          <w:right w:val="nil"/>
          <w:between w:val="nil"/>
        </w:pBdr>
        <w:spacing w:after="109" w:line="360" w:lineRule="auto"/>
        <w:ind w:left="10" w:right="14" w:hanging="10"/>
        <w:jc w:val="both"/>
        <w:rPr>
          <w:rFonts w:ascii="Arial" w:eastAsia="Arial" w:hAnsi="Arial" w:cs="Arial"/>
          <w:color w:val="000000"/>
        </w:rPr>
      </w:pPr>
      <w:r>
        <w:rPr>
          <w:rFonts w:ascii="Arial" w:eastAsia="Arial" w:hAnsi="Arial" w:cs="Arial"/>
          <w:b/>
          <w:bCs/>
          <w:color w:val="000000"/>
        </w:rPr>
        <w:t xml:space="preserve">H. JUEZ DE DISTRITO EN TURNO, DEL </w:t>
      </w:r>
      <w:r>
        <w:rPr>
          <w:rFonts w:ascii="Arial" w:eastAsia="Arial" w:hAnsi="Arial" w:cs="Arial"/>
          <w:b/>
          <w:bCs/>
        </w:rPr>
        <w:t xml:space="preserve">VIGESIMO SEPTIMO </w:t>
      </w:r>
      <w:r>
        <w:rPr>
          <w:rFonts w:ascii="Arial" w:eastAsia="Arial" w:hAnsi="Arial" w:cs="Arial"/>
          <w:b/>
          <w:bCs/>
          <w:color w:val="000000"/>
        </w:rPr>
        <w:t xml:space="preserve">CIRCUITO CON RESIDENCIA EN </w:t>
      </w:r>
      <w:r>
        <w:rPr>
          <w:rFonts w:ascii="Arial" w:eastAsia="Arial" w:hAnsi="Arial" w:cs="Arial"/>
          <w:b/>
          <w:bCs/>
        </w:rPr>
        <w:t>LA CIUDAD DE CANCÚN.</w:t>
      </w:r>
    </w:p>
    <w:p w14:paraId="1A9E9E7A" w14:textId="77777777" w:rsidR="005F77D6" w:rsidRDefault="00000000">
      <w:pPr>
        <w:pBdr>
          <w:top w:val="nil"/>
          <w:left w:val="nil"/>
          <w:bottom w:val="nil"/>
          <w:right w:val="nil"/>
          <w:between w:val="nil"/>
        </w:pBdr>
        <w:spacing w:after="109" w:line="360" w:lineRule="auto"/>
        <w:ind w:left="10" w:right="14" w:hanging="10"/>
        <w:jc w:val="both"/>
        <w:rPr>
          <w:rFonts w:ascii="Arial" w:eastAsia="Arial" w:hAnsi="Arial" w:cs="Arial"/>
          <w:b/>
          <w:bCs/>
          <w:color w:val="000000"/>
        </w:rPr>
      </w:pPr>
      <w:r>
        <w:rPr>
          <w:rFonts w:ascii="Arial" w:eastAsia="Arial" w:hAnsi="Arial" w:cs="Arial"/>
          <w:b/>
          <w:bCs/>
          <w:color w:val="000000"/>
        </w:rPr>
        <w:t>PRESENTE</w:t>
      </w:r>
    </w:p>
    <w:p w14:paraId="523266F7" w14:textId="77777777" w:rsidR="005F77D6" w:rsidRDefault="00000000">
      <w:pPr>
        <w:pBdr>
          <w:top w:val="nil"/>
          <w:left w:val="nil"/>
          <w:bottom w:val="nil"/>
          <w:right w:val="nil"/>
          <w:between w:val="nil"/>
        </w:pBdr>
        <w:spacing w:line="360" w:lineRule="auto"/>
        <w:ind w:firstLine="720"/>
        <w:jc w:val="both"/>
        <w:rPr>
          <w:rFonts w:ascii="Arial" w:eastAsia="Arial" w:hAnsi="Arial" w:cs="Arial"/>
          <w:u w:val="single"/>
        </w:rPr>
      </w:pPr>
      <w:r>
        <w:rPr>
          <w:rFonts w:ascii="Arial" w:eastAsia="Arial" w:hAnsi="Arial" w:cs="Arial"/>
          <w:b/>
          <w:bCs/>
        </w:rPr>
        <w:t>EDUARDO DE MARTIN ALBOR VILLANUEVA</w:t>
      </w:r>
      <w:r>
        <w:rPr>
          <w:rFonts w:ascii="Arial" w:eastAsia="Arial" w:hAnsi="Arial" w:cs="Arial"/>
          <w:color w:val="000000"/>
        </w:rPr>
        <w:t xml:space="preserve">, mexicano, mayor de edad, comparezco ante esta autoridad con la finalidad de interponer mi amparo, en este acto, señaló domicilio para efecto de recibir las notificaciones correspondientes siendo el ubicado </w:t>
      </w:r>
      <w:r>
        <w:rPr>
          <w:rFonts w:ascii="Arial" w:eastAsia="Arial" w:hAnsi="Arial" w:cs="Arial"/>
        </w:rPr>
        <w:t xml:space="preserve">las oficinas administrativas del Delfinario Dolphin Discovery Cancún, en Boulevard Kukulkán KM 25, Manzana 60, Lote 5-02, Sección D Tercera Etapa, en la Zona Hotelera, en esta ciudad de Cancún, Quintana Roo. </w:t>
      </w:r>
      <w:r>
        <w:rPr>
          <w:rFonts w:ascii="Arial" w:eastAsia="Arial" w:hAnsi="Arial" w:cs="Arial"/>
          <w:color w:val="000000"/>
        </w:rPr>
        <w:t xml:space="preserve">Asi </w:t>
      </w:r>
      <w:r>
        <w:rPr>
          <w:rFonts w:ascii="Arial" w:eastAsia="Arial" w:hAnsi="Arial" w:cs="Arial"/>
        </w:rPr>
        <w:t xml:space="preserve">mismo para efectos de dar cumplimiento a la ley de amparo procedo a señalar lo siguiente </w:t>
      </w:r>
    </w:p>
    <w:p w14:paraId="72A4F7DB" w14:textId="77777777" w:rsidR="005F77D6" w:rsidRDefault="005F77D6">
      <w:pPr>
        <w:spacing w:line="360" w:lineRule="auto"/>
        <w:rPr>
          <w:rFonts w:ascii="Arial" w:eastAsia="Arial" w:hAnsi="Arial" w:cs="Arial"/>
          <w:b/>
          <w:bCs/>
        </w:rPr>
      </w:pPr>
    </w:p>
    <w:p w14:paraId="3DC57C80" w14:textId="77777777" w:rsidR="005F77D6" w:rsidRDefault="00000000">
      <w:pPr>
        <w:spacing w:line="360" w:lineRule="auto"/>
        <w:jc w:val="center"/>
        <w:rPr>
          <w:rFonts w:ascii="Arial" w:eastAsia="Arial" w:hAnsi="Arial" w:cs="Arial"/>
        </w:rPr>
      </w:pPr>
      <w:r>
        <w:rPr>
          <w:rFonts w:ascii="Arial" w:eastAsia="Arial" w:hAnsi="Arial" w:cs="Arial"/>
          <w:b/>
          <w:bCs/>
        </w:rPr>
        <w:t xml:space="preserve">AUTORIZADOS EN TÉRMINOS AMPLIOS.   </w:t>
      </w:r>
    </w:p>
    <w:p w14:paraId="5C4622B9" w14:textId="77777777" w:rsidR="005F77D6" w:rsidRDefault="00000000">
      <w:pPr>
        <w:spacing w:line="360" w:lineRule="auto"/>
        <w:ind w:firstLine="720"/>
        <w:jc w:val="both"/>
        <w:rPr>
          <w:rFonts w:ascii="Arial" w:eastAsia="Arial" w:hAnsi="Arial" w:cs="Arial"/>
        </w:rPr>
      </w:pPr>
      <w:r>
        <w:rPr>
          <w:rFonts w:ascii="Arial" w:eastAsia="Arial" w:hAnsi="Arial" w:cs="Arial"/>
        </w:rPr>
        <w:t>Con fundamento en lo dispuesto por el artículo 12, primer párrafo, de la Ley de Amparo,</w:t>
      </w:r>
      <w:r>
        <w:rPr>
          <w:rFonts w:ascii="Arial" w:eastAsia="Arial" w:hAnsi="Arial" w:cs="Arial"/>
          <w:vertAlign w:val="superscript"/>
        </w:rPr>
        <w:footnoteReference w:id="1"/>
      </w:r>
      <w:r>
        <w:rPr>
          <w:rFonts w:ascii="Arial" w:eastAsia="Arial" w:hAnsi="Arial" w:cs="Arial"/>
        </w:rPr>
        <w:t xml:space="preserve"> autorizo en términos amplios a el licenciado en derecho, licenciado en derecho Álvaro Adrián Pegueros Castillo con número de cédula profesional 14486345, Doctor en Derecho Fidel Gabriel Villanueva Rivero con número de cédula profesional 9380620, y a la Licenciada María Estefany Arceo Mis con cédula </w:t>
      </w:r>
      <w:r>
        <w:rPr>
          <w:rFonts w:ascii="Arial" w:eastAsia="Arial" w:hAnsi="Arial" w:cs="Arial"/>
        </w:rPr>
        <w:lastRenderedPageBreak/>
        <w:t>profesional 12732758, por lo que quedarán facultados para: interponer los recursos que procedan; ofrecer y desahogar pruebas; alegar en las audiencias; solicitar la suspensión o el diferimiento y realizar cualquier acto que resulte necesario para el ejercicio de los derechos de la suscrita, solicitando desde este momento y para todos los efectos legales a que haya lugar.</w:t>
      </w:r>
    </w:p>
    <w:p w14:paraId="09AF0673" w14:textId="77777777" w:rsidR="005F77D6" w:rsidRDefault="005F77D6">
      <w:pPr>
        <w:spacing w:line="360" w:lineRule="auto"/>
        <w:rPr>
          <w:rFonts w:ascii="Arial" w:eastAsia="Arial" w:hAnsi="Arial" w:cs="Arial"/>
          <w:b/>
          <w:bCs/>
        </w:rPr>
      </w:pPr>
    </w:p>
    <w:p w14:paraId="1A972B31" w14:textId="77777777" w:rsidR="005F77D6" w:rsidRDefault="00000000">
      <w:pPr>
        <w:spacing w:line="360" w:lineRule="auto"/>
        <w:rPr>
          <w:rFonts w:ascii="Arial" w:eastAsia="Arial" w:hAnsi="Arial" w:cs="Arial"/>
          <w:b/>
          <w:bCs/>
        </w:rPr>
      </w:pPr>
      <w:r>
        <w:rPr>
          <w:rFonts w:ascii="Arial" w:eastAsia="Arial" w:hAnsi="Arial" w:cs="Arial"/>
          <w:b/>
          <w:bCs/>
        </w:rPr>
        <w:t>SE SEÑALAN AUTORIZADOS.</w:t>
      </w:r>
    </w:p>
    <w:p w14:paraId="3460C03B" w14:textId="5227C298" w:rsidR="005F77D6" w:rsidRDefault="00000000">
      <w:pPr>
        <w:spacing w:line="360" w:lineRule="auto"/>
        <w:ind w:firstLine="720"/>
        <w:jc w:val="both"/>
        <w:rPr>
          <w:rFonts w:ascii="Arial" w:eastAsia="Arial" w:hAnsi="Arial" w:cs="Arial"/>
        </w:rPr>
      </w:pPr>
      <w:r>
        <w:rPr>
          <w:rFonts w:ascii="Arial" w:eastAsia="Arial" w:hAnsi="Arial" w:cs="Arial"/>
        </w:rPr>
        <w:t>De igual forma, con apoyo en los artículos 12 y 24 de la ley federal en cita, autorizo para recibir toda clase de notificaciones, documentos o valores, así como imponer en autos al pasante en derecho Alberto Arturo Pegueros Castillo,  Gabriel Villanueva Achach y Fidel Arturo Ladró</w:t>
      </w:r>
      <w:r w:rsidR="0099013E">
        <w:rPr>
          <w:rFonts w:ascii="Arial" w:eastAsia="Arial" w:hAnsi="Arial" w:cs="Arial"/>
        </w:rPr>
        <w:t>n</w:t>
      </w:r>
      <w:r>
        <w:rPr>
          <w:rFonts w:ascii="Arial" w:eastAsia="Arial" w:hAnsi="Arial" w:cs="Arial"/>
        </w:rPr>
        <w:t xml:space="preserve"> de Guevara Bravo.</w:t>
      </w:r>
    </w:p>
    <w:p w14:paraId="7EBB7192" w14:textId="77777777" w:rsidR="005F77D6" w:rsidRDefault="005F77D6">
      <w:pPr>
        <w:spacing w:line="360" w:lineRule="auto"/>
        <w:jc w:val="both"/>
        <w:rPr>
          <w:rFonts w:ascii="Arial" w:eastAsia="Arial" w:hAnsi="Arial" w:cs="Arial"/>
        </w:rPr>
      </w:pPr>
    </w:p>
    <w:p w14:paraId="7800DB95" w14:textId="77777777" w:rsidR="005F77D6" w:rsidRDefault="00000000">
      <w:pPr>
        <w:spacing w:line="360" w:lineRule="auto"/>
        <w:jc w:val="both"/>
        <w:rPr>
          <w:rFonts w:ascii="Arial" w:eastAsia="Arial" w:hAnsi="Arial" w:cs="Arial"/>
          <w:b/>
          <w:bCs/>
        </w:rPr>
      </w:pPr>
      <w:r>
        <w:rPr>
          <w:rFonts w:ascii="Arial" w:eastAsia="Arial" w:hAnsi="Arial" w:cs="Arial"/>
          <w:b/>
          <w:bCs/>
        </w:rPr>
        <w:t>VINCULACIÓN AL EXPEDIENTE ELECTRÓNICO</w:t>
      </w:r>
    </w:p>
    <w:p w14:paraId="53F4D28C" w14:textId="77777777" w:rsidR="005F77D6" w:rsidRDefault="00000000">
      <w:pPr>
        <w:spacing w:line="360" w:lineRule="auto"/>
        <w:ind w:firstLine="720"/>
        <w:jc w:val="both"/>
        <w:rPr>
          <w:rFonts w:ascii="Arial" w:eastAsia="Arial" w:hAnsi="Arial" w:cs="Arial"/>
        </w:rPr>
      </w:pPr>
      <w:r>
        <w:rPr>
          <w:rFonts w:ascii="Arial" w:eastAsia="Arial" w:hAnsi="Arial" w:cs="Arial"/>
        </w:rPr>
        <w:t>De igual manera debido a que actualmente el uso de la Firma Electrónica como medio electrónico permite ingresar al Sistema del Poder Judicial de la Federación como opción para promover juicios de amparo, escritos, consultar los expedientes electrónicos relativos a los juicios y los diversos asuntos relacionados con éstos, autorizo los nombres de usuario, “</w:t>
      </w:r>
      <w:r>
        <w:rPr>
          <w:rFonts w:ascii="Arial" w:eastAsia="Arial" w:hAnsi="Arial" w:cs="Arial"/>
          <w:b/>
          <w:bCs/>
        </w:rPr>
        <w:t xml:space="preserve">rmartin_arjona”, con correo electrónico registrado como </w:t>
      </w:r>
      <w:hyperlink r:id="rId8">
        <w:r w:rsidR="005F77D6">
          <w:rPr>
            <w:rFonts w:ascii="Arial" w:eastAsia="Arial" w:hAnsi="Arial" w:cs="Arial"/>
            <w:b/>
            <w:bCs/>
            <w:color w:val="1155CC"/>
            <w:u w:val="single"/>
          </w:rPr>
          <w:t>rmartin_arjona@hotmail.com</w:t>
        </w:r>
      </w:hyperlink>
      <w:r>
        <w:rPr>
          <w:rFonts w:ascii="Arial" w:eastAsia="Arial" w:hAnsi="Arial" w:cs="Arial"/>
          <w:b/>
          <w:bCs/>
        </w:rPr>
        <w:t xml:space="preserve">,  “fidelvillanueva” con correo electrónico </w:t>
      </w:r>
      <w:hyperlink r:id="rId9">
        <w:r w:rsidR="005F77D6">
          <w:rPr>
            <w:rFonts w:ascii="Arial" w:eastAsia="Arial" w:hAnsi="Arial" w:cs="Arial"/>
            <w:b/>
            <w:bCs/>
            <w:color w:val="1155CC"/>
            <w:u w:val="single"/>
          </w:rPr>
          <w:t>fidelvillanueva@prodigy.net.mx</w:t>
        </w:r>
      </w:hyperlink>
      <w:r>
        <w:rPr>
          <w:rFonts w:ascii="Arial" w:eastAsia="Arial" w:hAnsi="Arial" w:cs="Arial"/>
          <w:b/>
          <w:bCs/>
        </w:rPr>
        <w:t xml:space="preserve">, y así también  “marceomis” y proporciono el correo electrónico </w:t>
      </w:r>
      <w:hyperlink r:id="rId10">
        <w:r w:rsidR="005F77D6">
          <w:rPr>
            <w:rFonts w:ascii="Arial" w:eastAsia="Arial" w:hAnsi="Arial" w:cs="Arial"/>
            <w:b/>
            <w:bCs/>
            <w:color w:val="1155CC"/>
            <w:u w:val="single"/>
          </w:rPr>
          <w:t>mearceomis@gmail.com</w:t>
        </w:r>
      </w:hyperlink>
      <w:r>
        <w:rPr>
          <w:rFonts w:ascii="Arial" w:eastAsia="Arial" w:hAnsi="Arial" w:cs="Arial"/>
        </w:rPr>
        <w:t>, para que por este medio se realice la vinculación del expediente electrónico que pueda derivar de la presente demanda de amparo, aclarando que no es voluntad del quejoso que el presente asunto siga la modalidad de “juicio en línea”, y por tanto, las notificaciones que deban ser de carácter personal se hagan de esa manera.</w:t>
      </w:r>
    </w:p>
    <w:p w14:paraId="723E2298" w14:textId="77777777" w:rsidR="005F77D6" w:rsidRDefault="005F77D6">
      <w:pPr>
        <w:spacing w:line="360" w:lineRule="auto"/>
        <w:ind w:firstLine="720"/>
        <w:jc w:val="both"/>
        <w:rPr>
          <w:rFonts w:ascii="Arial" w:eastAsia="Arial" w:hAnsi="Arial" w:cs="Arial"/>
        </w:rPr>
      </w:pPr>
    </w:p>
    <w:p w14:paraId="54C203F9" w14:textId="77777777" w:rsidR="005F77D6" w:rsidRDefault="00000000">
      <w:pPr>
        <w:spacing w:line="360" w:lineRule="auto"/>
        <w:jc w:val="center"/>
        <w:rPr>
          <w:rFonts w:ascii="Arial" w:eastAsia="Arial" w:hAnsi="Arial" w:cs="Arial"/>
          <w:b/>
          <w:bCs/>
        </w:rPr>
      </w:pPr>
      <w:r>
        <w:rPr>
          <w:rFonts w:ascii="Arial" w:eastAsia="Arial" w:hAnsi="Arial" w:cs="Arial"/>
          <w:b/>
          <w:bCs/>
        </w:rPr>
        <w:t>SE INTERPONE DEMANDA DE AMPARO EN LA VÍA INDIRECTA.</w:t>
      </w:r>
    </w:p>
    <w:p w14:paraId="321F50E2" w14:textId="77777777" w:rsidR="005F77D6" w:rsidRDefault="00000000">
      <w:pPr>
        <w:widowControl w:val="0"/>
        <w:tabs>
          <w:tab w:val="left" w:pos="700"/>
          <w:tab w:val="left" w:pos="1337"/>
          <w:tab w:val="left" w:pos="0"/>
        </w:tabs>
        <w:spacing w:line="360" w:lineRule="auto"/>
        <w:jc w:val="both"/>
        <w:rPr>
          <w:rFonts w:ascii="Arial" w:eastAsia="Arial" w:hAnsi="Arial" w:cs="Arial"/>
        </w:rPr>
      </w:pPr>
      <w:r>
        <w:rPr>
          <w:rFonts w:ascii="Arial" w:eastAsia="Arial" w:hAnsi="Arial" w:cs="Arial"/>
        </w:rPr>
        <w:tab/>
        <w:t xml:space="preserve">Con apoyo en lo dispuesto en los artículos 103, fracción I y 107, fracción XII, ambos de la Constitución Política de los Estados Unidos Mexicanos, en relación con lo dispuesto por los numerales 1º, 2º, 5º, 6º, 17, 18, 20, 24, 26, 33, 35, 37, 107, 108 y demás relativos y aplicables de la Ley de Amparo en vigor, vengo a solicitar el </w:t>
      </w:r>
      <w:r>
        <w:rPr>
          <w:rFonts w:ascii="Arial" w:eastAsia="Arial" w:hAnsi="Arial" w:cs="Arial"/>
          <w:b/>
          <w:bCs/>
        </w:rPr>
        <w:t>AMPARO Y PROTECCIÓN DE LA JUSTICIA FEDERAL</w:t>
      </w:r>
      <w:r>
        <w:rPr>
          <w:rFonts w:ascii="Arial" w:eastAsia="Arial" w:hAnsi="Arial" w:cs="Arial"/>
        </w:rPr>
        <w:t>, en contra de los actos que respectivamente se reclaman de las autoridades que serán señaladas como responsables en el presente libelo de demanda.</w:t>
      </w:r>
    </w:p>
    <w:p w14:paraId="766EB761" w14:textId="77777777" w:rsidR="005F77D6" w:rsidRDefault="00000000">
      <w:pPr>
        <w:spacing w:line="360" w:lineRule="auto"/>
        <w:ind w:left="141" w:right="-50"/>
        <w:rPr>
          <w:rFonts w:ascii="Arial" w:eastAsia="Arial" w:hAnsi="Arial" w:cs="Arial"/>
        </w:rPr>
      </w:pPr>
      <w:r>
        <w:rPr>
          <w:rFonts w:ascii="Arial" w:eastAsia="Arial" w:hAnsi="Arial" w:cs="Arial"/>
        </w:rPr>
        <w:t xml:space="preserve"> </w:t>
      </w:r>
    </w:p>
    <w:p w14:paraId="107DF6CF" w14:textId="77777777" w:rsidR="005F77D6"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En concordancia con los artículos 103, fracción I y 107 de la Constitución Política de los Estados Unidos Mexicanos, así como en lo relativo a la fracción I del artículo 107 de la Ley de Amparo, comparezco para solicitar el Amparo y la Protección de la Justicia de la Unión por medio del presente Amparo Indirecto, por lo tanto, en cumplimiento a los requisitos de procedibilidad establecidos por el artículo 175 de la Ley de Amparo manifiesto lo siguiente:</w:t>
      </w:r>
    </w:p>
    <w:p w14:paraId="4B720C56" w14:textId="77777777" w:rsidR="005F77D6"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xml:space="preserve"> </w:t>
      </w:r>
    </w:p>
    <w:p w14:paraId="71500E5D" w14:textId="77777777" w:rsidR="005F77D6" w:rsidRDefault="00000000">
      <w:pPr>
        <w:widowControl w:val="0"/>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b/>
          <w:bCs/>
          <w:color w:val="000000"/>
        </w:rPr>
        <w:lastRenderedPageBreak/>
        <w:t>I.- NOMBRE Y DOMICILIO DEL QUEJOSO</w:t>
      </w:r>
      <w:r>
        <w:rPr>
          <w:rFonts w:ascii="Arial" w:eastAsia="Arial" w:hAnsi="Arial" w:cs="Arial"/>
          <w:color w:val="000000"/>
        </w:rPr>
        <w:t xml:space="preserve">: </w:t>
      </w:r>
    </w:p>
    <w:p w14:paraId="2743FECC" w14:textId="77777777" w:rsidR="005F77D6"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Lo anterior ya ha quedado precisado en el proemio del presente escrito.</w:t>
      </w:r>
    </w:p>
    <w:p w14:paraId="76929912" w14:textId="77777777" w:rsidR="005F77D6" w:rsidRDefault="005F77D6">
      <w:pPr>
        <w:widowControl w:val="0"/>
        <w:pBdr>
          <w:top w:val="nil"/>
          <w:left w:val="nil"/>
          <w:bottom w:val="nil"/>
          <w:right w:val="nil"/>
          <w:between w:val="nil"/>
        </w:pBdr>
        <w:spacing w:line="360" w:lineRule="auto"/>
        <w:rPr>
          <w:rFonts w:ascii="Arial" w:eastAsia="Arial" w:hAnsi="Arial" w:cs="Arial"/>
          <w:color w:val="000000"/>
        </w:rPr>
      </w:pPr>
    </w:p>
    <w:p w14:paraId="710733E2" w14:textId="77777777" w:rsidR="005F77D6" w:rsidRDefault="00000000">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rPr>
      </w:pPr>
      <w:r>
        <w:rPr>
          <w:rFonts w:ascii="Arial" w:eastAsia="Arial" w:hAnsi="Arial" w:cs="Arial"/>
          <w:b/>
          <w:bCs/>
          <w:color w:val="000000"/>
        </w:rPr>
        <w:t xml:space="preserve">II.- </w:t>
      </w:r>
      <w:r>
        <w:rPr>
          <w:rFonts w:ascii="Helvetica Neue" w:eastAsia="Helvetica Neue" w:hAnsi="Helvetica Neue" w:cs="Helvetica Neue"/>
          <w:b/>
          <w:bCs/>
          <w:color w:val="000000"/>
        </w:rPr>
        <w:t xml:space="preserve">NOMBRE Y DOMICILIO DEL TERCERO INTERESADO: </w:t>
      </w:r>
    </w:p>
    <w:p w14:paraId="3C5E581E" w14:textId="77777777" w:rsidR="005F77D6" w:rsidRDefault="00000000">
      <w:pPr>
        <w:widowControl w:val="0"/>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A consideración del suscrito no hay </w:t>
      </w:r>
      <w:r>
        <w:rPr>
          <w:rFonts w:ascii="Helvetica Neue" w:eastAsia="Helvetica Neue" w:hAnsi="Helvetica Neue" w:cs="Helvetica Neue"/>
        </w:rPr>
        <w:t>terceros</w:t>
      </w:r>
      <w:r>
        <w:rPr>
          <w:rFonts w:ascii="Helvetica Neue" w:eastAsia="Helvetica Neue" w:hAnsi="Helvetica Neue" w:cs="Helvetica Neue"/>
          <w:color w:val="000000"/>
        </w:rPr>
        <w:t xml:space="preserve"> </w:t>
      </w:r>
      <w:r>
        <w:rPr>
          <w:rFonts w:ascii="Helvetica Neue" w:eastAsia="Helvetica Neue" w:hAnsi="Helvetica Neue" w:cs="Helvetica Neue"/>
        </w:rPr>
        <w:t>interesados</w:t>
      </w:r>
      <w:r>
        <w:rPr>
          <w:rFonts w:ascii="Helvetica Neue" w:eastAsia="Helvetica Neue" w:hAnsi="Helvetica Neue" w:cs="Helvetica Neue"/>
          <w:color w:val="000000"/>
        </w:rPr>
        <w:t>.</w:t>
      </w:r>
    </w:p>
    <w:p w14:paraId="0A6749D9" w14:textId="77777777" w:rsidR="005F77D6" w:rsidRDefault="005F77D6">
      <w:pPr>
        <w:widowControl w:val="0"/>
        <w:pBdr>
          <w:top w:val="nil"/>
          <w:left w:val="nil"/>
          <w:bottom w:val="nil"/>
          <w:right w:val="nil"/>
          <w:between w:val="nil"/>
        </w:pBdr>
        <w:spacing w:line="360" w:lineRule="auto"/>
        <w:rPr>
          <w:rFonts w:ascii="Arial" w:eastAsia="Arial" w:hAnsi="Arial" w:cs="Arial"/>
          <w:color w:val="000000"/>
        </w:rPr>
      </w:pPr>
    </w:p>
    <w:p w14:paraId="3788C03B" w14:textId="77777777" w:rsidR="005F77D6" w:rsidRDefault="00000000">
      <w:pPr>
        <w:widowControl w:val="0"/>
        <w:pBdr>
          <w:top w:val="nil"/>
          <w:left w:val="nil"/>
          <w:bottom w:val="nil"/>
          <w:right w:val="nil"/>
          <w:between w:val="nil"/>
        </w:pBdr>
        <w:spacing w:line="360" w:lineRule="auto"/>
        <w:jc w:val="center"/>
        <w:rPr>
          <w:rFonts w:ascii="Arial" w:eastAsia="Arial" w:hAnsi="Arial" w:cs="Arial"/>
          <w:color w:val="000000"/>
        </w:rPr>
      </w:pPr>
      <w:r>
        <w:rPr>
          <w:rFonts w:ascii="Helvetica Neue" w:eastAsia="Helvetica Neue" w:hAnsi="Helvetica Neue" w:cs="Helvetica Neue"/>
          <w:b/>
          <w:bCs/>
          <w:color w:val="000000"/>
        </w:rPr>
        <w:t xml:space="preserve">III.- </w:t>
      </w:r>
      <w:r>
        <w:rPr>
          <w:rFonts w:ascii="Arial" w:eastAsia="Arial" w:hAnsi="Arial" w:cs="Arial"/>
          <w:b/>
          <w:bCs/>
          <w:color w:val="000000"/>
        </w:rPr>
        <w:t>LA AUTORIDAD O AUTORIDADES RESPONSABLES</w:t>
      </w:r>
      <w:r>
        <w:rPr>
          <w:rFonts w:ascii="Arial" w:eastAsia="Arial" w:hAnsi="Arial" w:cs="Arial"/>
          <w:color w:val="000000"/>
        </w:rPr>
        <w:t xml:space="preserve">: </w:t>
      </w:r>
    </w:p>
    <w:p w14:paraId="14436C55" w14:textId="77777777" w:rsidR="005F77D6" w:rsidRDefault="005F77D6">
      <w:pPr>
        <w:widowControl w:val="0"/>
        <w:pBdr>
          <w:top w:val="nil"/>
          <w:left w:val="nil"/>
          <w:bottom w:val="nil"/>
          <w:right w:val="nil"/>
          <w:between w:val="nil"/>
        </w:pBdr>
        <w:spacing w:line="360" w:lineRule="auto"/>
        <w:jc w:val="center"/>
        <w:rPr>
          <w:rFonts w:ascii="Arial" w:eastAsia="Arial" w:hAnsi="Arial" w:cs="Arial"/>
          <w:color w:val="000000"/>
        </w:rPr>
      </w:pPr>
    </w:p>
    <w:p w14:paraId="799FA4A2" w14:textId="77777777" w:rsidR="005F77D6" w:rsidRDefault="00000000">
      <w:pPr>
        <w:numPr>
          <w:ilvl w:val="0"/>
          <w:numId w:val="6"/>
        </w:numPr>
        <w:spacing w:line="360" w:lineRule="auto"/>
        <w:jc w:val="both"/>
        <w:rPr>
          <w:rFonts w:ascii="Arial" w:eastAsia="Arial" w:hAnsi="Arial" w:cs="Arial"/>
        </w:rPr>
      </w:pPr>
      <w:r>
        <w:rPr>
          <w:rFonts w:ascii="Arial" w:eastAsia="Arial" w:hAnsi="Arial" w:cs="Arial"/>
        </w:rPr>
        <w:t>C. CÉSAR ENRIQUE MORALES HERNANDEZ, JUEZ DE CONTROL Y JUICIO ORAL ADSCRITA A LOS JUZGADOS DE CONTROL Y TRIBUNALES DE JUICIO ORAL PENAL DE PRIMERA INSTANCIA DEL DISTRITO JUDICIAL DE CANCUN, QUINTANA ROO.</w:t>
      </w:r>
    </w:p>
    <w:p w14:paraId="7C7BDE0C" w14:textId="77777777" w:rsidR="005F77D6" w:rsidRDefault="00000000">
      <w:pPr>
        <w:numPr>
          <w:ilvl w:val="0"/>
          <w:numId w:val="6"/>
        </w:numPr>
        <w:spacing w:line="360" w:lineRule="auto"/>
        <w:jc w:val="both"/>
        <w:rPr>
          <w:rFonts w:ascii="Arial" w:eastAsia="Arial" w:hAnsi="Arial" w:cs="Arial"/>
        </w:rPr>
      </w:pPr>
      <w:r>
        <w:rPr>
          <w:rFonts w:ascii="Arial" w:eastAsia="Arial" w:hAnsi="Arial" w:cs="Arial"/>
        </w:rPr>
        <w:t>MTRO. GUSTAVO ALFONSO RAMÍREZ CEQUERA, JUEZ DEL SISTEMA PROCESAL PENAL ACUSATORIO DE LA CIUDAD DE MÉXICO, EN FUNCIONES DE JUEZ DE TRÁMITE, ADSCRITO A LA UNIDAD DE GESTIÓN JUDICIAL 14, TIPO 2.</w:t>
      </w:r>
    </w:p>
    <w:p w14:paraId="370274A9" w14:textId="77777777" w:rsidR="005F77D6" w:rsidRDefault="005F77D6">
      <w:pPr>
        <w:spacing w:line="360" w:lineRule="auto"/>
        <w:jc w:val="both"/>
        <w:rPr>
          <w:rFonts w:ascii="Arial" w:eastAsia="Arial" w:hAnsi="Arial" w:cs="Arial"/>
        </w:rPr>
      </w:pPr>
    </w:p>
    <w:p w14:paraId="74424C6F" w14:textId="77777777" w:rsidR="005F77D6" w:rsidRDefault="00000000">
      <w:pPr>
        <w:widowControl w:val="0"/>
        <w:pBdr>
          <w:top w:val="nil"/>
          <w:left w:val="nil"/>
          <w:bottom w:val="nil"/>
          <w:right w:val="nil"/>
          <w:between w:val="nil"/>
        </w:pBdr>
        <w:spacing w:after="240" w:line="360" w:lineRule="auto"/>
        <w:jc w:val="center"/>
        <w:rPr>
          <w:rFonts w:ascii="Arial" w:eastAsia="Arial" w:hAnsi="Arial" w:cs="Arial"/>
        </w:rPr>
      </w:pPr>
      <w:r>
        <w:rPr>
          <w:rFonts w:ascii="Helvetica Neue" w:eastAsia="Helvetica Neue" w:hAnsi="Helvetica Neue" w:cs="Helvetica Neue"/>
          <w:b/>
          <w:bCs/>
          <w:color w:val="000000"/>
        </w:rPr>
        <w:t xml:space="preserve">IV.- </w:t>
      </w:r>
      <w:r>
        <w:rPr>
          <w:rFonts w:ascii="Arial" w:eastAsia="Arial" w:hAnsi="Arial" w:cs="Arial"/>
          <w:b/>
          <w:bCs/>
          <w:color w:val="000000"/>
        </w:rPr>
        <w:t>LA NORMA GENERAL, ACTO U OMISIÓN QUE DE CADA AUTORIDAD SE RECLAME</w:t>
      </w:r>
      <w:r>
        <w:rPr>
          <w:rFonts w:ascii="Arial" w:eastAsia="Arial" w:hAnsi="Arial" w:cs="Arial"/>
          <w:color w:val="000000"/>
        </w:rPr>
        <w:t xml:space="preserve">: </w:t>
      </w:r>
    </w:p>
    <w:p w14:paraId="2E7B44BF" w14:textId="77777777" w:rsidR="005F77D6" w:rsidRDefault="00000000">
      <w:pPr>
        <w:widowControl w:val="0"/>
        <w:pBdr>
          <w:top w:val="nil"/>
          <w:left w:val="nil"/>
          <w:bottom w:val="nil"/>
          <w:right w:val="nil"/>
          <w:between w:val="nil"/>
        </w:pBdr>
        <w:spacing w:after="240" w:line="360" w:lineRule="auto"/>
        <w:jc w:val="both"/>
        <w:rPr>
          <w:rFonts w:ascii="Arial" w:eastAsia="Arial" w:hAnsi="Arial" w:cs="Arial"/>
        </w:rPr>
      </w:pPr>
      <w:r>
        <w:rPr>
          <w:rFonts w:ascii="Arial" w:eastAsia="Arial" w:hAnsi="Arial" w:cs="Arial"/>
        </w:rPr>
        <w:t>EL ACUERDO DE FECHA 29 DE OCTUBRE DEL AÑO 2025, EN DONDE NO SE ACCEDIÓ EL ESCRITO DE INCOMPETENCIA POR INHIBITORIA PRESENTADO EN FECHA 21 DE OCTUBRE DEL AÑO 2025, POR NO HACERSE VALER ANTE LA AUTORIDADES CORRESPONDIENTE., por lo siguiente:</w:t>
      </w:r>
    </w:p>
    <w:p w14:paraId="4A092821" w14:textId="77777777" w:rsidR="005F77D6" w:rsidRDefault="00000000">
      <w:pPr>
        <w:widowControl w:val="0"/>
        <w:pBdr>
          <w:top w:val="nil"/>
          <w:left w:val="nil"/>
          <w:bottom w:val="nil"/>
          <w:right w:val="nil"/>
          <w:between w:val="nil"/>
        </w:pBdr>
        <w:spacing w:after="240" w:line="360" w:lineRule="auto"/>
        <w:ind w:left="720" w:firstLine="720"/>
        <w:jc w:val="both"/>
        <w:rPr>
          <w:rFonts w:ascii="Arial" w:eastAsia="Arial" w:hAnsi="Arial" w:cs="Arial"/>
          <w:b/>
          <w:bCs/>
          <w:sz w:val="22"/>
          <w:szCs w:val="22"/>
        </w:rPr>
      </w:pPr>
      <w:r>
        <w:rPr>
          <w:rFonts w:ascii="Arial" w:eastAsia="Arial" w:hAnsi="Arial" w:cs="Arial"/>
          <w:sz w:val="22"/>
          <w:szCs w:val="22"/>
        </w:rPr>
        <w:t>“</w:t>
      </w:r>
      <w:r>
        <w:rPr>
          <w:rFonts w:ascii="Arial" w:eastAsia="Arial" w:hAnsi="Arial" w:cs="Arial"/>
          <w:b/>
          <w:bCs/>
          <w:sz w:val="22"/>
          <w:szCs w:val="22"/>
        </w:rPr>
        <w:t>Atento a lo anterior</w:t>
      </w:r>
      <w:r>
        <w:rPr>
          <w:rFonts w:ascii="Arial" w:eastAsia="Arial" w:hAnsi="Arial" w:cs="Arial"/>
          <w:sz w:val="22"/>
          <w:szCs w:val="22"/>
        </w:rPr>
        <w:t xml:space="preserve">, con fundamento en el artículo 134 fracción I y IV del Código Nacional de Procedimientos Penales, y 70 Bis de la Ley de Orgánica del Poder Judicial del Estado, </w:t>
      </w:r>
      <w:r>
        <w:rPr>
          <w:rFonts w:ascii="Arial" w:eastAsia="Arial" w:hAnsi="Arial" w:cs="Arial"/>
          <w:b/>
          <w:bCs/>
          <w:sz w:val="22"/>
          <w:szCs w:val="22"/>
        </w:rPr>
        <w:t>El Ciudadano Juez de Control, ACUERDA:</w:t>
      </w:r>
    </w:p>
    <w:p w14:paraId="5C556489" w14:textId="77777777" w:rsidR="005F77D6" w:rsidRDefault="00000000">
      <w:pPr>
        <w:widowControl w:val="0"/>
        <w:pBdr>
          <w:top w:val="nil"/>
          <w:left w:val="nil"/>
          <w:bottom w:val="nil"/>
          <w:right w:val="nil"/>
          <w:between w:val="nil"/>
        </w:pBdr>
        <w:spacing w:after="240" w:line="360" w:lineRule="auto"/>
        <w:ind w:left="720" w:firstLine="720"/>
        <w:jc w:val="both"/>
        <w:rPr>
          <w:rFonts w:ascii="Arial" w:eastAsia="Arial" w:hAnsi="Arial" w:cs="Arial"/>
          <w:color w:val="000000"/>
        </w:rPr>
      </w:pPr>
      <w:r>
        <w:rPr>
          <w:rFonts w:ascii="Arial" w:eastAsia="Arial" w:hAnsi="Arial" w:cs="Arial"/>
          <w:sz w:val="22"/>
          <w:szCs w:val="22"/>
        </w:rPr>
        <w:t xml:space="preserve">Se tiene por recibido el escrito de referencia, presentado por el ciudadano </w:t>
      </w:r>
      <w:r>
        <w:rPr>
          <w:rFonts w:ascii="Arial" w:eastAsia="Arial" w:hAnsi="Arial" w:cs="Arial"/>
          <w:b/>
          <w:bCs/>
          <w:sz w:val="22"/>
          <w:szCs w:val="22"/>
        </w:rPr>
        <w:t>Eduardo de Martín Albor Villanueva</w:t>
      </w:r>
      <w:r>
        <w:rPr>
          <w:rFonts w:ascii="Arial" w:eastAsia="Arial" w:hAnsi="Arial" w:cs="Arial"/>
          <w:sz w:val="22"/>
          <w:szCs w:val="22"/>
        </w:rPr>
        <w:t xml:space="preserve">, quien se ostenta como víctima en la carpeta de investigación, mismo que se ordena agregar en la carpeta auxiliar en la que se actúa para que se obre como legalmente corresponda; en cuanto a su contenido, dígase al ocursante que </w:t>
      </w:r>
      <w:r>
        <w:rPr>
          <w:rFonts w:ascii="Arial" w:eastAsia="Arial" w:hAnsi="Arial" w:cs="Arial"/>
          <w:b/>
          <w:bCs/>
          <w:sz w:val="22"/>
          <w:szCs w:val="22"/>
        </w:rPr>
        <w:t>No se accede</w:t>
      </w:r>
      <w:r>
        <w:rPr>
          <w:rFonts w:ascii="Arial" w:eastAsia="Arial" w:hAnsi="Arial" w:cs="Arial"/>
          <w:sz w:val="22"/>
          <w:szCs w:val="22"/>
        </w:rPr>
        <w:t xml:space="preserve"> a su solicitud, por lo que sus pretensiones jurídicas, deberá hacerlas valer ante la Autoridad correspondiente.”</w:t>
      </w:r>
    </w:p>
    <w:p w14:paraId="52FEC0D9" w14:textId="77777777" w:rsidR="005F77D6" w:rsidRDefault="00000000">
      <w:pPr>
        <w:widowControl w:val="0"/>
        <w:pBdr>
          <w:top w:val="nil"/>
          <w:left w:val="nil"/>
          <w:bottom w:val="nil"/>
          <w:right w:val="nil"/>
          <w:between w:val="nil"/>
        </w:pBdr>
        <w:spacing w:after="240" w:line="360" w:lineRule="auto"/>
        <w:jc w:val="both"/>
        <w:rPr>
          <w:rFonts w:ascii="Arial" w:eastAsia="Arial" w:hAnsi="Arial" w:cs="Arial"/>
          <w:b/>
          <w:bCs/>
          <w:color w:val="000000"/>
        </w:rPr>
      </w:pPr>
      <w:r>
        <w:rPr>
          <w:rFonts w:ascii="Arial" w:eastAsia="Arial" w:hAnsi="Arial" w:cs="Arial"/>
          <w:b/>
          <w:bCs/>
          <w:color w:val="000000"/>
        </w:rPr>
        <w:t>V.- BAJO PROTESTA DE DECIR VERDAD, MANIFIESTO QUE ME CONSTAN LOS HECHOS O ABSTENCIONES QUE CONSTITUYAN LOS ANTECEDENTES DEL ACTO RECLAMADO O QUE SIRVAN DE FUNDAMENTO A LOS CONCEPTOS DE VIOLACIÓN.</w:t>
      </w:r>
    </w:p>
    <w:p w14:paraId="12391FF3" w14:textId="77777777" w:rsidR="005F77D6" w:rsidRDefault="00000000">
      <w:pPr>
        <w:widowControl w:val="0"/>
        <w:pBdr>
          <w:top w:val="nil"/>
          <w:left w:val="nil"/>
          <w:bottom w:val="nil"/>
          <w:right w:val="nil"/>
          <w:between w:val="nil"/>
        </w:pBdr>
        <w:spacing w:line="360" w:lineRule="auto"/>
        <w:jc w:val="both"/>
        <w:rPr>
          <w:rFonts w:ascii="Arial" w:eastAsia="Arial" w:hAnsi="Arial" w:cs="Arial"/>
        </w:rPr>
      </w:pPr>
      <w:r>
        <w:rPr>
          <w:rFonts w:ascii="Arial" w:eastAsia="Arial" w:hAnsi="Arial" w:cs="Arial"/>
          <w:color w:val="000000"/>
        </w:rPr>
        <w:t xml:space="preserve">1.- </w:t>
      </w:r>
      <w:r>
        <w:rPr>
          <w:rFonts w:ascii="Arial" w:eastAsia="Arial" w:hAnsi="Arial" w:cs="Arial"/>
        </w:rPr>
        <w:t>En fecha 21 de octubre del presente año se presentó promoción para que se declare competente a través de una competencia por inhibitoria presentada el 21 de octubre presentada ante el Juez de Control.</w:t>
      </w:r>
    </w:p>
    <w:p w14:paraId="348B5BF5" w14:textId="77777777" w:rsidR="005F77D6" w:rsidRDefault="00000000">
      <w:pPr>
        <w:widowControl w:val="0"/>
        <w:pBdr>
          <w:top w:val="nil"/>
          <w:left w:val="nil"/>
          <w:bottom w:val="nil"/>
          <w:right w:val="nil"/>
          <w:between w:val="nil"/>
        </w:pBdr>
        <w:spacing w:line="360" w:lineRule="auto"/>
        <w:jc w:val="both"/>
        <w:rPr>
          <w:rFonts w:ascii="Arial" w:eastAsia="Arial" w:hAnsi="Arial" w:cs="Arial"/>
        </w:rPr>
      </w:pPr>
      <w:r>
        <w:rPr>
          <w:rFonts w:ascii="Arial" w:eastAsia="Arial" w:hAnsi="Arial" w:cs="Arial"/>
        </w:rPr>
        <w:lastRenderedPageBreak/>
        <w:t>2.- En fecha 29 de octubre del año 2025, el C. César Enrique Morales Hernández, Juez de Control y Juicio Oral adscrita a los Juzgados de Control y Tribunales de Juicio Oral Penal de Primera Instancia del Distrito Judicial de Cancún, Quintana Roo, emitió un acuerdo en el cual no se accedió la solicitud en cuanto a que se declare la incompetencia por parte de este H. Juzgado de Control.</w:t>
      </w:r>
    </w:p>
    <w:p w14:paraId="6153A60F" w14:textId="77777777" w:rsidR="005F77D6" w:rsidRDefault="00000000">
      <w:pPr>
        <w:widowControl w:val="0"/>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3.- En fecha 31 de octubre del año 2025, el acuerdo antes mencionado, fue enviado  mediante el correo electrónico  </w:t>
      </w:r>
      <w:r>
        <w:rPr>
          <w:rFonts w:ascii="Arial" w:eastAsia="Arial" w:hAnsi="Arial" w:cs="Arial"/>
          <w:color w:val="1155CC"/>
        </w:rPr>
        <w:t>EDUARDOALBOR@THEDOLPHINCO.COM</w:t>
      </w:r>
      <w:r>
        <w:rPr>
          <w:rFonts w:ascii="Arial" w:eastAsia="Arial" w:hAnsi="Arial" w:cs="Arial"/>
        </w:rPr>
        <w:t>, medio electrónico que BAJO PROTESTA DE DECIR VERDAD, no ha sido autorizado para recibir ninguna clase de notificación.</w:t>
      </w:r>
    </w:p>
    <w:p w14:paraId="61168868" w14:textId="77777777" w:rsidR="005F77D6" w:rsidRDefault="00000000">
      <w:pPr>
        <w:widowControl w:val="0"/>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4. En fecha 18 de noviembre del año 2025, se me notificó la audiencia inicial sin detenido, programada en fecha 20 de noviembre del año 2025 a las 13:00hrs (hora de la Ciudad de México), para que se lleve a cabo en el Mtro. Gustavo  Alfonso Ramírez Cequera, Juez del Sistema Procesal Penal Acusatorio de la Ciudad de México, en Funciones de Juez de Trámite, Adscrito a la Unidad de Gestión Judicial 14, Tipo 2, en la Ciudad de México. </w:t>
      </w:r>
    </w:p>
    <w:p w14:paraId="387BDA65" w14:textId="77777777" w:rsidR="005F77D6" w:rsidRDefault="00000000">
      <w:pPr>
        <w:widowControl w:val="0"/>
        <w:pBdr>
          <w:top w:val="nil"/>
          <w:left w:val="nil"/>
          <w:bottom w:val="nil"/>
          <w:right w:val="nil"/>
          <w:between w:val="nil"/>
        </w:pBdr>
        <w:spacing w:line="360" w:lineRule="auto"/>
        <w:jc w:val="both"/>
        <w:rPr>
          <w:rFonts w:ascii="Arial" w:eastAsia="Arial" w:hAnsi="Arial" w:cs="Arial"/>
        </w:rPr>
      </w:pPr>
      <w:r>
        <w:rPr>
          <w:rFonts w:ascii="Arial" w:eastAsia="Arial" w:hAnsi="Arial" w:cs="Arial"/>
        </w:rPr>
        <w:t>5. Por lo que, mediante audiencia de fecha 20 de noviembre del año 2025, se difirió la audiencia inicial, la cual fue programada en 14 de enero del año 2026, a las 11:00hrs (hora de la Ciudad de México).</w:t>
      </w:r>
    </w:p>
    <w:p w14:paraId="02761BA7" w14:textId="77777777" w:rsidR="005F77D6" w:rsidRDefault="00000000">
      <w:pPr>
        <w:widowControl w:val="0"/>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 xml:space="preserve">    </w:t>
      </w:r>
    </w:p>
    <w:p w14:paraId="080F89AC" w14:textId="77777777" w:rsidR="005F77D6" w:rsidRDefault="00000000">
      <w:pPr>
        <w:widowControl w:val="0"/>
        <w:pBdr>
          <w:top w:val="nil"/>
          <w:left w:val="nil"/>
          <w:bottom w:val="nil"/>
          <w:right w:val="nil"/>
          <w:between w:val="nil"/>
        </w:pBdr>
        <w:spacing w:line="360" w:lineRule="auto"/>
        <w:jc w:val="center"/>
        <w:rPr>
          <w:rFonts w:ascii="Arial" w:eastAsia="Arial" w:hAnsi="Arial" w:cs="Arial"/>
          <w:b/>
          <w:bCs/>
        </w:rPr>
      </w:pPr>
      <w:r>
        <w:rPr>
          <w:rFonts w:ascii="Arial" w:eastAsia="Arial" w:hAnsi="Arial" w:cs="Arial"/>
          <w:b/>
          <w:bCs/>
        </w:rPr>
        <w:t>PRESENTACIÓN DEL AMPARO</w:t>
      </w:r>
    </w:p>
    <w:p w14:paraId="57214136" w14:textId="77777777" w:rsidR="005F77D6" w:rsidRDefault="00000000">
      <w:pPr>
        <w:widowControl w:val="0"/>
        <w:pBdr>
          <w:top w:val="nil"/>
          <w:left w:val="nil"/>
          <w:bottom w:val="nil"/>
          <w:right w:val="nil"/>
          <w:between w:val="nil"/>
        </w:pBdr>
        <w:spacing w:after="240" w:line="360" w:lineRule="auto"/>
        <w:jc w:val="both"/>
        <w:rPr>
          <w:rFonts w:ascii="Arial" w:eastAsia="Arial" w:hAnsi="Arial" w:cs="Arial"/>
          <w:color w:val="000000"/>
        </w:rPr>
      </w:pPr>
      <w:r>
        <w:rPr>
          <w:rFonts w:ascii="Arial" w:eastAsia="Arial" w:hAnsi="Arial" w:cs="Arial"/>
          <w:color w:val="000000"/>
        </w:rPr>
        <w:t>Ahora bien, conforme a lo establecido por los artículos 17, 18, 22 y 31 de la Ley de Amparo, los cuales señalan los plazos para presentar la demanda, siendo de quince días hábiles, los cuales, en el caso particular, comenzarán a contarse a partir del día siguiente en que el quejoso tenga conocimiento del acto que se reclama</w:t>
      </w:r>
      <w:r>
        <w:rPr>
          <w:rFonts w:ascii="Arial" w:eastAsia="Arial" w:hAnsi="Arial" w:cs="Arial"/>
        </w:rPr>
        <w:t>, sin embargo, he de señalar que los días 3, 17 y 20 del mes de noviembre del presente año se establecieron como días inhábiles.</w:t>
      </w:r>
      <w:r>
        <w:rPr>
          <w:rFonts w:ascii="Arial" w:eastAsia="Arial" w:hAnsi="Arial" w:cs="Arial"/>
          <w:color w:val="000000"/>
        </w:rPr>
        <w:t xml:space="preserve"> Por lo que los términos se computan de la siguiente manera:</w:t>
      </w:r>
    </w:p>
    <w:tbl>
      <w:tblPr>
        <w:tblStyle w:val="a1"/>
        <w:tblW w:w="7360" w:type="dxa"/>
        <w:tblInd w:w="14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214"/>
        <w:gridCol w:w="4146"/>
      </w:tblGrid>
      <w:tr w:rsidR="005F77D6" w14:paraId="035E27BD" w14:textId="77777777">
        <w:trPr>
          <w:trHeight w:val="443"/>
        </w:trPr>
        <w:tc>
          <w:tcPr>
            <w:tcW w:w="736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CF8827" w14:textId="77777777" w:rsidR="005F77D6" w:rsidRDefault="005F77D6">
            <w:pPr>
              <w:widowControl w:val="0"/>
              <w:pBdr>
                <w:top w:val="nil"/>
                <w:left w:val="nil"/>
                <w:bottom w:val="nil"/>
                <w:right w:val="nil"/>
                <w:between w:val="nil"/>
              </w:pBdr>
              <w:spacing w:line="360" w:lineRule="auto"/>
              <w:jc w:val="center"/>
              <w:rPr>
                <w:rFonts w:ascii="Arial" w:eastAsia="Arial" w:hAnsi="Arial" w:cs="Arial"/>
                <w:b/>
                <w:bCs/>
                <w:color w:val="000000"/>
                <w:sz w:val="20"/>
                <w:szCs w:val="20"/>
              </w:rPr>
            </w:pPr>
          </w:p>
          <w:p w14:paraId="01A71F08" w14:textId="77777777" w:rsidR="005F77D6" w:rsidRDefault="00000000">
            <w:pPr>
              <w:widowControl w:val="0"/>
              <w:pBdr>
                <w:top w:val="nil"/>
                <w:left w:val="nil"/>
                <w:bottom w:val="nil"/>
                <w:right w:val="nil"/>
                <w:between w:val="nil"/>
              </w:pBdr>
              <w:spacing w:line="360" w:lineRule="auto"/>
              <w:jc w:val="center"/>
              <w:rPr>
                <w:rFonts w:ascii="Calibri" w:eastAsia="Calibri" w:hAnsi="Calibri" w:cs="Calibri"/>
                <w:color w:val="000000"/>
              </w:rPr>
            </w:pPr>
            <w:r>
              <w:rPr>
                <w:rFonts w:ascii="Arial" w:eastAsia="Arial" w:hAnsi="Arial" w:cs="Arial"/>
                <w:b/>
                <w:bCs/>
                <w:color w:val="000000"/>
                <w:sz w:val="20"/>
                <w:szCs w:val="20"/>
              </w:rPr>
              <w:t>PLAZOS</w:t>
            </w:r>
          </w:p>
        </w:tc>
      </w:tr>
      <w:tr w:rsidR="005F77D6" w14:paraId="569D0125" w14:textId="77777777">
        <w:trPr>
          <w:trHeight w:val="453"/>
        </w:trPr>
        <w:tc>
          <w:tcPr>
            <w:tcW w:w="32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27291F" w14:textId="77777777" w:rsidR="005F77D6" w:rsidRDefault="005F77D6">
            <w:pPr>
              <w:widowControl w:val="0"/>
              <w:pBdr>
                <w:top w:val="nil"/>
                <w:left w:val="nil"/>
                <w:bottom w:val="nil"/>
                <w:right w:val="nil"/>
                <w:between w:val="nil"/>
              </w:pBdr>
              <w:spacing w:line="360" w:lineRule="auto"/>
              <w:jc w:val="both"/>
              <w:rPr>
                <w:rFonts w:ascii="Arial" w:eastAsia="Arial" w:hAnsi="Arial" w:cs="Arial"/>
                <w:b/>
                <w:bCs/>
                <w:color w:val="000000"/>
                <w:sz w:val="20"/>
                <w:szCs w:val="20"/>
              </w:rPr>
            </w:pPr>
          </w:p>
          <w:p w14:paraId="4F6156B9" w14:textId="77777777" w:rsidR="005F77D6" w:rsidRDefault="00000000">
            <w:pPr>
              <w:widowControl w:val="0"/>
              <w:pBdr>
                <w:top w:val="nil"/>
                <w:left w:val="nil"/>
                <w:bottom w:val="nil"/>
                <w:right w:val="nil"/>
                <w:between w:val="nil"/>
              </w:pBdr>
              <w:spacing w:line="360" w:lineRule="auto"/>
              <w:jc w:val="both"/>
              <w:rPr>
                <w:rFonts w:ascii="Calibri" w:eastAsia="Calibri" w:hAnsi="Calibri" w:cs="Calibri"/>
                <w:color w:val="000000"/>
              </w:rPr>
            </w:pPr>
            <w:r>
              <w:rPr>
                <w:rFonts w:ascii="Arial" w:eastAsia="Arial" w:hAnsi="Arial" w:cs="Arial"/>
                <w:b/>
                <w:bCs/>
                <w:sz w:val="20"/>
                <w:szCs w:val="20"/>
              </w:rPr>
              <w:t xml:space="preserve">31 </w:t>
            </w:r>
            <w:r>
              <w:rPr>
                <w:rFonts w:ascii="Arial" w:eastAsia="Arial" w:hAnsi="Arial" w:cs="Arial"/>
                <w:b/>
                <w:bCs/>
                <w:color w:val="000000"/>
                <w:sz w:val="20"/>
                <w:szCs w:val="20"/>
              </w:rPr>
              <w:t xml:space="preserve">de </w:t>
            </w:r>
            <w:r>
              <w:rPr>
                <w:rFonts w:ascii="Arial" w:eastAsia="Arial" w:hAnsi="Arial" w:cs="Arial"/>
                <w:b/>
                <w:bCs/>
                <w:sz w:val="20"/>
                <w:szCs w:val="20"/>
              </w:rPr>
              <w:t xml:space="preserve">octubre </w:t>
            </w:r>
            <w:r>
              <w:rPr>
                <w:rFonts w:ascii="Arial" w:eastAsia="Arial" w:hAnsi="Arial" w:cs="Arial"/>
                <w:b/>
                <w:bCs/>
                <w:color w:val="000000"/>
                <w:sz w:val="20"/>
                <w:szCs w:val="20"/>
              </w:rPr>
              <w:t xml:space="preserve">de </w:t>
            </w:r>
            <w:r>
              <w:rPr>
                <w:rFonts w:ascii="Arial" w:eastAsia="Arial" w:hAnsi="Arial" w:cs="Arial"/>
                <w:b/>
                <w:bCs/>
                <w:sz w:val="20"/>
                <w:szCs w:val="20"/>
              </w:rPr>
              <w:t>2025</w:t>
            </w:r>
          </w:p>
        </w:tc>
        <w:tc>
          <w:tcPr>
            <w:tcW w:w="41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48C43B" w14:textId="77777777" w:rsidR="005F77D6" w:rsidRDefault="00000000">
            <w:pPr>
              <w:widowControl w:val="0"/>
              <w:pBdr>
                <w:top w:val="nil"/>
                <w:left w:val="nil"/>
                <w:bottom w:val="nil"/>
                <w:right w:val="nil"/>
                <w:between w:val="nil"/>
              </w:pBdr>
              <w:spacing w:line="360" w:lineRule="auto"/>
              <w:jc w:val="both"/>
              <w:rPr>
                <w:rFonts w:ascii="Calibri" w:eastAsia="Calibri" w:hAnsi="Calibri" w:cs="Calibri"/>
                <w:color w:val="000000"/>
              </w:rPr>
            </w:pPr>
            <w:r>
              <w:rPr>
                <w:rFonts w:ascii="Arial" w:eastAsia="Arial" w:hAnsi="Arial" w:cs="Arial"/>
                <w:color w:val="000000"/>
                <w:sz w:val="20"/>
                <w:szCs w:val="20"/>
              </w:rPr>
              <w:t xml:space="preserve">Fecha en que se </w:t>
            </w:r>
            <w:r>
              <w:rPr>
                <w:rFonts w:ascii="Arial" w:eastAsia="Arial" w:hAnsi="Arial" w:cs="Arial"/>
                <w:sz w:val="20"/>
                <w:szCs w:val="20"/>
              </w:rPr>
              <w:t>notifica</w:t>
            </w:r>
            <w:r>
              <w:rPr>
                <w:rFonts w:ascii="Arial" w:eastAsia="Arial" w:hAnsi="Arial" w:cs="Arial"/>
                <w:color w:val="000000"/>
                <w:sz w:val="20"/>
                <w:szCs w:val="20"/>
              </w:rPr>
              <w:t xml:space="preserve"> </w:t>
            </w:r>
            <w:r>
              <w:rPr>
                <w:rFonts w:ascii="Arial" w:eastAsia="Arial" w:hAnsi="Arial" w:cs="Arial"/>
                <w:sz w:val="20"/>
                <w:szCs w:val="20"/>
              </w:rPr>
              <w:t>el</w:t>
            </w:r>
            <w:r>
              <w:rPr>
                <w:rFonts w:ascii="Arial" w:eastAsia="Arial" w:hAnsi="Arial" w:cs="Arial"/>
                <w:color w:val="000000"/>
                <w:sz w:val="20"/>
                <w:szCs w:val="20"/>
              </w:rPr>
              <w:t xml:space="preserve"> acuer</w:t>
            </w:r>
            <w:r>
              <w:rPr>
                <w:rFonts w:ascii="Arial" w:eastAsia="Arial" w:hAnsi="Arial" w:cs="Arial"/>
                <w:sz w:val="20"/>
                <w:szCs w:val="20"/>
              </w:rPr>
              <w:t>do mediante correo electrónico no autorizado.</w:t>
            </w:r>
          </w:p>
        </w:tc>
      </w:tr>
      <w:tr w:rsidR="005F77D6" w14:paraId="1528D802" w14:textId="77777777">
        <w:trPr>
          <w:trHeight w:val="663"/>
        </w:trPr>
        <w:tc>
          <w:tcPr>
            <w:tcW w:w="32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41CFFE" w14:textId="77777777" w:rsidR="005F77D6" w:rsidRDefault="005F77D6">
            <w:pPr>
              <w:widowControl w:val="0"/>
              <w:pBdr>
                <w:top w:val="nil"/>
                <w:left w:val="nil"/>
                <w:bottom w:val="nil"/>
                <w:right w:val="nil"/>
                <w:between w:val="nil"/>
              </w:pBdr>
              <w:spacing w:line="360" w:lineRule="auto"/>
              <w:jc w:val="both"/>
              <w:rPr>
                <w:rFonts w:ascii="Arial" w:eastAsia="Arial" w:hAnsi="Arial" w:cs="Arial"/>
                <w:b/>
                <w:bCs/>
                <w:color w:val="000000"/>
                <w:sz w:val="20"/>
                <w:szCs w:val="20"/>
              </w:rPr>
            </w:pPr>
          </w:p>
          <w:p w14:paraId="57D51E29" w14:textId="77777777" w:rsidR="005F77D6" w:rsidRDefault="00000000">
            <w:pPr>
              <w:widowControl w:val="0"/>
              <w:pBdr>
                <w:top w:val="nil"/>
                <w:left w:val="nil"/>
                <w:bottom w:val="nil"/>
                <w:right w:val="nil"/>
                <w:between w:val="nil"/>
              </w:pBdr>
              <w:spacing w:line="360" w:lineRule="auto"/>
              <w:jc w:val="both"/>
              <w:rPr>
                <w:rFonts w:ascii="Calibri" w:eastAsia="Calibri" w:hAnsi="Calibri" w:cs="Calibri"/>
                <w:color w:val="000000"/>
              </w:rPr>
            </w:pPr>
            <w:r>
              <w:rPr>
                <w:rFonts w:ascii="Arial" w:eastAsia="Arial" w:hAnsi="Arial" w:cs="Arial"/>
                <w:b/>
                <w:bCs/>
                <w:sz w:val="20"/>
                <w:szCs w:val="20"/>
              </w:rPr>
              <w:t xml:space="preserve">3 </w:t>
            </w:r>
            <w:r>
              <w:rPr>
                <w:rFonts w:ascii="Arial" w:eastAsia="Arial" w:hAnsi="Arial" w:cs="Arial"/>
                <w:b/>
                <w:bCs/>
                <w:color w:val="000000"/>
                <w:sz w:val="20"/>
                <w:szCs w:val="20"/>
              </w:rPr>
              <w:t xml:space="preserve">de </w:t>
            </w:r>
            <w:r>
              <w:rPr>
                <w:rFonts w:ascii="Arial" w:eastAsia="Arial" w:hAnsi="Arial" w:cs="Arial"/>
                <w:b/>
                <w:bCs/>
                <w:sz w:val="20"/>
                <w:szCs w:val="20"/>
              </w:rPr>
              <w:t xml:space="preserve">noviembre </w:t>
            </w:r>
            <w:r>
              <w:rPr>
                <w:rFonts w:ascii="Arial" w:eastAsia="Arial" w:hAnsi="Arial" w:cs="Arial"/>
                <w:b/>
                <w:bCs/>
                <w:color w:val="000000"/>
                <w:sz w:val="20"/>
                <w:szCs w:val="20"/>
              </w:rPr>
              <w:t xml:space="preserve">de </w:t>
            </w:r>
            <w:r>
              <w:rPr>
                <w:rFonts w:ascii="Arial" w:eastAsia="Arial" w:hAnsi="Arial" w:cs="Arial"/>
                <w:b/>
                <w:bCs/>
                <w:sz w:val="20"/>
                <w:szCs w:val="20"/>
              </w:rPr>
              <w:t>2025</w:t>
            </w:r>
          </w:p>
        </w:tc>
        <w:tc>
          <w:tcPr>
            <w:tcW w:w="41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F2F166" w14:textId="77777777" w:rsidR="005F77D6" w:rsidRDefault="005F77D6">
            <w:pPr>
              <w:widowControl w:val="0"/>
              <w:pBdr>
                <w:top w:val="nil"/>
                <w:left w:val="nil"/>
                <w:bottom w:val="nil"/>
                <w:right w:val="nil"/>
                <w:between w:val="nil"/>
              </w:pBdr>
              <w:spacing w:line="360" w:lineRule="auto"/>
              <w:jc w:val="both"/>
              <w:rPr>
                <w:rFonts w:ascii="Arial" w:eastAsia="Arial" w:hAnsi="Arial" w:cs="Arial"/>
                <w:color w:val="000000"/>
                <w:sz w:val="20"/>
                <w:szCs w:val="20"/>
              </w:rPr>
            </w:pPr>
          </w:p>
          <w:p w14:paraId="74239C1C" w14:textId="77777777" w:rsidR="005F77D6" w:rsidRDefault="00000000">
            <w:pPr>
              <w:widowControl w:val="0"/>
              <w:pBdr>
                <w:top w:val="nil"/>
                <w:left w:val="nil"/>
                <w:bottom w:val="nil"/>
                <w:right w:val="nil"/>
                <w:between w:val="nil"/>
              </w:pBdr>
              <w:spacing w:line="360" w:lineRule="auto"/>
              <w:jc w:val="both"/>
              <w:rPr>
                <w:rFonts w:ascii="Calibri" w:eastAsia="Calibri" w:hAnsi="Calibri" w:cs="Calibri"/>
                <w:color w:val="000000"/>
              </w:rPr>
            </w:pPr>
            <w:r>
              <w:rPr>
                <w:rFonts w:ascii="Arial" w:eastAsia="Arial" w:hAnsi="Arial" w:cs="Arial"/>
                <w:sz w:val="20"/>
                <w:szCs w:val="20"/>
              </w:rPr>
              <w:t>Dia inhabil</w:t>
            </w:r>
          </w:p>
        </w:tc>
      </w:tr>
      <w:tr w:rsidR="005F77D6" w14:paraId="275B991E" w14:textId="77777777">
        <w:trPr>
          <w:trHeight w:val="663"/>
        </w:trPr>
        <w:tc>
          <w:tcPr>
            <w:tcW w:w="32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F385B0" w14:textId="77777777" w:rsidR="005F77D6" w:rsidRDefault="00000000">
            <w:pPr>
              <w:widowControl w:val="0"/>
              <w:spacing w:line="360" w:lineRule="auto"/>
              <w:jc w:val="both"/>
              <w:rPr>
                <w:rFonts w:ascii="Calibri" w:eastAsia="Calibri" w:hAnsi="Calibri" w:cs="Calibri"/>
              </w:rPr>
            </w:pPr>
            <w:r>
              <w:rPr>
                <w:rFonts w:ascii="Arial" w:eastAsia="Arial" w:hAnsi="Arial" w:cs="Arial"/>
                <w:b/>
                <w:bCs/>
                <w:sz w:val="20"/>
                <w:szCs w:val="20"/>
              </w:rPr>
              <w:t>4 de noviembre de 2025</w:t>
            </w:r>
          </w:p>
          <w:p w14:paraId="4B5C9D49" w14:textId="77777777" w:rsidR="005F77D6" w:rsidRDefault="005F77D6">
            <w:pPr>
              <w:widowControl w:val="0"/>
              <w:spacing w:line="360" w:lineRule="auto"/>
              <w:jc w:val="both"/>
              <w:rPr>
                <w:rFonts w:ascii="Arial" w:eastAsia="Arial" w:hAnsi="Arial" w:cs="Arial"/>
                <w:b/>
                <w:bCs/>
                <w:sz w:val="20"/>
                <w:szCs w:val="20"/>
              </w:rPr>
            </w:pPr>
          </w:p>
        </w:tc>
        <w:tc>
          <w:tcPr>
            <w:tcW w:w="41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0AC606" w14:textId="77777777" w:rsidR="005F77D6" w:rsidRDefault="00000000">
            <w:pPr>
              <w:widowControl w:val="0"/>
              <w:spacing w:line="360" w:lineRule="auto"/>
              <w:jc w:val="both"/>
              <w:rPr>
                <w:rFonts w:ascii="Arial" w:eastAsia="Arial" w:hAnsi="Arial" w:cs="Arial"/>
                <w:sz w:val="20"/>
                <w:szCs w:val="20"/>
              </w:rPr>
            </w:pPr>
            <w:r>
              <w:rPr>
                <w:rFonts w:ascii="Arial" w:eastAsia="Arial" w:hAnsi="Arial" w:cs="Arial"/>
                <w:sz w:val="20"/>
                <w:szCs w:val="20"/>
              </w:rPr>
              <w:t>El término comienza a correr al día siguiente.</w:t>
            </w:r>
          </w:p>
        </w:tc>
      </w:tr>
      <w:tr w:rsidR="005F77D6" w14:paraId="2706B978" w14:textId="77777777">
        <w:trPr>
          <w:trHeight w:val="663"/>
        </w:trPr>
        <w:tc>
          <w:tcPr>
            <w:tcW w:w="32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DCB93" w14:textId="77777777" w:rsidR="005F77D6" w:rsidRDefault="00000000">
            <w:pPr>
              <w:widowControl w:val="0"/>
              <w:spacing w:line="360" w:lineRule="auto"/>
              <w:jc w:val="both"/>
              <w:rPr>
                <w:rFonts w:ascii="Calibri" w:eastAsia="Calibri" w:hAnsi="Calibri" w:cs="Calibri"/>
              </w:rPr>
            </w:pPr>
            <w:r>
              <w:rPr>
                <w:rFonts w:ascii="Arial" w:eastAsia="Arial" w:hAnsi="Arial" w:cs="Arial"/>
                <w:b/>
                <w:bCs/>
                <w:sz w:val="20"/>
                <w:szCs w:val="20"/>
              </w:rPr>
              <w:t>17 y 20  de noviembre de 2025</w:t>
            </w:r>
          </w:p>
          <w:p w14:paraId="2C47784E" w14:textId="77777777" w:rsidR="005F77D6" w:rsidRDefault="005F77D6">
            <w:pPr>
              <w:widowControl w:val="0"/>
              <w:pBdr>
                <w:top w:val="nil"/>
                <w:left w:val="nil"/>
                <w:bottom w:val="nil"/>
                <w:right w:val="nil"/>
                <w:between w:val="nil"/>
              </w:pBdr>
              <w:spacing w:line="360" w:lineRule="auto"/>
              <w:jc w:val="both"/>
              <w:rPr>
                <w:rFonts w:ascii="Arial" w:eastAsia="Arial" w:hAnsi="Arial" w:cs="Arial"/>
                <w:b/>
                <w:bCs/>
                <w:sz w:val="20"/>
                <w:szCs w:val="20"/>
              </w:rPr>
            </w:pPr>
          </w:p>
        </w:tc>
        <w:tc>
          <w:tcPr>
            <w:tcW w:w="41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DF2120" w14:textId="77777777" w:rsidR="005F77D6" w:rsidRDefault="00000000">
            <w:pPr>
              <w:widowControl w:val="0"/>
              <w:spacing w:line="360" w:lineRule="auto"/>
              <w:jc w:val="both"/>
              <w:rPr>
                <w:rFonts w:ascii="Arial" w:eastAsia="Arial" w:hAnsi="Arial" w:cs="Arial"/>
                <w:color w:val="000000"/>
                <w:sz w:val="20"/>
                <w:szCs w:val="20"/>
              </w:rPr>
            </w:pPr>
            <w:r>
              <w:rPr>
                <w:rFonts w:ascii="Arial" w:eastAsia="Arial" w:hAnsi="Arial" w:cs="Arial"/>
                <w:sz w:val="20"/>
                <w:szCs w:val="20"/>
              </w:rPr>
              <w:t>Dia inhabil.</w:t>
            </w:r>
          </w:p>
        </w:tc>
      </w:tr>
      <w:tr w:rsidR="005F77D6" w14:paraId="38D48E2D" w14:textId="77777777">
        <w:trPr>
          <w:trHeight w:val="443"/>
        </w:trPr>
        <w:tc>
          <w:tcPr>
            <w:tcW w:w="32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05F933" w14:textId="77777777" w:rsidR="005F77D6" w:rsidRDefault="00000000">
            <w:pPr>
              <w:widowControl w:val="0"/>
              <w:pBdr>
                <w:top w:val="nil"/>
                <w:left w:val="nil"/>
                <w:bottom w:val="nil"/>
                <w:right w:val="nil"/>
                <w:between w:val="nil"/>
              </w:pBdr>
              <w:spacing w:line="360" w:lineRule="auto"/>
              <w:jc w:val="both"/>
              <w:rPr>
                <w:rFonts w:ascii="Calibri" w:eastAsia="Calibri" w:hAnsi="Calibri" w:cs="Calibri"/>
                <w:color w:val="000000"/>
              </w:rPr>
            </w:pPr>
            <w:r>
              <w:rPr>
                <w:rFonts w:ascii="Arial" w:eastAsia="Arial" w:hAnsi="Arial" w:cs="Arial"/>
                <w:b/>
                <w:bCs/>
                <w:sz w:val="20"/>
                <w:szCs w:val="20"/>
              </w:rPr>
              <w:t xml:space="preserve">21 </w:t>
            </w:r>
            <w:r>
              <w:rPr>
                <w:rFonts w:ascii="Arial" w:eastAsia="Arial" w:hAnsi="Arial" w:cs="Arial"/>
                <w:b/>
                <w:bCs/>
                <w:color w:val="000000"/>
                <w:sz w:val="20"/>
                <w:szCs w:val="20"/>
              </w:rPr>
              <w:t xml:space="preserve">de </w:t>
            </w:r>
            <w:r>
              <w:rPr>
                <w:rFonts w:ascii="Arial" w:eastAsia="Arial" w:hAnsi="Arial" w:cs="Arial"/>
                <w:b/>
                <w:bCs/>
                <w:sz w:val="20"/>
                <w:szCs w:val="20"/>
              </w:rPr>
              <w:t xml:space="preserve">noviembre </w:t>
            </w:r>
            <w:r>
              <w:rPr>
                <w:rFonts w:ascii="Arial" w:eastAsia="Arial" w:hAnsi="Arial" w:cs="Arial"/>
                <w:b/>
                <w:bCs/>
                <w:color w:val="000000"/>
                <w:sz w:val="20"/>
                <w:szCs w:val="20"/>
              </w:rPr>
              <w:t xml:space="preserve">de </w:t>
            </w:r>
            <w:r>
              <w:rPr>
                <w:rFonts w:ascii="Arial" w:eastAsia="Arial" w:hAnsi="Arial" w:cs="Arial"/>
                <w:b/>
                <w:bCs/>
                <w:sz w:val="20"/>
                <w:szCs w:val="20"/>
              </w:rPr>
              <w:t>2025</w:t>
            </w:r>
          </w:p>
        </w:tc>
        <w:tc>
          <w:tcPr>
            <w:tcW w:w="41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35F3BE" w14:textId="77777777" w:rsidR="005F77D6" w:rsidRDefault="00000000">
            <w:pPr>
              <w:widowControl w:val="0"/>
              <w:pBdr>
                <w:top w:val="nil"/>
                <w:left w:val="nil"/>
                <w:bottom w:val="nil"/>
                <w:right w:val="nil"/>
                <w:between w:val="nil"/>
              </w:pBdr>
              <w:spacing w:line="360" w:lineRule="auto"/>
              <w:jc w:val="both"/>
              <w:rPr>
                <w:rFonts w:ascii="Calibri" w:eastAsia="Calibri" w:hAnsi="Calibri" w:cs="Calibri"/>
                <w:color w:val="000000"/>
              </w:rPr>
            </w:pPr>
            <w:r>
              <w:rPr>
                <w:rFonts w:ascii="Arial" w:eastAsia="Arial" w:hAnsi="Arial" w:cs="Arial"/>
                <w:color w:val="000000"/>
                <w:sz w:val="20"/>
                <w:szCs w:val="20"/>
              </w:rPr>
              <w:t>Fecha de presentación del amparo.</w:t>
            </w:r>
          </w:p>
        </w:tc>
      </w:tr>
      <w:tr w:rsidR="005F77D6" w14:paraId="352F0549" w14:textId="77777777">
        <w:trPr>
          <w:trHeight w:val="663"/>
        </w:trPr>
        <w:tc>
          <w:tcPr>
            <w:tcW w:w="32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F1922" w14:textId="77777777" w:rsidR="005F77D6" w:rsidRDefault="00000000">
            <w:pPr>
              <w:widowControl w:val="0"/>
              <w:pBdr>
                <w:top w:val="nil"/>
                <w:left w:val="nil"/>
                <w:bottom w:val="nil"/>
                <w:right w:val="nil"/>
                <w:between w:val="nil"/>
              </w:pBdr>
              <w:spacing w:line="360" w:lineRule="auto"/>
              <w:jc w:val="both"/>
              <w:rPr>
                <w:rFonts w:ascii="Calibri" w:eastAsia="Calibri" w:hAnsi="Calibri" w:cs="Calibri"/>
                <w:color w:val="000000"/>
              </w:rPr>
            </w:pPr>
            <w:r>
              <w:rPr>
                <w:rFonts w:ascii="Arial" w:eastAsia="Arial" w:hAnsi="Arial" w:cs="Arial"/>
                <w:b/>
                <w:bCs/>
                <w:sz w:val="20"/>
                <w:szCs w:val="20"/>
              </w:rPr>
              <w:t xml:space="preserve">26 </w:t>
            </w:r>
            <w:r>
              <w:rPr>
                <w:rFonts w:ascii="Arial" w:eastAsia="Arial" w:hAnsi="Arial" w:cs="Arial"/>
                <w:b/>
                <w:bCs/>
                <w:color w:val="000000"/>
                <w:sz w:val="20"/>
                <w:szCs w:val="20"/>
              </w:rPr>
              <w:t xml:space="preserve">de </w:t>
            </w:r>
            <w:r>
              <w:rPr>
                <w:rFonts w:ascii="Arial" w:eastAsia="Arial" w:hAnsi="Arial" w:cs="Arial"/>
                <w:b/>
                <w:bCs/>
                <w:sz w:val="20"/>
                <w:szCs w:val="20"/>
              </w:rPr>
              <w:t xml:space="preserve">noviembre </w:t>
            </w:r>
            <w:r>
              <w:rPr>
                <w:rFonts w:ascii="Arial" w:eastAsia="Arial" w:hAnsi="Arial" w:cs="Arial"/>
                <w:b/>
                <w:bCs/>
                <w:color w:val="000000"/>
                <w:sz w:val="20"/>
                <w:szCs w:val="20"/>
              </w:rPr>
              <w:t xml:space="preserve">de </w:t>
            </w:r>
            <w:r>
              <w:rPr>
                <w:rFonts w:ascii="Arial" w:eastAsia="Arial" w:hAnsi="Arial" w:cs="Arial"/>
                <w:b/>
                <w:bCs/>
                <w:sz w:val="20"/>
                <w:szCs w:val="20"/>
              </w:rPr>
              <w:t>2025</w:t>
            </w:r>
          </w:p>
        </w:tc>
        <w:tc>
          <w:tcPr>
            <w:tcW w:w="41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53FD73" w14:textId="77777777" w:rsidR="005F77D6" w:rsidRDefault="00000000">
            <w:pPr>
              <w:widowControl w:val="0"/>
              <w:pBdr>
                <w:top w:val="nil"/>
                <w:left w:val="nil"/>
                <w:bottom w:val="nil"/>
                <w:right w:val="nil"/>
                <w:between w:val="nil"/>
              </w:pBdr>
              <w:spacing w:line="360" w:lineRule="auto"/>
              <w:jc w:val="both"/>
              <w:rPr>
                <w:rFonts w:ascii="Calibri" w:eastAsia="Calibri" w:hAnsi="Calibri" w:cs="Calibri"/>
                <w:color w:val="000000"/>
              </w:rPr>
            </w:pPr>
            <w:r>
              <w:rPr>
                <w:rFonts w:ascii="Arial" w:eastAsia="Arial" w:hAnsi="Arial" w:cs="Arial"/>
                <w:color w:val="000000"/>
                <w:sz w:val="20"/>
                <w:szCs w:val="20"/>
              </w:rPr>
              <w:t>Vence el término para presentar el amparo correspondiente.</w:t>
            </w:r>
          </w:p>
        </w:tc>
      </w:tr>
    </w:tbl>
    <w:p w14:paraId="67EA998F" w14:textId="77777777" w:rsidR="005F77D6" w:rsidRDefault="005F77D6">
      <w:pPr>
        <w:widowControl w:val="0"/>
        <w:pBdr>
          <w:top w:val="nil"/>
          <w:left w:val="nil"/>
          <w:bottom w:val="nil"/>
          <w:right w:val="nil"/>
          <w:between w:val="nil"/>
        </w:pBdr>
        <w:spacing w:line="360" w:lineRule="auto"/>
        <w:rPr>
          <w:rFonts w:ascii="Arial" w:eastAsia="Arial" w:hAnsi="Arial" w:cs="Arial"/>
          <w:color w:val="000000"/>
        </w:rPr>
      </w:pPr>
    </w:p>
    <w:p w14:paraId="2E11ED33" w14:textId="77777777" w:rsidR="005F77D6" w:rsidRDefault="005F77D6">
      <w:pPr>
        <w:widowControl w:val="0"/>
        <w:pBdr>
          <w:top w:val="nil"/>
          <w:left w:val="nil"/>
          <w:bottom w:val="nil"/>
          <w:right w:val="nil"/>
          <w:between w:val="nil"/>
        </w:pBdr>
        <w:spacing w:line="360" w:lineRule="auto"/>
        <w:rPr>
          <w:rFonts w:ascii="Arial" w:eastAsia="Arial" w:hAnsi="Arial" w:cs="Arial"/>
          <w:color w:val="000000"/>
        </w:rPr>
      </w:pPr>
    </w:p>
    <w:p w14:paraId="00C586BD" w14:textId="77777777" w:rsidR="005F77D6" w:rsidRDefault="00000000">
      <w:pPr>
        <w:widowControl w:val="0"/>
        <w:pBdr>
          <w:top w:val="nil"/>
          <w:left w:val="nil"/>
          <w:bottom w:val="nil"/>
          <w:right w:val="nil"/>
          <w:between w:val="nil"/>
        </w:pBdr>
        <w:spacing w:after="240" w:line="360" w:lineRule="auto"/>
        <w:jc w:val="both"/>
        <w:rPr>
          <w:rFonts w:ascii="Arial" w:eastAsia="Arial" w:hAnsi="Arial" w:cs="Arial"/>
          <w:color w:val="000000"/>
        </w:rPr>
      </w:pPr>
      <w:r>
        <w:rPr>
          <w:rFonts w:ascii="Arial" w:eastAsia="Arial" w:hAnsi="Arial" w:cs="Arial"/>
          <w:b/>
          <w:bCs/>
          <w:color w:val="000000"/>
        </w:rPr>
        <w:t>VI.- LOS PRECEPTOS QUE, CONFORME AL ARTÍCULO</w:t>
      </w:r>
      <w:r>
        <w:rPr>
          <w:rFonts w:ascii="Arial" w:eastAsia="Arial" w:hAnsi="Arial" w:cs="Arial"/>
          <w:b/>
          <w:bCs/>
        </w:rPr>
        <w:t>1 PRIMERO DE LA CONSTITUCION GENERAL DE LA REPUBLICA</w:t>
      </w:r>
      <w:r>
        <w:rPr>
          <w:rFonts w:ascii="Arial" w:eastAsia="Arial" w:hAnsi="Arial" w:cs="Arial"/>
          <w:b/>
          <w:bCs/>
          <w:color w:val="000000"/>
        </w:rPr>
        <w:t>, CONTENGAN LOS DERECHOS HUMANOS Y LAS GARANTÍAS CUYA VIOLACIÓN SE RECLAME.</w:t>
      </w:r>
    </w:p>
    <w:p w14:paraId="34CE9F88" w14:textId="77777777" w:rsidR="005F77D6" w:rsidRDefault="00000000">
      <w:pPr>
        <w:widowControl w:val="0"/>
        <w:pBdr>
          <w:top w:val="nil"/>
          <w:left w:val="nil"/>
          <w:bottom w:val="nil"/>
          <w:right w:val="nil"/>
          <w:between w:val="nil"/>
        </w:pBdr>
        <w:spacing w:line="360" w:lineRule="auto"/>
        <w:jc w:val="both"/>
        <w:rPr>
          <w:rFonts w:ascii="Arial" w:eastAsia="Arial" w:hAnsi="Arial" w:cs="Arial"/>
        </w:rPr>
      </w:pPr>
      <w:r>
        <w:rPr>
          <w:rFonts w:ascii="Arial" w:eastAsia="Arial" w:hAnsi="Arial" w:cs="Arial"/>
          <w:color w:val="000000"/>
        </w:rPr>
        <w:t>Artículo</w:t>
      </w:r>
      <w:r>
        <w:rPr>
          <w:rFonts w:ascii="Arial" w:eastAsia="Arial" w:hAnsi="Arial" w:cs="Arial"/>
        </w:rPr>
        <w:t xml:space="preserve"> 1,</w:t>
      </w:r>
      <w:r>
        <w:rPr>
          <w:rFonts w:ascii="Arial" w:eastAsia="Arial" w:hAnsi="Arial" w:cs="Arial"/>
          <w:color w:val="000000"/>
        </w:rPr>
        <w:t xml:space="preserve"> 8, 14</w:t>
      </w:r>
      <w:r>
        <w:rPr>
          <w:rFonts w:ascii="Arial" w:eastAsia="Arial" w:hAnsi="Arial" w:cs="Arial"/>
        </w:rPr>
        <w:t xml:space="preserve">, 16, 17 Y 20 </w:t>
      </w:r>
      <w:r>
        <w:rPr>
          <w:rFonts w:ascii="Arial" w:eastAsia="Arial" w:hAnsi="Arial" w:cs="Arial"/>
          <w:color w:val="000000"/>
        </w:rPr>
        <w:t>de la Constitución Política de los Estados Unidos Mexicano</w:t>
      </w:r>
      <w:r>
        <w:rPr>
          <w:rFonts w:ascii="Arial" w:eastAsia="Arial" w:hAnsi="Arial" w:cs="Arial"/>
        </w:rPr>
        <w:t>, Artículos 1, 2, 30 de la Declaratoria Universal de los Derechos Humanos; 1, 2, 25.1, de la Convención Americana Sobre Derechos Humanos; artículos 2, 3, 5, 14 y 17 del Pacto Internacional de Derechos Civiles y Políticos; Toda vez que se violan  al principio de legalidad, al debido proceso, al derecho de petición, al acceso a la justicia y al derecho de toda persona a ser juzgada por un juez competente, derivado de la falta de fundamentación y motivación por parte de la autoridad responsable.</w:t>
      </w:r>
    </w:p>
    <w:p w14:paraId="75CAF7F3" w14:textId="77777777" w:rsidR="005F77D6" w:rsidRDefault="005F77D6">
      <w:pPr>
        <w:pBdr>
          <w:top w:val="nil"/>
          <w:left w:val="nil"/>
          <w:bottom w:val="nil"/>
          <w:right w:val="nil"/>
          <w:between w:val="nil"/>
        </w:pBdr>
        <w:spacing w:line="360" w:lineRule="auto"/>
        <w:ind w:left="720"/>
        <w:rPr>
          <w:rFonts w:ascii="Arial" w:eastAsia="Arial" w:hAnsi="Arial" w:cs="Arial"/>
        </w:rPr>
      </w:pPr>
    </w:p>
    <w:p w14:paraId="06971EED" w14:textId="77777777" w:rsidR="005F77D6" w:rsidRDefault="005F77D6">
      <w:pPr>
        <w:pBdr>
          <w:top w:val="nil"/>
          <w:left w:val="nil"/>
          <w:bottom w:val="nil"/>
          <w:right w:val="nil"/>
          <w:between w:val="nil"/>
        </w:pBdr>
        <w:spacing w:line="360" w:lineRule="auto"/>
        <w:ind w:left="720"/>
        <w:rPr>
          <w:color w:val="000000"/>
        </w:rPr>
      </w:pPr>
    </w:p>
    <w:p w14:paraId="6E8A2CB5" w14:textId="77777777" w:rsidR="005F77D6" w:rsidRDefault="00000000">
      <w:pPr>
        <w:pBdr>
          <w:top w:val="nil"/>
          <w:left w:val="nil"/>
          <w:bottom w:val="nil"/>
          <w:right w:val="nil"/>
          <w:between w:val="nil"/>
        </w:pBdr>
        <w:spacing w:line="360" w:lineRule="auto"/>
        <w:ind w:left="567"/>
        <w:jc w:val="center"/>
        <w:rPr>
          <w:rFonts w:ascii="Arial" w:eastAsia="Arial" w:hAnsi="Arial" w:cs="Arial"/>
          <w:b/>
          <w:bCs/>
          <w:color w:val="000000"/>
        </w:rPr>
      </w:pPr>
      <w:r>
        <w:rPr>
          <w:rFonts w:ascii="Arial" w:eastAsia="Arial" w:hAnsi="Arial" w:cs="Arial"/>
          <w:b/>
          <w:bCs/>
          <w:color w:val="000000"/>
        </w:rPr>
        <w:t>VII.- INTERÉS LEGÍTIMO.</w:t>
      </w:r>
    </w:p>
    <w:p w14:paraId="45E207F3" w14:textId="77777777" w:rsidR="005F77D6"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El artículo 107, fracción I, Constitucional establece que el Juicio de Amparo se seguirá siempre a instancia de parte agraviada, teniendo tal carácter quien aduce ser titular de un derecho, siempre que alegue que el acto reclamado viola los derechos reconocidos por esta Constitución y con ello se afecte su esfera jurídica, ya sea de manera directa o en virtud de su especial situación frente al orden jurídico. Existe diversa doctrina que señala, respecto al citado interés, que debemos entender que se tiene interés jurídico para promover un juicio de amparo cuando al gobernado le han sido violentados sus derechos fundamentales por parte de la autoridad, ya sea por omisión o insuficiencia de las prestaciones a las que tenga derecho o por actuaciones que impliquen una lesión al bien jurídico tutelado. En ambos casos, la afectación ocurre cuando la autoridad desconoce u omite cumplir las garantías primarias, que hacen efectivo en la práctica los derechos fundamentales a través de las prevenciones que contienen las obligaciones de dar o hacer o las prohibiciones del actuar de las autoridades en relación con el derecho subjetivo del particular.  </w:t>
      </w:r>
    </w:p>
    <w:p w14:paraId="0B57DA36" w14:textId="77777777" w:rsidR="005F77D6" w:rsidRDefault="005F77D6">
      <w:pPr>
        <w:pBdr>
          <w:top w:val="nil"/>
          <w:left w:val="nil"/>
          <w:bottom w:val="nil"/>
          <w:right w:val="nil"/>
          <w:between w:val="nil"/>
        </w:pBdr>
        <w:spacing w:line="360" w:lineRule="auto"/>
        <w:jc w:val="both"/>
        <w:rPr>
          <w:rFonts w:ascii="Arial" w:eastAsia="Arial" w:hAnsi="Arial" w:cs="Arial"/>
        </w:rPr>
      </w:pPr>
    </w:p>
    <w:p w14:paraId="445AF06E" w14:textId="77777777" w:rsidR="005F77D6" w:rsidRDefault="00000000">
      <w:pPr>
        <w:widowControl w:val="0"/>
        <w:pBdr>
          <w:top w:val="nil"/>
          <w:left w:val="nil"/>
          <w:bottom w:val="nil"/>
          <w:right w:val="nil"/>
          <w:between w:val="nil"/>
        </w:pBdr>
        <w:spacing w:after="240" w:line="360" w:lineRule="auto"/>
        <w:jc w:val="center"/>
        <w:rPr>
          <w:rFonts w:ascii="MS Mincho" w:eastAsia="MS Mincho" w:hAnsi="MS Mincho" w:cs="MS Mincho"/>
          <w:b/>
          <w:bCs/>
          <w:color w:val="000000"/>
        </w:rPr>
      </w:pPr>
      <w:r>
        <w:rPr>
          <w:rFonts w:ascii="Helvetica Neue" w:eastAsia="Helvetica Neue" w:hAnsi="Helvetica Neue" w:cs="Helvetica Neue"/>
          <w:b/>
          <w:bCs/>
          <w:color w:val="000000"/>
        </w:rPr>
        <w:t xml:space="preserve">VIII. </w:t>
      </w:r>
      <w:r>
        <w:rPr>
          <w:rFonts w:ascii="Arial" w:eastAsia="Arial" w:hAnsi="Arial" w:cs="Arial"/>
          <w:b/>
          <w:bCs/>
          <w:color w:val="000000"/>
        </w:rPr>
        <w:t>LOS CONCEPTOS DE VIOLACIÓN.</w:t>
      </w:r>
    </w:p>
    <w:p w14:paraId="6FC6893E" w14:textId="77777777" w:rsidR="005F77D6" w:rsidRDefault="00000000">
      <w:pPr>
        <w:widowControl w:val="0"/>
        <w:pBdr>
          <w:top w:val="nil"/>
          <w:left w:val="nil"/>
          <w:bottom w:val="nil"/>
          <w:right w:val="nil"/>
          <w:between w:val="nil"/>
        </w:pBdr>
        <w:spacing w:line="360" w:lineRule="auto"/>
        <w:jc w:val="both"/>
        <w:rPr>
          <w:rFonts w:ascii="Arial" w:eastAsia="Arial" w:hAnsi="Arial" w:cs="Arial"/>
          <w:b/>
          <w:bCs/>
          <w:color w:val="000000"/>
        </w:rPr>
      </w:pPr>
      <w:r>
        <w:rPr>
          <w:rFonts w:ascii="Arial" w:eastAsia="Arial" w:hAnsi="Arial" w:cs="Arial"/>
          <w:b/>
          <w:bCs/>
          <w:color w:val="000000"/>
        </w:rPr>
        <w:t>CONCEPTO DE VIOLACIÓN EN GENERAL. -</w:t>
      </w:r>
      <w:r>
        <w:rPr>
          <w:rFonts w:ascii="Arial" w:eastAsia="Arial" w:hAnsi="Arial" w:cs="Arial"/>
          <w:color w:val="000000"/>
        </w:rPr>
        <w:t xml:space="preserve"> </w:t>
      </w:r>
      <w:r>
        <w:rPr>
          <w:rFonts w:ascii="Arial" w:eastAsia="Arial" w:hAnsi="Arial" w:cs="Arial"/>
          <w:b/>
          <w:bCs/>
          <w:color w:val="000000"/>
        </w:rPr>
        <w:t>TRANSGRESIÓN A LOS ARTÍCULOS</w:t>
      </w:r>
      <w:r>
        <w:rPr>
          <w:rFonts w:ascii="Arial" w:eastAsia="Arial" w:hAnsi="Arial" w:cs="Arial"/>
          <w:b/>
          <w:bCs/>
        </w:rPr>
        <w:t xml:space="preserve"> 1,</w:t>
      </w:r>
      <w:r>
        <w:rPr>
          <w:rFonts w:ascii="Arial" w:eastAsia="Arial" w:hAnsi="Arial" w:cs="Arial"/>
          <w:b/>
          <w:bCs/>
          <w:color w:val="000000"/>
        </w:rPr>
        <w:t xml:space="preserve"> 8°, 14, 16, 17 Y </w:t>
      </w:r>
      <w:r>
        <w:rPr>
          <w:rFonts w:ascii="Arial" w:eastAsia="Arial" w:hAnsi="Arial" w:cs="Arial"/>
          <w:b/>
          <w:bCs/>
        </w:rPr>
        <w:t xml:space="preserve">20 </w:t>
      </w:r>
      <w:r>
        <w:rPr>
          <w:rFonts w:ascii="Arial" w:eastAsia="Arial" w:hAnsi="Arial" w:cs="Arial"/>
          <w:b/>
          <w:bCs/>
          <w:color w:val="000000"/>
        </w:rPr>
        <w:t xml:space="preserve">CONSTITUCIONALES POR FALTA DE </w:t>
      </w:r>
      <w:r>
        <w:rPr>
          <w:rFonts w:ascii="Arial" w:eastAsia="Arial" w:hAnsi="Arial" w:cs="Arial"/>
          <w:b/>
          <w:bCs/>
        </w:rPr>
        <w:t>MOTIVACIÓN Y FUNDAMENTACIÓN DEL ACUERDO DE FECHA 29 DE OCTUBRE DEL 2025.</w:t>
      </w:r>
    </w:p>
    <w:p w14:paraId="2E8C1532" w14:textId="77777777" w:rsidR="005F77D6" w:rsidRDefault="005F77D6">
      <w:pPr>
        <w:widowControl w:val="0"/>
        <w:pBdr>
          <w:top w:val="nil"/>
          <w:left w:val="nil"/>
          <w:bottom w:val="nil"/>
          <w:right w:val="nil"/>
          <w:between w:val="nil"/>
        </w:pBdr>
        <w:spacing w:line="360" w:lineRule="auto"/>
        <w:jc w:val="both"/>
        <w:rPr>
          <w:rFonts w:ascii="Arial" w:eastAsia="Arial" w:hAnsi="Arial" w:cs="Arial"/>
          <w:b/>
          <w:bCs/>
        </w:rPr>
      </w:pPr>
    </w:p>
    <w:p w14:paraId="4F15FACD" w14:textId="77777777" w:rsidR="005F77D6" w:rsidRDefault="00000000">
      <w:pPr>
        <w:widowControl w:val="0"/>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Señalo como concepto de violación la </w:t>
      </w:r>
      <w:r>
        <w:rPr>
          <w:rFonts w:ascii="Arial" w:eastAsia="Arial" w:hAnsi="Arial" w:cs="Arial"/>
        </w:rPr>
        <w:t xml:space="preserve">negativa de </w:t>
      </w:r>
      <w:r>
        <w:rPr>
          <w:rFonts w:ascii="Arial" w:eastAsia="Arial" w:hAnsi="Arial" w:cs="Arial"/>
          <w:color w:val="000000"/>
        </w:rPr>
        <w:t xml:space="preserve">actuación del </w:t>
      </w:r>
      <w:r>
        <w:rPr>
          <w:rFonts w:ascii="Arial" w:eastAsia="Arial" w:hAnsi="Arial" w:cs="Arial"/>
        </w:rPr>
        <w:t xml:space="preserve">C. César Enrique Morales Hernández, Juez de Control y Juicio Oral adscrita a los Juzgados de Control </w:t>
      </w:r>
      <w:r>
        <w:rPr>
          <w:rFonts w:ascii="Arial" w:eastAsia="Arial" w:hAnsi="Arial" w:cs="Arial"/>
        </w:rPr>
        <w:lastRenderedPageBreak/>
        <w:t xml:space="preserve">y Tribunales de Juicio Oral Penal de Primera Instancia del Distrito Judicial de Cancún, Quintana Roo, por no acceder el escrito de incompetencia por inhibitoria </w:t>
      </w:r>
      <w:r>
        <w:rPr>
          <w:rFonts w:ascii="Arial" w:eastAsia="Arial" w:hAnsi="Arial" w:cs="Arial"/>
          <w:color w:val="000000"/>
        </w:rPr>
        <w:t xml:space="preserve">presentado en fecha </w:t>
      </w:r>
      <w:r>
        <w:rPr>
          <w:rFonts w:ascii="Arial" w:eastAsia="Arial" w:hAnsi="Arial" w:cs="Arial"/>
        </w:rPr>
        <w:t xml:space="preserve">21 </w:t>
      </w:r>
      <w:r>
        <w:rPr>
          <w:rFonts w:ascii="Arial" w:eastAsia="Arial" w:hAnsi="Arial" w:cs="Arial"/>
          <w:color w:val="000000"/>
        </w:rPr>
        <w:t xml:space="preserve">de </w:t>
      </w:r>
      <w:r>
        <w:rPr>
          <w:rFonts w:ascii="Arial" w:eastAsia="Arial" w:hAnsi="Arial" w:cs="Arial"/>
        </w:rPr>
        <w:t xml:space="preserve">octubre </w:t>
      </w:r>
      <w:r>
        <w:rPr>
          <w:rFonts w:ascii="Arial" w:eastAsia="Arial" w:hAnsi="Arial" w:cs="Arial"/>
          <w:color w:val="000000"/>
        </w:rPr>
        <w:t xml:space="preserve">del año </w:t>
      </w:r>
      <w:r>
        <w:rPr>
          <w:rFonts w:ascii="Arial" w:eastAsia="Arial" w:hAnsi="Arial" w:cs="Arial"/>
        </w:rPr>
        <w:t>2025, en donde estableció  lo siguiente:,</w:t>
      </w:r>
    </w:p>
    <w:p w14:paraId="194369EF" w14:textId="77777777" w:rsidR="005F77D6" w:rsidRDefault="00000000">
      <w:pPr>
        <w:widowControl w:val="0"/>
        <w:spacing w:after="240" w:line="360" w:lineRule="auto"/>
        <w:ind w:left="720" w:firstLine="720"/>
        <w:jc w:val="both"/>
        <w:rPr>
          <w:rFonts w:ascii="Arial" w:eastAsia="Arial" w:hAnsi="Arial" w:cs="Arial"/>
          <w:color w:val="000000"/>
        </w:rPr>
      </w:pPr>
      <w:r>
        <w:rPr>
          <w:rFonts w:ascii="Arial" w:eastAsia="Arial" w:hAnsi="Arial" w:cs="Arial"/>
          <w:sz w:val="22"/>
          <w:szCs w:val="22"/>
        </w:rPr>
        <w:t xml:space="preserve">“Se tiene por recibido el escrito de referencia, presentado por el ciudadano </w:t>
      </w:r>
      <w:r>
        <w:rPr>
          <w:rFonts w:ascii="Arial" w:eastAsia="Arial" w:hAnsi="Arial" w:cs="Arial"/>
          <w:b/>
          <w:bCs/>
          <w:sz w:val="22"/>
          <w:szCs w:val="22"/>
        </w:rPr>
        <w:t>Eduardo de Martín Albor Villanueva</w:t>
      </w:r>
      <w:r>
        <w:rPr>
          <w:rFonts w:ascii="Arial" w:eastAsia="Arial" w:hAnsi="Arial" w:cs="Arial"/>
          <w:sz w:val="22"/>
          <w:szCs w:val="22"/>
        </w:rPr>
        <w:t xml:space="preserve">, quien se ostenta como víctima en la carpeta de investigación, mismo que se ordena agregar en la carpeta auxiliar en la que se actúa para que se obre como legalmente corresponda; en cuanto a su contenido, dígase al ocursante que </w:t>
      </w:r>
      <w:r>
        <w:rPr>
          <w:rFonts w:ascii="Arial" w:eastAsia="Arial" w:hAnsi="Arial" w:cs="Arial"/>
          <w:b/>
          <w:bCs/>
          <w:sz w:val="22"/>
          <w:szCs w:val="22"/>
        </w:rPr>
        <w:t>No se accede</w:t>
      </w:r>
      <w:r>
        <w:rPr>
          <w:rFonts w:ascii="Arial" w:eastAsia="Arial" w:hAnsi="Arial" w:cs="Arial"/>
          <w:sz w:val="22"/>
          <w:szCs w:val="22"/>
        </w:rPr>
        <w:t xml:space="preserve"> a su solicitud, por lo que sus pretensiones jurídicas, deberá hacerlas valer ante la Autoridad correspondiente.”</w:t>
      </w:r>
    </w:p>
    <w:p w14:paraId="4A43B909" w14:textId="77777777" w:rsidR="005F77D6" w:rsidRDefault="005F77D6">
      <w:pPr>
        <w:widowControl w:val="0"/>
        <w:pBdr>
          <w:top w:val="nil"/>
          <w:left w:val="nil"/>
          <w:bottom w:val="nil"/>
          <w:right w:val="nil"/>
          <w:between w:val="nil"/>
        </w:pBdr>
        <w:spacing w:line="360" w:lineRule="auto"/>
        <w:ind w:left="1440"/>
        <w:jc w:val="both"/>
        <w:rPr>
          <w:rFonts w:ascii="Arial" w:eastAsia="Arial" w:hAnsi="Arial" w:cs="Arial"/>
        </w:rPr>
      </w:pPr>
    </w:p>
    <w:p w14:paraId="231E657D" w14:textId="77777777" w:rsidR="005F77D6" w:rsidRDefault="00000000">
      <w:pPr>
        <w:widowControl w:val="0"/>
        <w:pBdr>
          <w:top w:val="nil"/>
          <w:left w:val="nil"/>
          <w:bottom w:val="nil"/>
          <w:right w:val="nil"/>
          <w:between w:val="nil"/>
        </w:pBdr>
        <w:spacing w:line="360" w:lineRule="auto"/>
        <w:jc w:val="both"/>
        <w:rPr>
          <w:rFonts w:ascii="Arial" w:eastAsia="Arial" w:hAnsi="Arial" w:cs="Arial"/>
        </w:rPr>
      </w:pPr>
      <w:r>
        <w:rPr>
          <w:rFonts w:ascii="Arial" w:eastAsia="Arial" w:hAnsi="Arial" w:cs="Arial"/>
          <w:color w:val="000000"/>
        </w:rPr>
        <w:t xml:space="preserve">Por tal situación se tiene que la autoridad </w:t>
      </w:r>
      <w:r>
        <w:rPr>
          <w:rFonts w:ascii="Arial" w:eastAsia="Arial" w:hAnsi="Arial" w:cs="Arial"/>
        </w:rPr>
        <w:t xml:space="preserve">mis garantías fundamentales establecidas en los artículos 1, 8, 14, 16, 17 y 20 de </w:t>
      </w:r>
      <w:r>
        <w:rPr>
          <w:rFonts w:ascii="Arial" w:eastAsia="Arial" w:hAnsi="Arial" w:cs="Arial"/>
          <w:color w:val="000000"/>
        </w:rPr>
        <w:t>la Constitución general de la República</w:t>
      </w:r>
      <w:r>
        <w:rPr>
          <w:rFonts w:ascii="Arial" w:eastAsia="Arial" w:hAnsi="Arial" w:cs="Arial"/>
        </w:rPr>
        <w:t>,</w:t>
      </w:r>
      <w:r>
        <w:rPr>
          <w:rFonts w:ascii="Arial" w:eastAsia="Arial" w:hAnsi="Arial" w:cs="Arial"/>
          <w:color w:val="000000"/>
        </w:rPr>
        <w:t xml:space="preserve"> </w:t>
      </w:r>
      <w:r>
        <w:rPr>
          <w:rFonts w:ascii="Arial" w:eastAsia="Arial" w:hAnsi="Arial" w:cs="Arial"/>
        </w:rPr>
        <w:t>por la falta de fundamentación y motivación por el cual, la autoridad responsables emitió el acuerdo de fecha 29 de octubre del año 2025.</w:t>
      </w:r>
    </w:p>
    <w:p w14:paraId="6028305E" w14:textId="77777777" w:rsidR="005F77D6" w:rsidRDefault="005F77D6">
      <w:pPr>
        <w:widowControl w:val="0"/>
        <w:pBdr>
          <w:top w:val="nil"/>
          <w:left w:val="nil"/>
          <w:bottom w:val="nil"/>
          <w:right w:val="nil"/>
          <w:between w:val="nil"/>
        </w:pBdr>
        <w:spacing w:line="360" w:lineRule="auto"/>
        <w:jc w:val="both"/>
        <w:rPr>
          <w:rFonts w:ascii="Arial" w:eastAsia="Arial" w:hAnsi="Arial" w:cs="Arial"/>
        </w:rPr>
      </w:pPr>
    </w:p>
    <w:p w14:paraId="00D47CB0" w14:textId="77777777" w:rsidR="005F77D6" w:rsidRDefault="00000000">
      <w:pPr>
        <w:widowControl w:val="0"/>
        <w:pBdr>
          <w:top w:val="nil"/>
          <w:left w:val="nil"/>
          <w:bottom w:val="nil"/>
          <w:right w:val="nil"/>
          <w:between w:val="nil"/>
        </w:pBdr>
        <w:spacing w:line="360" w:lineRule="auto"/>
        <w:jc w:val="both"/>
        <w:rPr>
          <w:rFonts w:ascii="Arial" w:eastAsia="Arial" w:hAnsi="Arial" w:cs="Arial"/>
          <w:b/>
          <w:bCs/>
          <w:color w:val="000000"/>
        </w:rPr>
      </w:pPr>
      <w:r>
        <w:rPr>
          <w:rFonts w:ascii="Arial" w:eastAsia="Arial" w:hAnsi="Arial" w:cs="Arial"/>
          <w:b/>
          <w:bCs/>
          <w:color w:val="000000"/>
        </w:rPr>
        <w:t>PRIMER CONCEPTO DE VIOLACION. -</w:t>
      </w:r>
      <w:r>
        <w:rPr>
          <w:rFonts w:ascii="Arial" w:eastAsia="Arial" w:hAnsi="Arial" w:cs="Arial"/>
          <w:b/>
          <w:bCs/>
        </w:rPr>
        <w:t xml:space="preserve"> AUSENCIA ABSOLUTA DE LA FUNDAMENTACIÓN Y MOTIVACIÓN</w:t>
      </w:r>
      <w:r>
        <w:rPr>
          <w:rFonts w:ascii="Arial" w:eastAsia="Arial" w:hAnsi="Arial" w:cs="Arial"/>
          <w:b/>
          <w:bCs/>
          <w:color w:val="000000"/>
        </w:rPr>
        <w:t>.</w:t>
      </w:r>
    </w:p>
    <w:p w14:paraId="72C02D0C" w14:textId="77777777" w:rsidR="005F77D6" w:rsidRDefault="00000000">
      <w:pPr>
        <w:spacing w:before="240" w:after="240" w:line="360" w:lineRule="auto"/>
        <w:jc w:val="both"/>
        <w:rPr>
          <w:rFonts w:ascii="Arial" w:eastAsia="Arial" w:hAnsi="Arial" w:cs="Arial"/>
        </w:rPr>
      </w:pPr>
      <w:r>
        <w:rPr>
          <w:rFonts w:ascii="Arial" w:eastAsia="Arial" w:hAnsi="Arial" w:cs="Arial"/>
        </w:rPr>
        <w:t>El acuerdo de fecha 29 de octubre del año 2025, carece de contenido jurídico. Sin embargo, lo más grave es que el Autoridad Responsable omitió por completo analizar hechos esenciales, los cuales estaban ampliamente detallados y documentados en el escrito presentado, ante el y se precisa:</w:t>
      </w:r>
    </w:p>
    <w:p w14:paraId="518D1FA5" w14:textId="77777777" w:rsidR="005F77D6" w:rsidRDefault="00000000">
      <w:pPr>
        <w:spacing w:before="240" w:after="240" w:line="360" w:lineRule="auto"/>
        <w:jc w:val="both"/>
        <w:rPr>
          <w:rFonts w:ascii="Arial" w:eastAsia="Arial" w:hAnsi="Arial" w:cs="Arial"/>
        </w:rPr>
      </w:pPr>
      <w:r>
        <w:rPr>
          <w:rFonts w:ascii="Arial" w:eastAsia="Arial" w:hAnsi="Arial" w:cs="Arial"/>
          <w:b/>
          <w:bCs/>
        </w:rPr>
        <w:t>PRIMERA REFUTATIO.- Ausencia absoluta de la fundamentación</w:t>
      </w:r>
      <w:r>
        <w:rPr>
          <w:rFonts w:ascii="Arial" w:eastAsia="Arial" w:hAnsi="Arial" w:cs="Arial"/>
        </w:rPr>
        <w:t xml:space="preserve"> </w:t>
      </w:r>
    </w:p>
    <w:p w14:paraId="2E03CCBE" w14:textId="77777777" w:rsidR="005F77D6" w:rsidRDefault="00000000">
      <w:pPr>
        <w:spacing w:before="240" w:after="240" w:line="360" w:lineRule="auto"/>
        <w:jc w:val="both"/>
        <w:rPr>
          <w:rFonts w:ascii="Arial" w:eastAsia="Arial" w:hAnsi="Arial" w:cs="Arial"/>
        </w:rPr>
      </w:pPr>
      <w:r>
        <w:rPr>
          <w:rFonts w:ascii="Arial" w:eastAsia="Arial" w:hAnsi="Arial" w:cs="Arial"/>
        </w:rPr>
        <w:t xml:space="preserve"> El artículo 16 de la constitución general de la república establece claramente que la autoridad todos los acuerdos que dicte deben de estar fundados, es decir; tiene que existir un artículo donde establezca el motivo de sus razonamientos y en el presente caso como se podrá apreciar al promoverse la incompetencia por declinatoria fuimos muy claros en señalar lo que establece el código nacional de procedimientos penales en donde se tiene que el artículo 20 señala cuales son las reglas de competencia previo al análisis de la falta de fundamentación me permito proporcionarle la cronología de los hechos. </w:t>
      </w:r>
    </w:p>
    <w:p w14:paraId="62D259A8" w14:textId="77777777" w:rsidR="005F77D6" w:rsidRDefault="005F77D6">
      <w:pPr>
        <w:spacing w:before="240" w:after="240" w:line="360" w:lineRule="auto"/>
        <w:jc w:val="both"/>
        <w:rPr>
          <w:rFonts w:ascii="Arial" w:eastAsia="Arial" w:hAnsi="Arial" w:cs="Arial"/>
        </w:rPr>
      </w:pPr>
    </w:p>
    <w:tbl>
      <w:tblPr>
        <w:tblStyle w:val="a2"/>
        <w:tblW w:w="8955" w:type="dxa"/>
        <w:tblInd w:w="0" w:type="dxa"/>
        <w:tblLayout w:type="fixed"/>
        <w:tblLook w:val="0600" w:firstRow="0" w:lastRow="0" w:firstColumn="0" w:lastColumn="0" w:noHBand="1" w:noVBand="1"/>
      </w:tblPr>
      <w:tblGrid>
        <w:gridCol w:w="1095"/>
        <w:gridCol w:w="2610"/>
        <w:gridCol w:w="5250"/>
      </w:tblGrid>
      <w:tr w:rsidR="005F77D6" w14:paraId="270DA6B3" w14:textId="77777777">
        <w:trPr>
          <w:trHeight w:val="675"/>
        </w:trPr>
        <w:tc>
          <w:tcPr>
            <w:tcW w:w="1095" w:type="dxa"/>
            <w:tcBorders>
              <w:top w:val="single" w:sz="6" w:space="0" w:color="878787"/>
              <w:left w:val="single" w:sz="6" w:space="0" w:color="878787"/>
              <w:bottom w:val="single" w:sz="6" w:space="0" w:color="535353"/>
              <w:right w:val="single" w:sz="6" w:space="0" w:color="878787"/>
            </w:tcBorders>
            <w:tcMar>
              <w:top w:w="60" w:type="dxa"/>
              <w:left w:w="60" w:type="dxa"/>
              <w:bottom w:w="60" w:type="dxa"/>
              <w:right w:w="60" w:type="dxa"/>
            </w:tcMar>
          </w:tcPr>
          <w:p w14:paraId="3AC66A8F" w14:textId="77777777" w:rsidR="005F77D6" w:rsidRDefault="00000000">
            <w:pPr>
              <w:spacing w:after="180" w:line="360" w:lineRule="auto"/>
              <w:jc w:val="center"/>
              <w:rPr>
                <w:rFonts w:ascii="Arial" w:eastAsia="Arial" w:hAnsi="Arial" w:cs="Arial"/>
                <w:b/>
                <w:bCs/>
                <w:sz w:val="17"/>
                <w:szCs w:val="17"/>
              </w:rPr>
            </w:pPr>
            <w:r>
              <w:rPr>
                <w:rFonts w:ascii="Arial" w:eastAsia="Arial" w:hAnsi="Arial" w:cs="Arial"/>
                <w:b/>
                <w:bCs/>
                <w:sz w:val="17"/>
                <w:szCs w:val="17"/>
              </w:rPr>
              <w:t>FECHA / HORA</w:t>
            </w:r>
          </w:p>
        </w:tc>
        <w:tc>
          <w:tcPr>
            <w:tcW w:w="2610" w:type="dxa"/>
            <w:tcBorders>
              <w:top w:val="single" w:sz="6" w:space="0" w:color="878787"/>
              <w:left w:val="single" w:sz="6" w:space="0" w:color="878787"/>
              <w:bottom w:val="single" w:sz="6" w:space="0" w:color="535353"/>
              <w:right w:val="single" w:sz="6" w:space="0" w:color="878787"/>
            </w:tcBorders>
            <w:tcMar>
              <w:top w:w="60" w:type="dxa"/>
              <w:left w:w="60" w:type="dxa"/>
              <w:bottom w:w="60" w:type="dxa"/>
              <w:right w:w="60" w:type="dxa"/>
            </w:tcMar>
          </w:tcPr>
          <w:p w14:paraId="68F2B255" w14:textId="77777777" w:rsidR="005F77D6" w:rsidRDefault="00000000">
            <w:pPr>
              <w:spacing w:after="180" w:line="360" w:lineRule="auto"/>
              <w:jc w:val="center"/>
              <w:rPr>
                <w:rFonts w:ascii="Arial" w:eastAsia="Arial" w:hAnsi="Arial" w:cs="Arial"/>
                <w:b/>
                <w:bCs/>
                <w:sz w:val="17"/>
                <w:szCs w:val="17"/>
              </w:rPr>
            </w:pPr>
            <w:r>
              <w:rPr>
                <w:rFonts w:ascii="Arial" w:eastAsia="Arial" w:hAnsi="Arial" w:cs="Arial"/>
                <w:b/>
                <w:bCs/>
                <w:sz w:val="17"/>
                <w:szCs w:val="17"/>
              </w:rPr>
              <w:t>ACONTECIMIENTO</w:t>
            </w:r>
          </w:p>
        </w:tc>
        <w:tc>
          <w:tcPr>
            <w:tcW w:w="5250" w:type="dxa"/>
            <w:tcBorders>
              <w:top w:val="single" w:sz="6" w:space="0" w:color="878787"/>
              <w:left w:val="single" w:sz="6" w:space="0" w:color="878787"/>
              <w:bottom w:val="single" w:sz="6" w:space="0" w:color="535353"/>
              <w:right w:val="single" w:sz="6" w:space="0" w:color="878787"/>
            </w:tcBorders>
            <w:tcMar>
              <w:top w:w="60" w:type="dxa"/>
              <w:left w:w="60" w:type="dxa"/>
              <w:bottom w:w="60" w:type="dxa"/>
              <w:right w:w="60" w:type="dxa"/>
            </w:tcMar>
          </w:tcPr>
          <w:p w14:paraId="41B06489" w14:textId="77777777" w:rsidR="005F77D6" w:rsidRDefault="00000000">
            <w:pPr>
              <w:spacing w:after="180" w:line="360" w:lineRule="auto"/>
              <w:jc w:val="center"/>
              <w:rPr>
                <w:rFonts w:ascii="Arial" w:eastAsia="Arial" w:hAnsi="Arial" w:cs="Arial"/>
                <w:b/>
                <w:bCs/>
                <w:sz w:val="17"/>
                <w:szCs w:val="17"/>
              </w:rPr>
            </w:pPr>
            <w:r>
              <w:rPr>
                <w:rFonts w:ascii="Arial" w:eastAsia="Arial" w:hAnsi="Arial" w:cs="Arial"/>
                <w:b/>
                <w:bCs/>
                <w:sz w:val="17"/>
                <w:szCs w:val="17"/>
              </w:rPr>
              <w:t>DETALLES / OBSERVACIONES</w:t>
            </w:r>
          </w:p>
        </w:tc>
      </w:tr>
      <w:tr w:rsidR="005F77D6" w14:paraId="010FECB5" w14:textId="77777777">
        <w:trPr>
          <w:trHeight w:val="2655"/>
        </w:trPr>
        <w:tc>
          <w:tcPr>
            <w:tcW w:w="1095" w:type="dxa"/>
            <w:tcBorders>
              <w:top w:val="single" w:sz="6" w:space="0" w:color="535353"/>
              <w:left w:val="single" w:sz="6" w:space="0" w:color="878787"/>
              <w:bottom w:val="single" w:sz="6" w:space="0" w:color="878787"/>
              <w:right w:val="single" w:sz="6" w:space="0" w:color="878787"/>
            </w:tcBorders>
            <w:tcMar>
              <w:top w:w="60" w:type="dxa"/>
              <w:left w:w="60" w:type="dxa"/>
              <w:bottom w:w="60" w:type="dxa"/>
              <w:right w:w="60" w:type="dxa"/>
            </w:tcMar>
          </w:tcPr>
          <w:p w14:paraId="51C0ED14"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lastRenderedPageBreak/>
              <w:t>03/04/2025</w:t>
            </w:r>
          </w:p>
        </w:tc>
        <w:tc>
          <w:tcPr>
            <w:tcW w:w="2610" w:type="dxa"/>
            <w:tcBorders>
              <w:top w:val="single" w:sz="6" w:space="0" w:color="535353"/>
              <w:left w:val="single" w:sz="6" w:space="0" w:color="878787"/>
              <w:bottom w:val="single" w:sz="6" w:space="0" w:color="878787"/>
              <w:right w:val="single" w:sz="6" w:space="0" w:color="878787"/>
            </w:tcBorders>
            <w:tcMar>
              <w:top w:w="60" w:type="dxa"/>
              <w:left w:w="60" w:type="dxa"/>
              <w:bottom w:w="60" w:type="dxa"/>
              <w:right w:w="60" w:type="dxa"/>
            </w:tcMar>
          </w:tcPr>
          <w:p w14:paraId="7154001D"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Presentación de demanda civil (Exp. 222/2025, CDMX).</w:t>
            </w:r>
          </w:p>
        </w:tc>
        <w:tc>
          <w:tcPr>
            <w:tcW w:w="5250" w:type="dxa"/>
            <w:tcBorders>
              <w:top w:val="single" w:sz="6" w:space="0" w:color="535353"/>
              <w:left w:val="single" w:sz="6" w:space="0" w:color="878787"/>
              <w:bottom w:val="single" w:sz="6" w:space="0" w:color="878787"/>
              <w:right w:val="single" w:sz="6" w:space="0" w:color="878787"/>
            </w:tcBorders>
            <w:tcMar>
              <w:top w:w="60" w:type="dxa"/>
              <w:left w:w="60" w:type="dxa"/>
              <w:bottom w:w="60" w:type="dxa"/>
              <w:right w:w="60" w:type="dxa"/>
            </w:tcMar>
          </w:tcPr>
          <w:p w14:paraId="3E954F4C"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Presentada por Carlos Braulio Reyes Escandón, apoderado legal de varias sociedades del Grupo Dolphin.- Demandados: Eduardo Albor Villanueva, Concepción Esteban Manchado y otros.- Se solicitaron medidas cautelares: (i) remoción de antiguos apoderados; (ii) designación de Steven Robert Strom como administrador único; (iii) prohibición a exadministradores de disponer de bienes; (iv) entrega de posesión e información de las empresas.</w:t>
            </w:r>
          </w:p>
        </w:tc>
      </w:tr>
      <w:tr w:rsidR="005F77D6" w14:paraId="72F83B6B" w14:textId="77777777">
        <w:trPr>
          <w:trHeight w:val="1935"/>
        </w:trPr>
        <w:tc>
          <w:tcPr>
            <w:tcW w:w="1095"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5AF883EA"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04/04/2025</w:t>
            </w:r>
          </w:p>
        </w:tc>
        <w:tc>
          <w:tcPr>
            <w:tcW w:w="261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0AE98FA3"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Resolución judicial en CDMX.</w:t>
            </w:r>
          </w:p>
        </w:tc>
        <w:tc>
          <w:tcPr>
            <w:tcW w:w="525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3D38272C"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El Juzgado Décimo de lo Civil concede las medidas cautelares solicitadas.- Incluye el aseguramiento del inmueble ubicado en Banco Chinchorro, lote 8, mza. 1, smza. 13, Cancún, Quintana Roo.</w:t>
            </w:r>
          </w:p>
          <w:p w14:paraId="2E439D59"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Ordena correr traslado y emplazar a los demandados.</w:t>
            </w:r>
          </w:p>
        </w:tc>
      </w:tr>
      <w:tr w:rsidR="005F77D6" w14:paraId="7E54ECB0" w14:textId="77777777">
        <w:trPr>
          <w:trHeight w:val="1395"/>
        </w:trPr>
        <w:tc>
          <w:tcPr>
            <w:tcW w:w="1095"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380C5AC7"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07/04/2025</w:t>
            </w:r>
          </w:p>
        </w:tc>
        <w:tc>
          <w:tcPr>
            <w:tcW w:w="261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4D035524"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Exhorto judicial enviado a Cancún.</w:t>
            </w:r>
          </w:p>
        </w:tc>
        <w:tc>
          <w:tcPr>
            <w:tcW w:w="525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13E61F8C"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Registrado como Exhorto 39/2025, enviado al Juzgado Mercantil de Cancún.- Finalidad: De emplazar a los demandados y dar cumplimiento de las medidas cautelares del juicio civil 222/2025.</w:t>
            </w:r>
          </w:p>
        </w:tc>
      </w:tr>
      <w:tr w:rsidR="005F77D6" w14:paraId="3B92C708" w14:textId="77777777">
        <w:trPr>
          <w:trHeight w:val="855"/>
        </w:trPr>
        <w:tc>
          <w:tcPr>
            <w:tcW w:w="1095"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1B0909EF"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10/04/2025</w:t>
            </w:r>
          </w:p>
        </w:tc>
        <w:tc>
          <w:tcPr>
            <w:tcW w:w="261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44CEE22D"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Autorización de uso de fuerza pública en Cancún.</w:t>
            </w:r>
          </w:p>
        </w:tc>
        <w:tc>
          <w:tcPr>
            <w:tcW w:w="525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4FC7B5B5"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Juez exhortado en Cancún autoriza el uso de la fuerza pública para ejecutar el aseguramiento y entrega del inmueble.</w:t>
            </w:r>
          </w:p>
        </w:tc>
      </w:tr>
      <w:tr w:rsidR="005F77D6" w14:paraId="22D9B632" w14:textId="77777777">
        <w:trPr>
          <w:trHeight w:val="1755"/>
        </w:trPr>
        <w:tc>
          <w:tcPr>
            <w:tcW w:w="1095"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08EA556D"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11/04/2025</w:t>
            </w:r>
          </w:p>
        </w:tc>
        <w:tc>
          <w:tcPr>
            <w:tcW w:w="261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20DBF012"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Acta de negativa, NO HABITA.</w:t>
            </w:r>
          </w:p>
        </w:tc>
        <w:tc>
          <w:tcPr>
            <w:tcW w:w="525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3095A23B"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Se señala que el domicilio proporcionado es impreciso, por el cual no se realizo el emplazamiento correspondiente.</w:t>
            </w:r>
          </w:p>
          <w:p w14:paraId="777D740B"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-Realizaron una notificación a la una persona que era empleada, la cual no quiso firmar.</w:t>
            </w:r>
          </w:p>
        </w:tc>
      </w:tr>
      <w:tr w:rsidR="005F77D6" w14:paraId="729C47CF" w14:textId="77777777">
        <w:trPr>
          <w:trHeight w:val="2295"/>
        </w:trPr>
        <w:tc>
          <w:tcPr>
            <w:tcW w:w="1095"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152F5ABB"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11/04/2025 (16:15 hrs)</w:t>
            </w:r>
          </w:p>
        </w:tc>
        <w:tc>
          <w:tcPr>
            <w:tcW w:w="261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54B8851C"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Diligencia judicial de aseguramiento.</w:t>
            </w:r>
          </w:p>
        </w:tc>
        <w:tc>
          <w:tcPr>
            <w:tcW w:w="525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45D76075"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El Lic. Antonio Gerardo Hernández Moreno (actuario de gestión judicial mercantil), con apoyo policial, se constituye en el inmueble.- se da el inmueble de manera incorrecta cometiendo el delito de abuso de autoridad 10/04/2025. El inmueble es entregado a Matías Marambio Calvo, en representación del nuevo administrador Steven Robert Strom en fecha 10 de octubre de 2025.</w:t>
            </w:r>
          </w:p>
        </w:tc>
      </w:tr>
      <w:tr w:rsidR="005F77D6" w14:paraId="19BE943E" w14:textId="77777777">
        <w:trPr>
          <w:trHeight w:val="2850"/>
        </w:trPr>
        <w:tc>
          <w:tcPr>
            <w:tcW w:w="1095"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707BD232"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11/04/2025 – 21:41 hrs</w:t>
            </w:r>
          </w:p>
        </w:tc>
        <w:tc>
          <w:tcPr>
            <w:tcW w:w="261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593BCE0F"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Denuncia por despojo (Carpeta FGE/QROO/BJ/04/7127/2025).</w:t>
            </w:r>
          </w:p>
        </w:tc>
        <w:tc>
          <w:tcPr>
            <w:tcW w:w="525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665D0610"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Presentada por Eduardo Albor Villanueva ante la Fiscalía Especializada en Delitos Patrimoniales de Quintana Roo.- Señala como responsables al actuario Antonio Gerardo Hernández Moreno y a quienes resulten responsables.- Relata que personas armadas, junto con policías municipales y un actuario, intentaron tomar posesión del inmueble (edificio de tres niveles, que consta aproximadamente veinte locales con diversas actividades comerciales)  sin notificarse formalmente ni identificarse.</w:t>
            </w:r>
          </w:p>
        </w:tc>
      </w:tr>
      <w:tr w:rsidR="005F77D6" w14:paraId="0F0ABCD8" w14:textId="77777777">
        <w:trPr>
          <w:trHeight w:val="2475"/>
        </w:trPr>
        <w:tc>
          <w:tcPr>
            <w:tcW w:w="1095"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3F49CEBD"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12/04/2025</w:t>
            </w:r>
          </w:p>
        </w:tc>
        <w:tc>
          <w:tcPr>
            <w:tcW w:w="261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0D8CF5B1"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Oficios de aseguramiento y vigilancia del inmueble.</w:t>
            </w:r>
          </w:p>
        </w:tc>
        <w:tc>
          <w:tcPr>
            <w:tcW w:w="525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73BA3049"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xml:space="preserve">-Oficio FGE/QROO/CAN/FEDP/04/388/2025: ordena aseguramiento del físico y material del bien inmueble de grupo chinchorro y otros locatarios. </w:t>
            </w:r>
          </w:p>
          <w:p w14:paraId="48DB4812"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“no del grupo Dolphin”</w:t>
            </w:r>
          </w:p>
          <w:p w14:paraId="1F68B594"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-Oficio FGE/QROO/CAN/FEDP/04/387/2025: ordena vigilancia física y permanente en el inmueble (Cancún).</w:t>
            </w:r>
          </w:p>
        </w:tc>
      </w:tr>
      <w:tr w:rsidR="005F77D6" w14:paraId="17145D50" w14:textId="77777777">
        <w:trPr>
          <w:trHeight w:val="1395"/>
        </w:trPr>
        <w:tc>
          <w:tcPr>
            <w:tcW w:w="1095"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29FB6849"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lastRenderedPageBreak/>
              <w:t>12/04/2025 – 01:00 hrs (madrugada)</w:t>
            </w:r>
          </w:p>
        </w:tc>
        <w:tc>
          <w:tcPr>
            <w:tcW w:w="261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2CDC8CBE"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Retoma de posesión por Eduardo Albor.</w:t>
            </w:r>
          </w:p>
        </w:tc>
        <w:tc>
          <w:tcPr>
            <w:tcW w:w="525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24100ECC"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Eduardo Albor, acompañado de elementos de la Policía de Investigación de Quintana Roo, ingresó nuevamente al inmueble.- por orden del ministerio publico se le entrega el edificio (parte correspondiente)</w:t>
            </w:r>
          </w:p>
        </w:tc>
      </w:tr>
      <w:tr w:rsidR="005F77D6" w14:paraId="0EFFDEA7" w14:textId="77777777">
        <w:trPr>
          <w:trHeight w:val="1575"/>
        </w:trPr>
        <w:tc>
          <w:tcPr>
            <w:tcW w:w="1095"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034C7832"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15/04/2025 – 16/04/2025</w:t>
            </w:r>
          </w:p>
        </w:tc>
        <w:tc>
          <w:tcPr>
            <w:tcW w:w="261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27ABB722"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Peritajes y dictámenes.</w:t>
            </w:r>
          </w:p>
        </w:tc>
        <w:tc>
          <w:tcPr>
            <w:tcW w:w="525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019D6A33"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Se ordena avalúo de daños, registro fotográfico y criminalística de campo (oficio FGE/QROO/CAN/FEDP/04/388/2025).- Dictamen pericial presentado el 16/04/2025 por el Lic. José David Tun Vázquez.</w:t>
            </w:r>
          </w:p>
        </w:tc>
      </w:tr>
      <w:tr w:rsidR="005F77D6" w14:paraId="62B85792" w14:textId="77777777">
        <w:trPr>
          <w:trHeight w:val="1395"/>
        </w:trPr>
        <w:tc>
          <w:tcPr>
            <w:tcW w:w="1095"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090D6206"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20/05/2025</w:t>
            </w:r>
          </w:p>
        </w:tc>
        <w:tc>
          <w:tcPr>
            <w:tcW w:w="261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61762561"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Denuncia por desobediencia de particulares (CI-FICUH/UAT-CUH-8/UI-1 S/D/01112/05-2025, CDMX).</w:t>
            </w:r>
          </w:p>
        </w:tc>
        <w:tc>
          <w:tcPr>
            <w:tcW w:w="525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0C84EE58"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Presentada por Roberto Arturo Jiménez Mosri, apoderado legal de Controladora Dolphin S.A. de C.V. contra Eduardo Albor.- Se le imputa haber desacatado un mandato judicial al retomar el inmueble sin autorización.</w:t>
            </w:r>
          </w:p>
        </w:tc>
      </w:tr>
      <w:tr w:rsidR="005F77D6" w14:paraId="565D2A8B" w14:textId="77777777">
        <w:trPr>
          <w:trHeight w:val="1035"/>
        </w:trPr>
        <w:tc>
          <w:tcPr>
            <w:tcW w:w="1095"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55045F51"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22/05/2025 – 11:32 hrs</w:t>
            </w:r>
          </w:p>
        </w:tc>
        <w:tc>
          <w:tcPr>
            <w:tcW w:w="261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23C99A1E"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Ampliación de denuncia (desobediencia).</w:t>
            </w:r>
          </w:p>
        </w:tc>
        <w:tc>
          <w:tcPr>
            <w:tcW w:w="525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082A35C3"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Se anexan 10 fojas útiles.- Se reitera que el delito se consumó al impedir el cumplimiento del mandato judicial del Juez Décimo Civil de CDMX.</w:t>
            </w:r>
          </w:p>
        </w:tc>
      </w:tr>
      <w:tr w:rsidR="005F77D6" w14:paraId="1502C42D" w14:textId="77777777">
        <w:trPr>
          <w:trHeight w:val="1215"/>
        </w:trPr>
        <w:tc>
          <w:tcPr>
            <w:tcW w:w="1095"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4F35F2E2"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03/09/2025</w:t>
            </w:r>
          </w:p>
        </w:tc>
        <w:tc>
          <w:tcPr>
            <w:tcW w:w="261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63B3A084" w14:textId="77777777" w:rsidR="005F77D6" w:rsidRDefault="00000000">
            <w:pPr>
              <w:spacing w:after="180" w:line="360" w:lineRule="auto"/>
              <w:jc w:val="center"/>
              <w:rPr>
                <w:rFonts w:ascii="Arial" w:eastAsia="Arial" w:hAnsi="Arial" w:cs="Arial"/>
                <w:sz w:val="17"/>
                <w:szCs w:val="17"/>
              </w:rPr>
            </w:pPr>
            <w:r>
              <w:rPr>
                <w:rFonts w:ascii="Arial" w:eastAsia="Arial" w:hAnsi="Arial" w:cs="Arial"/>
                <w:sz w:val="17"/>
                <w:szCs w:val="17"/>
              </w:rPr>
              <w:t>Solicitud de audiencia inicial sin detenido (CDMX).</w:t>
            </w:r>
          </w:p>
        </w:tc>
        <w:tc>
          <w:tcPr>
            <w:tcW w:w="5250" w:type="dxa"/>
            <w:tcBorders>
              <w:top w:val="single" w:sz="6" w:space="0" w:color="878787"/>
              <w:left w:val="single" w:sz="6" w:space="0" w:color="878787"/>
              <w:bottom w:val="single" w:sz="6" w:space="0" w:color="878787"/>
              <w:right w:val="single" w:sz="6" w:space="0" w:color="878787"/>
            </w:tcBorders>
            <w:tcMar>
              <w:top w:w="60" w:type="dxa"/>
              <w:left w:w="60" w:type="dxa"/>
              <w:bottom w:w="60" w:type="dxa"/>
              <w:right w:w="60" w:type="dxa"/>
            </w:tcMar>
          </w:tcPr>
          <w:p w14:paraId="7D21CEAD" w14:textId="77777777" w:rsidR="005F77D6" w:rsidRDefault="00000000">
            <w:pPr>
              <w:spacing w:after="180" w:line="360" w:lineRule="auto"/>
              <w:jc w:val="both"/>
              <w:rPr>
                <w:rFonts w:ascii="Arial" w:eastAsia="Arial" w:hAnsi="Arial" w:cs="Arial"/>
                <w:sz w:val="17"/>
                <w:szCs w:val="17"/>
              </w:rPr>
            </w:pPr>
            <w:r>
              <w:rPr>
                <w:rFonts w:ascii="Arial" w:eastAsia="Arial" w:hAnsi="Arial" w:cs="Arial"/>
                <w:sz w:val="17"/>
                <w:szCs w:val="17"/>
              </w:rPr>
              <w:t>- El MP solicita audiencia para formular imputación contra Eduardo Albor Villanueva por desobediencia de particulares en agravio de Controladora Dolphin S.A. de C.V.</w:t>
            </w:r>
          </w:p>
        </w:tc>
      </w:tr>
    </w:tbl>
    <w:p w14:paraId="262CB99B" w14:textId="75D73383" w:rsidR="005F77D6" w:rsidRDefault="00000000">
      <w:pPr>
        <w:spacing w:before="240" w:after="240" w:line="360" w:lineRule="auto"/>
        <w:ind w:firstLine="720"/>
        <w:jc w:val="both"/>
        <w:rPr>
          <w:rFonts w:ascii="Arial" w:eastAsia="Arial" w:hAnsi="Arial" w:cs="Arial"/>
        </w:rPr>
      </w:pPr>
      <w:r>
        <w:rPr>
          <w:rFonts w:ascii="Arial" w:eastAsia="Arial" w:hAnsi="Arial" w:cs="Arial"/>
        </w:rPr>
        <w:t xml:space="preserve">Luego entonces </w:t>
      </w:r>
      <w:r w:rsidR="00177B53">
        <w:rPr>
          <w:rFonts w:ascii="Arial" w:eastAsia="Arial" w:hAnsi="Arial" w:cs="Arial"/>
        </w:rPr>
        <w:t>también</w:t>
      </w:r>
      <w:r>
        <w:rPr>
          <w:rFonts w:ascii="Arial" w:eastAsia="Arial" w:hAnsi="Arial" w:cs="Arial"/>
        </w:rPr>
        <w:t xml:space="preserve"> se tiene que el </w:t>
      </w:r>
      <w:r w:rsidR="00177B53">
        <w:rPr>
          <w:rFonts w:ascii="Arial" w:eastAsia="Arial" w:hAnsi="Arial" w:cs="Arial"/>
        </w:rPr>
        <w:t>artículo</w:t>
      </w:r>
      <w:r>
        <w:rPr>
          <w:rFonts w:ascii="Arial" w:eastAsia="Arial" w:hAnsi="Arial" w:cs="Arial"/>
        </w:rPr>
        <w:t xml:space="preserve"> 21 señala que tipos de incompetencia se pueden plantear y claramente se tiene en el </w:t>
      </w:r>
      <w:r w:rsidR="00177B53">
        <w:rPr>
          <w:rFonts w:ascii="Arial" w:eastAsia="Arial" w:hAnsi="Arial" w:cs="Arial"/>
        </w:rPr>
        <w:t>artículo</w:t>
      </w:r>
      <w:r>
        <w:rPr>
          <w:rFonts w:ascii="Arial" w:eastAsia="Arial" w:hAnsi="Arial" w:cs="Arial"/>
        </w:rPr>
        <w:t xml:space="preserve"> 28 cuando procede una competencia por inhibitoria y se debe de aclarar </w:t>
      </w:r>
      <w:r w:rsidR="00177B53">
        <w:rPr>
          <w:rFonts w:ascii="Arial" w:eastAsia="Arial" w:hAnsi="Arial" w:cs="Arial"/>
        </w:rPr>
        <w:t>nosotros</w:t>
      </w:r>
      <w:r>
        <w:rPr>
          <w:rFonts w:ascii="Arial" w:eastAsia="Arial" w:hAnsi="Arial" w:cs="Arial"/>
        </w:rPr>
        <w:t xml:space="preserve"> como promoventes fundamos y motivamos nuestra </w:t>
      </w:r>
      <w:r w:rsidR="00177B53">
        <w:rPr>
          <w:rFonts w:ascii="Arial" w:eastAsia="Arial" w:hAnsi="Arial" w:cs="Arial"/>
        </w:rPr>
        <w:t>petición</w:t>
      </w:r>
      <w:r>
        <w:rPr>
          <w:rFonts w:ascii="Arial" w:eastAsia="Arial" w:hAnsi="Arial" w:cs="Arial"/>
        </w:rPr>
        <w:t xml:space="preserve"> pero la autoridad en su escrito no puso ninguna sola </w:t>
      </w:r>
      <w:r w:rsidR="00177B53">
        <w:rPr>
          <w:rFonts w:ascii="Arial" w:eastAsia="Arial" w:hAnsi="Arial" w:cs="Arial"/>
        </w:rPr>
        <w:t>fundamentación</w:t>
      </w:r>
      <w:r>
        <w:rPr>
          <w:rFonts w:ascii="Arial" w:eastAsia="Arial" w:hAnsi="Arial" w:cs="Arial"/>
        </w:rPr>
        <w:t xml:space="preserve"> relativo al porque no procede la incompetencia por inhibitoria planteada y se hace notar que un trabajo por </w:t>
      </w:r>
      <w:r w:rsidR="00177B53">
        <w:rPr>
          <w:rFonts w:ascii="Arial" w:eastAsia="Arial" w:hAnsi="Arial" w:cs="Arial"/>
        </w:rPr>
        <w:t>demás</w:t>
      </w:r>
      <w:r>
        <w:rPr>
          <w:rFonts w:ascii="Arial" w:eastAsia="Arial" w:hAnsi="Arial" w:cs="Arial"/>
        </w:rPr>
        <w:t xml:space="preserve"> con falta de profesionalismo solo limito a pronunciar en su formato su competencia en forma a la ley </w:t>
      </w:r>
      <w:r w:rsidR="00177B53">
        <w:rPr>
          <w:rFonts w:ascii="Arial" w:eastAsia="Arial" w:hAnsi="Arial" w:cs="Arial"/>
        </w:rPr>
        <w:t>orgánica</w:t>
      </w:r>
      <w:r>
        <w:rPr>
          <w:rFonts w:ascii="Arial" w:eastAsia="Arial" w:hAnsi="Arial" w:cs="Arial"/>
        </w:rPr>
        <w:t xml:space="preserve"> y su deber con el juez incluso en el </w:t>
      </w:r>
      <w:r w:rsidR="00177B53">
        <w:rPr>
          <w:rFonts w:ascii="Arial" w:eastAsia="Arial" w:hAnsi="Arial" w:cs="Arial"/>
        </w:rPr>
        <w:t>artículo</w:t>
      </w:r>
      <w:r>
        <w:rPr>
          <w:rFonts w:ascii="Arial" w:eastAsia="Arial" w:hAnsi="Arial" w:cs="Arial"/>
        </w:rPr>
        <w:t xml:space="preserve"> 134 en la fracción II que el mismo señala se tiene que </w:t>
      </w:r>
      <w:r w:rsidR="00177B53">
        <w:rPr>
          <w:rFonts w:ascii="Arial" w:eastAsia="Arial" w:hAnsi="Arial" w:cs="Arial"/>
        </w:rPr>
        <w:t>él</w:t>
      </w:r>
      <w:r>
        <w:rPr>
          <w:rFonts w:ascii="Arial" w:eastAsia="Arial" w:hAnsi="Arial" w:cs="Arial"/>
        </w:rPr>
        <w:t xml:space="preserve"> debe vigilar que no se violen derechos humanos a </w:t>
      </w:r>
      <w:r w:rsidR="00177B53">
        <w:rPr>
          <w:rFonts w:ascii="Arial" w:eastAsia="Arial" w:hAnsi="Arial" w:cs="Arial"/>
        </w:rPr>
        <w:t>acá</w:t>
      </w:r>
      <w:r>
        <w:rPr>
          <w:rFonts w:ascii="Arial" w:eastAsia="Arial" w:hAnsi="Arial" w:cs="Arial"/>
        </w:rPr>
        <w:t xml:space="preserve"> el juez se encuentra </w:t>
      </w:r>
      <w:r w:rsidR="00177B53">
        <w:rPr>
          <w:rFonts w:ascii="Arial" w:eastAsia="Arial" w:hAnsi="Arial" w:cs="Arial"/>
        </w:rPr>
        <w:t>violentando</w:t>
      </w:r>
      <w:r>
        <w:rPr>
          <w:rFonts w:ascii="Arial" w:eastAsia="Arial" w:hAnsi="Arial" w:cs="Arial"/>
        </w:rPr>
        <w:t xml:space="preserve"> derechos humanos del imputado y pone en riesgo incluso la libertad del imputado porque ya se </w:t>
      </w:r>
      <w:r w:rsidR="00177B53">
        <w:rPr>
          <w:rFonts w:ascii="Arial" w:eastAsia="Arial" w:hAnsi="Arial" w:cs="Arial"/>
        </w:rPr>
        <w:t>intentó</w:t>
      </w:r>
      <w:r>
        <w:rPr>
          <w:rFonts w:ascii="Arial" w:eastAsia="Arial" w:hAnsi="Arial" w:cs="Arial"/>
        </w:rPr>
        <w:t xml:space="preserve"> llevar la audiencia inicial en la ciudad de </w:t>
      </w:r>
      <w:r w:rsidR="00177B53">
        <w:rPr>
          <w:rFonts w:ascii="Arial" w:eastAsia="Arial" w:hAnsi="Arial" w:cs="Arial"/>
        </w:rPr>
        <w:t>México</w:t>
      </w:r>
      <w:r>
        <w:rPr>
          <w:rFonts w:ascii="Arial" w:eastAsia="Arial" w:hAnsi="Arial" w:cs="Arial"/>
        </w:rPr>
        <w:t xml:space="preserve"> con el riesgo que existe que al no tener residencia habitual en la ciudad de </w:t>
      </w:r>
      <w:r w:rsidR="00177B53">
        <w:rPr>
          <w:rFonts w:ascii="Arial" w:eastAsia="Arial" w:hAnsi="Arial" w:cs="Arial"/>
        </w:rPr>
        <w:t>México</w:t>
      </w:r>
      <w:r>
        <w:rPr>
          <w:rFonts w:ascii="Arial" w:eastAsia="Arial" w:hAnsi="Arial" w:cs="Arial"/>
        </w:rPr>
        <w:t xml:space="preserve">, por lo tanto viola mi derecho humano contenido en el </w:t>
      </w:r>
      <w:r w:rsidR="00177B53">
        <w:rPr>
          <w:rFonts w:ascii="Arial" w:eastAsia="Arial" w:hAnsi="Arial" w:cs="Arial"/>
        </w:rPr>
        <w:t>artículo</w:t>
      </w:r>
      <w:r>
        <w:rPr>
          <w:rFonts w:ascii="Arial" w:eastAsia="Arial" w:hAnsi="Arial" w:cs="Arial"/>
        </w:rPr>
        <w:t xml:space="preserve"> 16 de la </w:t>
      </w:r>
      <w:r w:rsidR="00177B53">
        <w:rPr>
          <w:rFonts w:ascii="Arial" w:eastAsia="Arial" w:hAnsi="Arial" w:cs="Arial"/>
        </w:rPr>
        <w:t>constitución</w:t>
      </w:r>
      <w:r>
        <w:rPr>
          <w:rFonts w:ascii="Arial" w:eastAsia="Arial" w:hAnsi="Arial" w:cs="Arial"/>
        </w:rPr>
        <w:t xml:space="preserve"> y se hace notal la incapacidad de este juez al resolver lo cual resulta grave. </w:t>
      </w:r>
    </w:p>
    <w:p w14:paraId="1CD93F2F" w14:textId="77777777" w:rsidR="005F77D6" w:rsidRDefault="00000000">
      <w:pPr>
        <w:spacing w:before="240" w:after="240" w:line="360" w:lineRule="auto"/>
        <w:jc w:val="both"/>
        <w:rPr>
          <w:rFonts w:ascii="Arial" w:eastAsia="Arial" w:hAnsi="Arial" w:cs="Arial"/>
          <w:b/>
          <w:bCs/>
        </w:rPr>
      </w:pPr>
      <w:r>
        <w:rPr>
          <w:rFonts w:ascii="Arial" w:eastAsia="Arial" w:hAnsi="Arial" w:cs="Arial"/>
          <w:b/>
          <w:bCs/>
        </w:rPr>
        <w:t>SEGUNDA REFUTATIO</w:t>
      </w:r>
      <w:r>
        <w:rPr>
          <w:rFonts w:ascii="Arial" w:eastAsia="Arial" w:hAnsi="Arial" w:cs="Arial"/>
        </w:rPr>
        <w:t>.</w:t>
      </w:r>
      <w:r>
        <w:rPr>
          <w:rFonts w:ascii="Arial" w:eastAsia="Arial" w:hAnsi="Arial" w:cs="Arial"/>
          <w:b/>
          <w:bCs/>
        </w:rPr>
        <w:t>- Motivación (hechos).</w:t>
      </w:r>
    </w:p>
    <w:p w14:paraId="5559B9AD" w14:textId="6AE6ACFC" w:rsidR="005F77D6" w:rsidRDefault="00000000">
      <w:pPr>
        <w:spacing w:before="240" w:after="240" w:line="360" w:lineRule="auto"/>
        <w:jc w:val="both"/>
        <w:rPr>
          <w:rFonts w:ascii="Arial" w:eastAsia="Arial" w:hAnsi="Arial" w:cs="Arial"/>
        </w:rPr>
      </w:pPr>
      <w:r>
        <w:rPr>
          <w:rFonts w:ascii="Arial" w:eastAsia="Arial" w:hAnsi="Arial" w:cs="Arial"/>
          <w:b/>
          <w:bCs/>
        </w:rPr>
        <w:t xml:space="preserve"> </w:t>
      </w:r>
      <w:r>
        <w:rPr>
          <w:rFonts w:ascii="Arial" w:eastAsia="Arial" w:hAnsi="Arial" w:cs="Arial"/>
        </w:rPr>
        <w:t xml:space="preserve"> En ese sentido se tiene que en la promoción presentada nosotros sí cumplimos y motivamos del porqué se debe de realizar las audiencias en la ciudad de </w:t>
      </w:r>
      <w:r w:rsidR="00177B53">
        <w:rPr>
          <w:rFonts w:ascii="Arial" w:eastAsia="Arial" w:hAnsi="Arial" w:cs="Arial"/>
        </w:rPr>
        <w:t>Cancún</w:t>
      </w:r>
      <w:r>
        <w:rPr>
          <w:rFonts w:ascii="Arial" w:eastAsia="Arial" w:hAnsi="Arial" w:cs="Arial"/>
        </w:rPr>
        <w:t xml:space="preserve"> para efectos se señala lo siguiente que se planteó en la promoción: </w:t>
      </w:r>
    </w:p>
    <w:p w14:paraId="6E350640" w14:textId="77777777" w:rsidR="005F77D6" w:rsidRDefault="005F77D6">
      <w:pPr>
        <w:spacing w:before="240" w:after="240" w:line="360" w:lineRule="auto"/>
        <w:jc w:val="both"/>
        <w:rPr>
          <w:rFonts w:ascii="Arial" w:eastAsia="Arial" w:hAnsi="Arial" w:cs="Arial"/>
          <w:b/>
          <w:bCs/>
        </w:rPr>
      </w:pPr>
    </w:p>
    <w:p w14:paraId="033DAE61" w14:textId="77777777" w:rsidR="005F77D6" w:rsidRDefault="00000000">
      <w:pPr>
        <w:spacing w:line="276" w:lineRule="auto"/>
        <w:ind w:left="1440"/>
        <w:jc w:val="center"/>
        <w:rPr>
          <w:rFonts w:ascii="Arial" w:eastAsia="Arial" w:hAnsi="Arial" w:cs="Arial"/>
          <w:b/>
          <w:bCs/>
          <w:i/>
          <w:iCs/>
          <w:sz w:val="20"/>
          <w:szCs w:val="20"/>
        </w:rPr>
      </w:pPr>
      <w:r>
        <w:rPr>
          <w:rFonts w:ascii="Arial" w:eastAsia="Arial" w:hAnsi="Arial" w:cs="Arial"/>
          <w:b/>
          <w:bCs/>
          <w:i/>
          <w:iCs/>
          <w:sz w:val="20"/>
          <w:szCs w:val="20"/>
        </w:rPr>
        <w:t>“PRETENSIONES</w:t>
      </w:r>
    </w:p>
    <w:p w14:paraId="70576CB8" w14:textId="77777777" w:rsidR="005F77D6" w:rsidRDefault="00000000">
      <w:pPr>
        <w:spacing w:line="276" w:lineRule="auto"/>
        <w:ind w:left="1440"/>
        <w:jc w:val="both"/>
        <w:rPr>
          <w:rFonts w:ascii="Arial" w:eastAsia="Arial" w:hAnsi="Arial" w:cs="Arial"/>
          <w:i/>
          <w:iCs/>
          <w:sz w:val="20"/>
          <w:szCs w:val="20"/>
        </w:rPr>
      </w:pPr>
      <w:r>
        <w:rPr>
          <w:rFonts w:ascii="Arial" w:eastAsia="Arial" w:hAnsi="Arial" w:cs="Arial"/>
          <w:i/>
          <w:iCs/>
          <w:sz w:val="20"/>
          <w:szCs w:val="20"/>
        </w:rPr>
        <w:lastRenderedPageBreak/>
        <w:t xml:space="preserve">Por medio del presente escrito, y con fundamentos en el artículo 6, 9, 12, 13, del Código Penal del Estado de Quintana Roo y 20, 25, 26, 28, del Código  Nacional de Procedimientos Penales, se solicita que el juez de control con residencia en Cancún Quintana Roo, se declare competente para conocer de la audiencia solicitada dentro </w:t>
      </w:r>
    </w:p>
    <w:p w14:paraId="64F2B280" w14:textId="77777777" w:rsidR="005F77D6" w:rsidRDefault="00000000">
      <w:pPr>
        <w:spacing w:line="276" w:lineRule="auto"/>
        <w:ind w:left="1440"/>
        <w:jc w:val="both"/>
        <w:rPr>
          <w:rFonts w:ascii="Arial" w:eastAsia="Arial" w:hAnsi="Arial" w:cs="Arial"/>
          <w:i/>
          <w:iCs/>
          <w:sz w:val="20"/>
          <w:szCs w:val="20"/>
        </w:rPr>
      </w:pPr>
      <w:r>
        <w:rPr>
          <w:rFonts w:ascii="Arial" w:eastAsia="Arial" w:hAnsi="Arial" w:cs="Arial"/>
          <w:i/>
          <w:iCs/>
          <w:sz w:val="20"/>
          <w:szCs w:val="20"/>
        </w:rPr>
        <w:t xml:space="preserve"> la Carpeta de Investigación CI-CUH/UAT-CUH-8/UI-1 S/D/01112/05-2025 del delito de DESOBEDIENCIA DE PARTICULARES – DESOBEDECER MANDATO LEGÍTIMO DE LA AUTORIDAD, requerida por  la Fiscalía Territorial en Cuauhtémoc, Coordinación Territorial CUH-8, toda vez que como se podrá apreciar los hechos delictivos fueron realizados en el estado de Quintana Roo y de facto como los propios denunciantes establece se debió a una orden otorgada por el ministerio público del Estado de Quintana Roo y ejecutado por la policía ministerial del Estado de Quintan Roo, es por ello que se solicita se realice la incompetencia para que el juez de control de la ciudad de México no sea quien lleve la audiencia solicitada por el Ministerio Público si no sea realizada ante un juez competente aquí en la ciudad de Cancún Quintana Roo de acuerdo a lo que establece el artículo 17 de la Constitución general de la república para efectos que no se violenten derechos humanos. “</w:t>
      </w:r>
    </w:p>
    <w:p w14:paraId="4DB6B962" w14:textId="77777777" w:rsidR="005F77D6" w:rsidRDefault="005F77D6">
      <w:pPr>
        <w:spacing w:line="276" w:lineRule="auto"/>
        <w:jc w:val="both"/>
        <w:rPr>
          <w:rFonts w:ascii="Arial" w:eastAsia="Arial" w:hAnsi="Arial" w:cs="Arial"/>
          <w:b/>
          <w:bCs/>
        </w:rPr>
      </w:pPr>
    </w:p>
    <w:p w14:paraId="75F2B91E" w14:textId="77777777" w:rsidR="005F77D6" w:rsidRDefault="00000000">
      <w:pPr>
        <w:spacing w:line="276" w:lineRule="auto"/>
        <w:jc w:val="both"/>
        <w:rPr>
          <w:rFonts w:ascii="Arial" w:eastAsia="Arial" w:hAnsi="Arial" w:cs="Arial"/>
        </w:rPr>
      </w:pPr>
      <w:r>
        <w:rPr>
          <w:rFonts w:ascii="Arial" w:eastAsia="Arial" w:hAnsi="Arial" w:cs="Arial"/>
        </w:rPr>
        <w:t xml:space="preserve">Como se podrá apreciar en esta pretensión si se le motiva la razón por la cual se debe de llevar a cabo la audiencia en la ciudad de Cancún Quintana Roo ya que aquí fue donde sucedieron los hechos por lo tanto aquí en donde se debe de llevar y no en la Ciudad de México como ya habían mencionado anteriormente. </w:t>
      </w:r>
    </w:p>
    <w:p w14:paraId="7BB4AFE7" w14:textId="77777777" w:rsidR="005F77D6" w:rsidRDefault="005F77D6">
      <w:pPr>
        <w:spacing w:line="276" w:lineRule="auto"/>
        <w:jc w:val="both"/>
        <w:rPr>
          <w:rFonts w:ascii="Arial" w:eastAsia="Arial" w:hAnsi="Arial" w:cs="Arial"/>
        </w:rPr>
      </w:pPr>
    </w:p>
    <w:p w14:paraId="5DCD226F" w14:textId="6ED75654" w:rsidR="005F77D6" w:rsidRDefault="00000000">
      <w:pPr>
        <w:spacing w:line="276" w:lineRule="auto"/>
        <w:jc w:val="both"/>
        <w:rPr>
          <w:rFonts w:ascii="Arial" w:eastAsia="Arial" w:hAnsi="Arial" w:cs="Arial"/>
          <w:b/>
          <w:bCs/>
        </w:rPr>
      </w:pPr>
      <w:r>
        <w:rPr>
          <w:rFonts w:ascii="Arial" w:eastAsia="Arial" w:hAnsi="Arial" w:cs="Arial"/>
          <w:b/>
          <w:bCs/>
        </w:rPr>
        <w:t>TERCERA REFUTATIO.-</w:t>
      </w:r>
      <w:r>
        <w:rPr>
          <w:rFonts w:ascii="Arial" w:eastAsia="Arial" w:hAnsi="Arial" w:cs="Arial"/>
        </w:rPr>
        <w:t xml:space="preserve"> </w:t>
      </w:r>
      <w:r w:rsidR="00177B53">
        <w:rPr>
          <w:rFonts w:ascii="Arial" w:eastAsia="Arial" w:hAnsi="Arial" w:cs="Arial"/>
          <w:b/>
          <w:bCs/>
        </w:rPr>
        <w:t>Motivación</w:t>
      </w:r>
      <w:r>
        <w:rPr>
          <w:rFonts w:ascii="Arial" w:eastAsia="Arial" w:hAnsi="Arial" w:cs="Arial"/>
          <w:b/>
          <w:bCs/>
        </w:rPr>
        <w:t xml:space="preserve"> (hechos)</w:t>
      </w:r>
    </w:p>
    <w:p w14:paraId="21AEDD5C" w14:textId="77777777" w:rsidR="005F77D6" w:rsidRDefault="00000000">
      <w:pPr>
        <w:spacing w:before="240" w:after="240" w:line="360" w:lineRule="auto"/>
        <w:jc w:val="both"/>
        <w:rPr>
          <w:rFonts w:ascii="Arial" w:eastAsia="Arial" w:hAnsi="Arial" w:cs="Arial"/>
          <w:b/>
          <w:bCs/>
        </w:rPr>
      </w:pPr>
      <w:r>
        <w:rPr>
          <w:rFonts w:ascii="Arial" w:eastAsia="Arial" w:hAnsi="Arial" w:cs="Arial"/>
        </w:rPr>
        <w:t xml:space="preserve">    </w:t>
      </w:r>
      <w:r>
        <w:rPr>
          <w:rFonts w:ascii="Arial" w:eastAsia="Arial" w:hAnsi="Arial" w:cs="Arial"/>
          <w:b/>
          <w:bCs/>
        </w:rPr>
        <w:t>ANTECEDENTES</w:t>
      </w:r>
    </w:p>
    <w:p w14:paraId="4C6ECE84" w14:textId="77777777" w:rsidR="005F77D6" w:rsidRDefault="00000000">
      <w:pPr>
        <w:numPr>
          <w:ilvl w:val="0"/>
          <w:numId w:val="2"/>
        </w:numPr>
        <w:spacing w:before="240" w:line="276" w:lineRule="auto"/>
        <w:jc w:val="both"/>
        <w:rPr>
          <w:rFonts w:ascii="Arial" w:eastAsia="Arial" w:hAnsi="Arial" w:cs="Arial"/>
        </w:rPr>
      </w:pPr>
      <w:r>
        <w:rPr>
          <w:rFonts w:ascii="Arial" w:eastAsia="Arial" w:hAnsi="Arial" w:cs="Arial"/>
        </w:rPr>
        <w:t xml:space="preserve">El día 11 de abril de 2025, a las 16:15 horas, se ejecutó en el mismo inmueble una diligencia de entrega de posesión, encabezada por el Lic. Antonio Gerardo Hernández Moreno, actuario de gestión judicial mercantil, con apoyo policial, en cumplimiento de un exhorto derivado del juicio 222/2025. </w:t>
      </w:r>
    </w:p>
    <w:p w14:paraId="51F56B5A" w14:textId="77777777" w:rsidR="005F77D6" w:rsidRDefault="00000000">
      <w:pPr>
        <w:numPr>
          <w:ilvl w:val="0"/>
          <w:numId w:val="2"/>
        </w:numPr>
        <w:spacing w:line="276" w:lineRule="auto"/>
        <w:jc w:val="both"/>
        <w:rPr>
          <w:rFonts w:ascii="Arial" w:eastAsia="Arial" w:hAnsi="Arial" w:cs="Arial"/>
        </w:rPr>
      </w:pPr>
      <w:r>
        <w:rPr>
          <w:rFonts w:ascii="Arial" w:eastAsia="Arial" w:hAnsi="Arial" w:cs="Arial"/>
        </w:rPr>
        <w:t xml:space="preserve">Ante estos hechos, ese mismo día 11 de abril de 2025, a las 21:41 horas, el suscrito presentó denuncia por despojo ante la Fiscalía Especializada en Delitos Patrimoniales de la Zona Norte del Estado de Quintana Roo, radicada bajo la carpeta FGE/QROO/BJ/04/7127/2025, en contra del actuario y de quienes resultaren responsables. </w:t>
      </w:r>
    </w:p>
    <w:p w14:paraId="4F244DE3" w14:textId="77777777" w:rsidR="005F77D6" w:rsidRDefault="00000000">
      <w:pPr>
        <w:numPr>
          <w:ilvl w:val="0"/>
          <w:numId w:val="2"/>
        </w:numPr>
        <w:spacing w:line="276" w:lineRule="auto"/>
        <w:jc w:val="both"/>
        <w:rPr>
          <w:rFonts w:ascii="Arial" w:eastAsia="Arial" w:hAnsi="Arial" w:cs="Arial"/>
        </w:rPr>
      </w:pPr>
      <w:r>
        <w:rPr>
          <w:rFonts w:ascii="Arial" w:eastAsia="Arial" w:hAnsi="Arial" w:cs="Arial"/>
        </w:rPr>
        <w:t xml:space="preserve">El 12 de abril de 2025, mediante oficio FGE/QROO/CAN/FEDP/04/388/2025, la Fiscalía de Quintana Roo ordenó el aseguramiento del inmueble y, a través del oficio FGE/QROO/CAN/FEDP/04/387/2025, se dispuso la vigilancia física y permanente del bien. </w:t>
      </w:r>
    </w:p>
    <w:p w14:paraId="3ECCD069" w14:textId="77777777" w:rsidR="005F77D6" w:rsidRDefault="00000000">
      <w:pPr>
        <w:numPr>
          <w:ilvl w:val="0"/>
          <w:numId w:val="2"/>
        </w:numPr>
        <w:spacing w:line="276" w:lineRule="auto"/>
        <w:jc w:val="both"/>
        <w:rPr>
          <w:rFonts w:ascii="Arial" w:eastAsia="Arial" w:hAnsi="Arial" w:cs="Arial"/>
        </w:rPr>
      </w:pPr>
      <w:r>
        <w:rPr>
          <w:rFonts w:ascii="Arial" w:eastAsia="Arial" w:hAnsi="Arial" w:cs="Arial"/>
        </w:rPr>
        <w:t xml:space="preserve">En fecha 20 de mayo de 2025, el C. Roberto Arturo Jiménez Mosri, en representación legal de Controladora Dolphin S.A. de C.V., presentó  denuncia en la Fiscalía Territorial en Cuauhtémoc, Coordinación Territorial CUH-8, bajo el número de carpeta de investigación CI-CUH/UAT-CUH-8/UI-1 S/D/01112/05-2025,  en contra del suscrito por el delito de Desobediencia de Particulares, derivado del juicio civil número 222/2025, tramitado en la Ciudad de México. </w:t>
      </w:r>
    </w:p>
    <w:p w14:paraId="526428E8" w14:textId="77777777" w:rsidR="005F77D6" w:rsidRDefault="00000000">
      <w:pPr>
        <w:numPr>
          <w:ilvl w:val="0"/>
          <w:numId w:val="2"/>
        </w:numPr>
        <w:spacing w:line="276" w:lineRule="auto"/>
        <w:jc w:val="both"/>
        <w:rPr>
          <w:rFonts w:ascii="Arial" w:eastAsia="Arial" w:hAnsi="Arial" w:cs="Arial"/>
        </w:rPr>
      </w:pPr>
      <w:r>
        <w:rPr>
          <w:rFonts w:ascii="Arial" w:eastAsia="Arial" w:hAnsi="Arial" w:cs="Arial"/>
        </w:rPr>
        <w:t>En fecha 3 de septiembre el agente del ministerio público, solicitó audiencia inicial sin detenido.</w:t>
      </w:r>
    </w:p>
    <w:p w14:paraId="6782212C" w14:textId="77777777" w:rsidR="005F77D6" w:rsidRDefault="00000000">
      <w:pPr>
        <w:numPr>
          <w:ilvl w:val="0"/>
          <w:numId w:val="1"/>
        </w:numPr>
        <w:spacing w:after="420" w:line="276" w:lineRule="auto"/>
        <w:jc w:val="both"/>
        <w:rPr>
          <w:rFonts w:ascii="Arial" w:eastAsia="Arial" w:hAnsi="Arial" w:cs="Arial"/>
        </w:rPr>
      </w:pPr>
      <w:r>
        <w:rPr>
          <w:rFonts w:ascii="Arial" w:eastAsia="Arial" w:hAnsi="Arial" w:cs="Arial"/>
        </w:rPr>
        <w:t>En consecuencia, resulta claro que todos los hechos atribuidos al suscrito acontecieron en Cancún, Quintana Roo, no en esta Ciudad de México.</w:t>
      </w:r>
    </w:p>
    <w:p w14:paraId="063F8D79" w14:textId="77777777" w:rsidR="005F77D6" w:rsidRDefault="00000000">
      <w:pPr>
        <w:spacing w:before="240" w:after="420" w:line="276" w:lineRule="auto"/>
        <w:jc w:val="both"/>
        <w:rPr>
          <w:rFonts w:ascii="Arial" w:eastAsia="Arial" w:hAnsi="Arial" w:cs="Arial"/>
        </w:rPr>
      </w:pPr>
      <w:r>
        <w:rPr>
          <w:rFonts w:ascii="Arial" w:eastAsia="Arial" w:hAnsi="Arial" w:cs="Arial"/>
        </w:rPr>
        <w:t xml:space="preserve">Cómo podemos reconocer en los antecedentes se le informó al juez claramente que lo hechos fueron en Quintana Roo y no solamente eso también se le hizo ver que la Fiscalía de Quintana Roo ordenó la retoma del inmueble, y que dicha actuación no fue realizada por el promovente, sino por agentes estatales, demostrando que es materialmente imposible la comisión del delito de desobediencia imputado en </w:t>
      </w:r>
      <w:r>
        <w:rPr>
          <w:rFonts w:ascii="Arial" w:eastAsia="Arial" w:hAnsi="Arial" w:cs="Arial"/>
        </w:rPr>
        <w:lastRenderedPageBreak/>
        <w:t>Ciudad de México y Que existe una carpeta previa y más antigua (FGE/QROO/BJ/04/7127/2025) en Quintana Roo, en la cual se investiga el delito de despojo en agravio del promovente, carpeta que por sí misma determina la competencia territorial de Quintana Roo conforme al artículo 30 Código Nacional de Procedimientos Penales y que la denuncia presentada en Ciudad de México el 20 de mayo de 2025 deriva por completo de hechos ocurridos en Cancún, relacionados con la retoma del inmueble ordenada por el Ministerio Público de Quintana Roo, circunstancia jurídica ignorada por la autoridad responsable. Este cúmulo de hechos debía ser analizado por la autoridad como parte de la motivación de su resolución. Sin embargo, el Juez de Control decidió ignorarlos por completo. No ponderó que la carpeta de investigación iniciada en Ciudad de México deriva directamente de los hechos ocurridos en Cancún. No examinó que el Ministerio Público de la Ciudad de México pretende investigar un delito imposible de cometer por parte del quejoso, en tanto la retoma del inmueble fue ordenada por el Ministerio Público de Quintana Roo. No verificó que la denuncia de Ciudad de México se basa en un supuesto acto de desobediencia que, conforme al propio archivo, fue realmente un acto de cumplimiento de una instrucción de autoridad local. No analizó tampoco la duplicidad de investigaciones que se genera al tener dos carpetas paralelas sobre un mismo hecho transformador. Por lo que, la autoridad responsable, no examinó absolutamente ninguno. Una autoridad que no analiza hechos esenciales viola automáticamente el artículo 14 constitucional al omitir las formalidades esenciales del procedimiento, no resolvió de forma congruente, completa ni fundada el cual viola el artículo 16 constitucional por no motivar su decisión, además de que impidió el acceso a la justicia al no estudiar la petición conforme al artículo 17 constitucional y negó el derecho de petición previsto en el artículo 8, pues no resolvió de forma congruente, completa ni fundada. La falta de motivación no puede subsanarse en posteriores actos ni justificarse, ya que, la motivación debe estar contenida en el acto mismo, y aquí sencillamente no existe.</w:t>
      </w:r>
    </w:p>
    <w:p w14:paraId="4F23116E" w14:textId="3B9563B9" w:rsidR="005F77D6" w:rsidRDefault="00000000">
      <w:pPr>
        <w:spacing w:line="276" w:lineRule="auto"/>
        <w:jc w:val="both"/>
        <w:rPr>
          <w:rFonts w:ascii="Arial" w:eastAsia="Arial" w:hAnsi="Arial" w:cs="Arial"/>
          <w:b/>
          <w:bCs/>
          <w:sz w:val="16"/>
          <w:szCs w:val="16"/>
        </w:rPr>
      </w:pPr>
      <w:r>
        <w:rPr>
          <w:rFonts w:ascii="Arial" w:eastAsia="Arial" w:hAnsi="Arial" w:cs="Arial"/>
          <w:b/>
          <w:bCs/>
        </w:rPr>
        <w:t xml:space="preserve">TERCERA REFUTATIO.- </w:t>
      </w:r>
      <w:r w:rsidR="00177B53">
        <w:rPr>
          <w:rFonts w:ascii="Arial" w:eastAsia="Arial" w:hAnsi="Arial" w:cs="Arial"/>
          <w:b/>
          <w:bCs/>
        </w:rPr>
        <w:t xml:space="preserve">Motivación </w:t>
      </w:r>
      <w:r w:rsidR="00177B53">
        <w:rPr>
          <w:rFonts w:ascii="Arial" w:eastAsia="Arial" w:hAnsi="Arial" w:cs="Arial"/>
          <w:b/>
          <w:bCs/>
          <w:sz w:val="16"/>
          <w:szCs w:val="16"/>
        </w:rPr>
        <w:t>(</w:t>
      </w:r>
      <w:r>
        <w:rPr>
          <w:rFonts w:ascii="Arial" w:eastAsia="Arial" w:hAnsi="Arial" w:cs="Arial"/>
          <w:b/>
          <w:bCs/>
          <w:sz w:val="16"/>
          <w:szCs w:val="16"/>
        </w:rPr>
        <w:t>CONEXIDAD DE DELITOS Y ACUMULACIÓN DE PROCESOS).</w:t>
      </w:r>
    </w:p>
    <w:p w14:paraId="0F6084D4" w14:textId="77777777" w:rsidR="005F77D6" w:rsidRDefault="005F77D6">
      <w:pPr>
        <w:spacing w:line="276" w:lineRule="auto"/>
        <w:jc w:val="both"/>
        <w:rPr>
          <w:rFonts w:ascii="Arial" w:eastAsia="Arial" w:hAnsi="Arial" w:cs="Arial"/>
          <w:b/>
          <w:bCs/>
          <w:sz w:val="18"/>
          <w:szCs w:val="18"/>
        </w:rPr>
      </w:pPr>
    </w:p>
    <w:p w14:paraId="04D460A8" w14:textId="26A2A56B" w:rsidR="005F77D6" w:rsidRDefault="00000000">
      <w:pPr>
        <w:spacing w:line="276" w:lineRule="auto"/>
        <w:jc w:val="both"/>
        <w:rPr>
          <w:rFonts w:ascii="Arial" w:eastAsia="Arial" w:hAnsi="Arial" w:cs="Arial"/>
        </w:rPr>
      </w:pPr>
      <w:r>
        <w:rPr>
          <w:rFonts w:ascii="Arial" w:eastAsia="Arial" w:hAnsi="Arial" w:cs="Arial"/>
        </w:rPr>
        <w:t xml:space="preserve">En esta ocasión es incorrecto que la competencia la lleve el juez de Ciudad de México, pues conforme al artículo 30 fracción II del Código Nacional de procedimientos Penales establece que la competencia existe cuando hay delitos conexos y procede la </w:t>
      </w:r>
      <w:r w:rsidR="00177B53">
        <w:rPr>
          <w:rFonts w:ascii="Arial" w:eastAsia="Arial" w:hAnsi="Arial" w:cs="Arial"/>
        </w:rPr>
        <w:t>acumulación</w:t>
      </w:r>
      <w:r>
        <w:rPr>
          <w:rFonts w:ascii="Arial" w:eastAsia="Arial" w:hAnsi="Arial" w:cs="Arial"/>
        </w:rPr>
        <w:t xml:space="preserve"> de delitos, que son cuando un delito se relaciona con otro por sus hechos, participantes o las circunstancias en que se cometió, en ese sentido deberá conocer el juez donde se haya originado el delito  que tenga mayor punibilidad, el cual sería el de despojo ya que este está sancionado con hasta 6 años de prisión, mientras que el de desobediencia de particulares tiene una pena de 5 años por lo tanto el que debe de conocer es el juez de Quintana Roo.   </w:t>
      </w:r>
    </w:p>
    <w:p w14:paraId="628CC3E1" w14:textId="77777777" w:rsidR="005F77D6" w:rsidRDefault="00000000">
      <w:pPr>
        <w:spacing w:line="276" w:lineRule="auto"/>
        <w:jc w:val="both"/>
        <w:rPr>
          <w:rFonts w:ascii="Arial" w:eastAsia="Arial" w:hAnsi="Arial" w:cs="Arial"/>
        </w:rPr>
      </w:pPr>
      <w:r>
        <w:rPr>
          <w:rFonts w:ascii="Arial" w:eastAsia="Arial" w:hAnsi="Arial" w:cs="Arial"/>
        </w:rPr>
        <w:t xml:space="preserve">  </w:t>
      </w:r>
    </w:p>
    <w:p w14:paraId="4D436714" w14:textId="77777777" w:rsidR="005F77D6" w:rsidRDefault="00000000">
      <w:pPr>
        <w:pBdr>
          <w:top w:val="nil"/>
          <w:left w:val="nil"/>
          <w:bottom w:val="nil"/>
          <w:right w:val="nil"/>
          <w:between w:val="nil"/>
        </w:pBdr>
        <w:spacing w:line="360" w:lineRule="auto"/>
        <w:jc w:val="both"/>
        <w:rPr>
          <w:rFonts w:ascii="Arial" w:eastAsia="Arial" w:hAnsi="Arial" w:cs="Arial"/>
          <w:b/>
          <w:bCs/>
          <w:color w:val="000000"/>
        </w:rPr>
      </w:pPr>
      <w:r>
        <w:rPr>
          <w:rFonts w:ascii="Arial" w:eastAsia="Arial" w:hAnsi="Arial" w:cs="Arial"/>
          <w:b/>
          <w:bCs/>
          <w:color w:val="000000"/>
        </w:rPr>
        <w:t>SEGUNDO CONCEPTO DE VIOLACION: VIOLACION AL PROCEDIMIENTO.</w:t>
      </w:r>
    </w:p>
    <w:p w14:paraId="2DD64A07" w14:textId="77777777" w:rsidR="005F77D6" w:rsidRDefault="00000000">
      <w:pPr>
        <w:pBdr>
          <w:top w:val="nil"/>
          <w:left w:val="nil"/>
          <w:bottom w:val="nil"/>
          <w:right w:val="nil"/>
          <w:between w:val="nil"/>
        </w:pBdr>
        <w:spacing w:line="360" w:lineRule="auto"/>
        <w:jc w:val="both"/>
        <w:rPr>
          <w:rFonts w:ascii="Arial" w:eastAsia="Arial" w:hAnsi="Arial" w:cs="Arial"/>
          <w:b/>
          <w:bCs/>
        </w:rPr>
      </w:pPr>
      <w:r>
        <w:rPr>
          <w:rFonts w:ascii="Arial" w:eastAsia="Arial" w:hAnsi="Arial" w:cs="Arial"/>
          <w:b/>
          <w:bCs/>
        </w:rPr>
        <w:t>PRIMERA REFUTATIO.- SE VIOLA EL ARTÍCULO 17 DE LA CONSTITUCIÓN</w:t>
      </w:r>
    </w:p>
    <w:p w14:paraId="10E2A744" w14:textId="77777777" w:rsidR="005F77D6"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En este sentido se tiene que establecer cuál es el procedimiento que se debe llevar a cabo por parte de la autoridad judicial para poder llegar a la conclusión de saber si es o no competente es decir el juez no puede a priori tomar dicha determinación tiene primero que llevar a cabo el procedimiento que marca la norma para poder resolver la promoción planteada por inhibitoria es por ello que hoy le precisó a usted el seguimiento que se debe de seguir y que violó por completo por parte de la autoridad y se señala lo realizado:  </w:t>
      </w:r>
    </w:p>
    <w:p w14:paraId="6237A26F" w14:textId="77777777" w:rsidR="005F77D6" w:rsidRDefault="005F77D6">
      <w:pPr>
        <w:spacing w:before="240" w:after="240" w:line="360" w:lineRule="auto"/>
        <w:jc w:val="both"/>
        <w:rPr>
          <w:rFonts w:ascii="Arial" w:eastAsia="Arial" w:hAnsi="Arial" w:cs="Arial"/>
        </w:rPr>
      </w:pPr>
    </w:p>
    <w:tbl>
      <w:tblPr>
        <w:tblStyle w:val="a3"/>
        <w:tblW w:w="9135" w:type="dxa"/>
        <w:tblInd w:w="0" w:type="dxa"/>
        <w:tblLayout w:type="fixed"/>
        <w:tblLook w:val="0600" w:firstRow="0" w:lastRow="0" w:firstColumn="0" w:lastColumn="0" w:noHBand="1" w:noVBand="1"/>
      </w:tblPr>
      <w:tblGrid>
        <w:gridCol w:w="510"/>
        <w:gridCol w:w="2250"/>
        <w:gridCol w:w="6375"/>
      </w:tblGrid>
      <w:tr w:rsidR="005F77D6" w14:paraId="23A57B9D" w14:textId="77777777">
        <w:trPr>
          <w:trHeight w:val="473"/>
        </w:trPr>
        <w:tc>
          <w:tcPr>
            <w:tcW w:w="276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5F6826" w14:textId="77777777" w:rsidR="005F77D6" w:rsidRDefault="00000000">
            <w:pPr>
              <w:spacing w:line="360" w:lineRule="auto"/>
              <w:jc w:val="center"/>
              <w:rPr>
                <w:rFonts w:ascii="Arial" w:eastAsia="Arial" w:hAnsi="Arial" w:cs="Arial"/>
                <w:sz w:val="14"/>
                <w:szCs w:val="14"/>
              </w:rPr>
            </w:pPr>
            <w:r>
              <w:rPr>
                <w:rFonts w:ascii="Arial" w:eastAsia="Arial" w:hAnsi="Arial" w:cs="Arial"/>
                <w:sz w:val="14"/>
                <w:szCs w:val="14"/>
              </w:rPr>
              <w:lastRenderedPageBreak/>
              <w:t xml:space="preserve">Acción </w:t>
            </w:r>
          </w:p>
        </w:tc>
        <w:tc>
          <w:tcPr>
            <w:tcW w:w="6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2B3BE4" w14:textId="77777777" w:rsidR="005F77D6" w:rsidRDefault="00000000">
            <w:pPr>
              <w:spacing w:before="240" w:after="240" w:line="360" w:lineRule="auto"/>
              <w:jc w:val="center"/>
              <w:rPr>
                <w:rFonts w:ascii="Arial" w:eastAsia="Arial" w:hAnsi="Arial" w:cs="Arial"/>
                <w:sz w:val="14"/>
                <w:szCs w:val="14"/>
              </w:rPr>
            </w:pPr>
            <w:r>
              <w:rPr>
                <w:rFonts w:ascii="Arial" w:eastAsia="Arial" w:hAnsi="Arial" w:cs="Arial"/>
                <w:sz w:val="14"/>
                <w:szCs w:val="14"/>
              </w:rPr>
              <w:t>Observación</w:t>
            </w:r>
          </w:p>
        </w:tc>
      </w:tr>
      <w:tr w:rsidR="005F77D6" w14:paraId="5D6AB76A" w14:textId="77777777">
        <w:trPr>
          <w:trHeight w:val="61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83EB16"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1</w:t>
            </w:r>
          </w:p>
        </w:tc>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DE758C" w14:textId="77777777" w:rsidR="005F77D6" w:rsidRDefault="00000000">
            <w:pPr>
              <w:spacing w:line="360" w:lineRule="auto"/>
              <w:jc w:val="both"/>
              <w:rPr>
                <w:rFonts w:ascii="Arial" w:eastAsia="Arial" w:hAnsi="Arial" w:cs="Arial"/>
                <w:b/>
                <w:bCs/>
                <w:sz w:val="14"/>
                <w:szCs w:val="14"/>
              </w:rPr>
            </w:pPr>
            <w:r>
              <w:rPr>
                <w:rFonts w:ascii="Arial" w:eastAsia="Arial" w:hAnsi="Arial" w:cs="Arial"/>
                <w:b/>
                <w:bCs/>
                <w:sz w:val="14"/>
                <w:szCs w:val="14"/>
              </w:rPr>
              <w:t>IDENTIFICAR LA INCOMPETENCIA</w:t>
            </w:r>
          </w:p>
        </w:tc>
        <w:tc>
          <w:tcPr>
            <w:tcW w:w="6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504B70"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Se determina que el juez u órgano no tiene competencia para conocer del asunto.</w:t>
            </w:r>
          </w:p>
        </w:tc>
      </w:tr>
      <w:tr w:rsidR="005F77D6" w14:paraId="330BEDF9" w14:textId="77777777">
        <w:trPr>
          <w:trHeight w:val="46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0B5266"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2</w:t>
            </w:r>
          </w:p>
        </w:tc>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64EB51" w14:textId="77777777" w:rsidR="005F77D6" w:rsidRDefault="00000000">
            <w:pPr>
              <w:spacing w:line="360" w:lineRule="auto"/>
              <w:jc w:val="both"/>
              <w:rPr>
                <w:rFonts w:ascii="Arial" w:eastAsia="Arial" w:hAnsi="Arial" w:cs="Arial"/>
                <w:b/>
                <w:bCs/>
                <w:sz w:val="14"/>
                <w:szCs w:val="14"/>
              </w:rPr>
            </w:pPr>
            <w:r>
              <w:rPr>
                <w:rFonts w:ascii="Arial" w:eastAsia="Arial" w:hAnsi="Arial" w:cs="Arial"/>
                <w:b/>
                <w:bCs/>
                <w:sz w:val="14"/>
                <w:szCs w:val="14"/>
              </w:rPr>
              <w:t>VÍA (ARTÍCULO 25)</w:t>
            </w:r>
          </w:p>
        </w:tc>
        <w:tc>
          <w:tcPr>
            <w:tcW w:w="6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A48195"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Inhibitoria: ante el juez que se considera competente.</w:t>
            </w:r>
          </w:p>
        </w:tc>
      </w:tr>
      <w:tr w:rsidR="005F77D6" w14:paraId="4E15EBBD" w14:textId="77777777">
        <w:trPr>
          <w:trHeight w:val="600"/>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B52FD0"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3</w:t>
            </w:r>
          </w:p>
        </w:tc>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F82DE8" w14:textId="77777777" w:rsidR="005F77D6" w:rsidRDefault="00000000">
            <w:pPr>
              <w:spacing w:line="360" w:lineRule="auto"/>
              <w:jc w:val="both"/>
              <w:rPr>
                <w:rFonts w:ascii="Arial" w:eastAsia="Arial" w:hAnsi="Arial" w:cs="Arial"/>
                <w:b/>
                <w:bCs/>
                <w:sz w:val="14"/>
                <w:szCs w:val="14"/>
              </w:rPr>
            </w:pPr>
            <w:r>
              <w:rPr>
                <w:rFonts w:ascii="Arial" w:eastAsia="Arial" w:hAnsi="Arial" w:cs="Arial"/>
                <w:b/>
                <w:bCs/>
                <w:sz w:val="14"/>
                <w:szCs w:val="14"/>
              </w:rPr>
              <w:t>QUIÉN PUEDE PROMOVERLA</w:t>
            </w:r>
          </w:p>
        </w:tc>
        <w:tc>
          <w:tcPr>
            <w:tcW w:w="6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05F41F"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Puede solicitarla:</w:t>
            </w:r>
          </w:p>
          <w:p w14:paraId="3B73371B"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 xml:space="preserve"> • La solicitamos en calidad de víctima Eduardo de Martín Albor Villanueva</w:t>
            </w:r>
          </w:p>
        </w:tc>
      </w:tr>
      <w:tr w:rsidR="005F77D6" w14:paraId="6A8984D6" w14:textId="77777777">
        <w:trPr>
          <w:trHeight w:val="1260"/>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017ED6"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4</w:t>
            </w:r>
          </w:p>
        </w:tc>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6BB507" w14:textId="77777777" w:rsidR="005F77D6" w:rsidRDefault="00000000">
            <w:pPr>
              <w:spacing w:line="360" w:lineRule="auto"/>
              <w:jc w:val="both"/>
              <w:rPr>
                <w:rFonts w:ascii="Arial" w:eastAsia="Arial" w:hAnsi="Arial" w:cs="Arial"/>
                <w:b/>
                <w:bCs/>
                <w:sz w:val="14"/>
                <w:szCs w:val="14"/>
              </w:rPr>
            </w:pPr>
            <w:r>
              <w:rPr>
                <w:rFonts w:ascii="Arial" w:eastAsia="Arial" w:hAnsi="Arial" w:cs="Arial"/>
                <w:b/>
                <w:bCs/>
                <w:sz w:val="14"/>
                <w:szCs w:val="14"/>
              </w:rPr>
              <w:t>OFICIO ENVIADO AL JUEZ DE MÉXICO PARA SUSPENDER LA AUDIENCIA INICIAL</w:t>
            </w:r>
          </w:p>
        </w:tc>
        <w:tc>
          <w:tcPr>
            <w:tcW w:w="6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0CACDA"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El juez a quien se le solicitó la inhibitoria deberá enviarle el juez que a juicio de la víctima u ofendido, es competente que es de la ciudad de Cancún ,</w:t>
            </w:r>
          </w:p>
          <w:p w14:paraId="7A5002D4"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 xml:space="preserve">deberá remitir oficio para que el juez de control radicado en la ciudad de México suspenda y no fije la audiencia inicial solicitada por el ministerio público hasta en tanto no se resuelva la competencia por el juez de control </w:t>
            </w:r>
          </w:p>
        </w:tc>
      </w:tr>
      <w:tr w:rsidR="005F77D6" w14:paraId="277C6C80" w14:textId="77777777">
        <w:trPr>
          <w:trHeight w:val="64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B9EF77"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5</w:t>
            </w:r>
          </w:p>
        </w:tc>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248D62" w14:textId="77777777" w:rsidR="005F77D6" w:rsidRDefault="00000000">
            <w:pPr>
              <w:spacing w:line="360" w:lineRule="auto"/>
              <w:jc w:val="both"/>
              <w:rPr>
                <w:rFonts w:ascii="Arial" w:eastAsia="Arial" w:hAnsi="Arial" w:cs="Arial"/>
                <w:b/>
                <w:bCs/>
                <w:sz w:val="14"/>
                <w:szCs w:val="14"/>
              </w:rPr>
            </w:pPr>
            <w:r>
              <w:rPr>
                <w:rFonts w:ascii="Arial" w:eastAsia="Arial" w:hAnsi="Arial" w:cs="Arial"/>
                <w:b/>
                <w:bCs/>
                <w:sz w:val="14"/>
                <w:szCs w:val="14"/>
              </w:rPr>
              <w:t>RESOLVER EN AUDIENCIA</w:t>
            </w:r>
          </w:p>
        </w:tc>
        <w:tc>
          <w:tcPr>
            <w:tcW w:w="6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50CAAF"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La incompetencia se decide en audiencia, conforme a las formalidades del CNPP.</w:t>
            </w:r>
          </w:p>
        </w:tc>
      </w:tr>
      <w:tr w:rsidR="005F77D6" w14:paraId="2DAF7312" w14:textId="77777777">
        <w:trPr>
          <w:trHeight w:val="1215"/>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5B2491"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6</w:t>
            </w:r>
          </w:p>
        </w:tc>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96C61D" w14:textId="77777777" w:rsidR="005F77D6" w:rsidRDefault="00000000">
            <w:pPr>
              <w:spacing w:line="360" w:lineRule="auto"/>
              <w:jc w:val="both"/>
              <w:rPr>
                <w:rFonts w:ascii="Arial" w:eastAsia="Arial" w:hAnsi="Arial" w:cs="Arial"/>
                <w:b/>
                <w:bCs/>
                <w:sz w:val="14"/>
                <w:szCs w:val="14"/>
              </w:rPr>
            </w:pPr>
            <w:r>
              <w:rPr>
                <w:rFonts w:ascii="Arial" w:eastAsia="Arial" w:hAnsi="Arial" w:cs="Arial"/>
                <w:b/>
                <w:bCs/>
                <w:sz w:val="14"/>
                <w:szCs w:val="14"/>
              </w:rPr>
              <w:t>REGLAS PARA RESOLVER (ART. 26 )</w:t>
            </w:r>
          </w:p>
        </w:tc>
        <w:tc>
          <w:tcPr>
            <w:tcW w:w="6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3B0EB2"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 xml:space="preserve">en caso de que sea entre dos entidades federativas y ambas sostengan su competencia, será el poder judicial federal será quien resuelva qué autoridad federativa es competente </w:t>
            </w:r>
          </w:p>
        </w:tc>
      </w:tr>
      <w:tr w:rsidR="005F77D6" w14:paraId="2BD9C009" w14:textId="77777777">
        <w:trPr>
          <w:trHeight w:val="600"/>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DE3A0D"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7</w:t>
            </w:r>
          </w:p>
        </w:tc>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65ED9F" w14:textId="77777777" w:rsidR="005F77D6" w:rsidRDefault="00000000">
            <w:pPr>
              <w:spacing w:line="360" w:lineRule="auto"/>
              <w:jc w:val="both"/>
              <w:rPr>
                <w:rFonts w:ascii="Arial" w:eastAsia="Arial" w:hAnsi="Arial" w:cs="Arial"/>
                <w:b/>
                <w:bCs/>
                <w:sz w:val="14"/>
                <w:szCs w:val="14"/>
              </w:rPr>
            </w:pPr>
            <w:r>
              <w:rPr>
                <w:rFonts w:ascii="Arial" w:eastAsia="Arial" w:hAnsi="Arial" w:cs="Arial"/>
                <w:b/>
                <w:bCs/>
                <w:sz w:val="14"/>
                <w:szCs w:val="14"/>
              </w:rPr>
              <w:t>EFECTOS DE LA RESOLUCIÓN</w:t>
            </w:r>
          </w:p>
        </w:tc>
        <w:tc>
          <w:tcPr>
            <w:tcW w:w="6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59D1FD"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El órgano competente puede confirmar, modificar, revocar o reponer actos procesales realizados por el juez incompetente.</w:t>
            </w:r>
          </w:p>
        </w:tc>
      </w:tr>
      <w:tr w:rsidR="005F77D6" w14:paraId="43567AB9" w14:textId="77777777">
        <w:trPr>
          <w:trHeight w:val="810"/>
        </w:trPr>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A8ED0A"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8</w:t>
            </w:r>
          </w:p>
        </w:tc>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9A7551" w14:textId="77777777" w:rsidR="005F77D6" w:rsidRDefault="00000000">
            <w:pPr>
              <w:spacing w:line="360" w:lineRule="auto"/>
              <w:jc w:val="both"/>
              <w:rPr>
                <w:rFonts w:ascii="Arial" w:eastAsia="Arial" w:hAnsi="Arial" w:cs="Arial"/>
                <w:b/>
                <w:bCs/>
                <w:sz w:val="14"/>
                <w:szCs w:val="14"/>
              </w:rPr>
            </w:pPr>
            <w:r>
              <w:rPr>
                <w:rFonts w:ascii="Arial" w:eastAsia="Arial" w:hAnsi="Arial" w:cs="Arial"/>
                <w:b/>
                <w:bCs/>
                <w:sz w:val="14"/>
                <w:szCs w:val="14"/>
              </w:rPr>
              <w:t>REMISIÓN DE TODAS LAS ACTUACIONES</w:t>
            </w:r>
          </w:p>
        </w:tc>
        <w:tc>
          <w:tcPr>
            <w:tcW w:w="63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9398B8" w14:textId="77777777" w:rsidR="005F77D6" w:rsidRDefault="00000000">
            <w:pPr>
              <w:spacing w:line="360" w:lineRule="auto"/>
              <w:jc w:val="both"/>
              <w:rPr>
                <w:rFonts w:ascii="Arial" w:eastAsia="Arial" w:hAnsi="Arial" w:cs="Arial"/>
                <w:sz w:val="14"/>
                <w:szCs w:val="14"/>
              </w:rPr>
            </w:pPr>
            <w:r>
              <w:rPr>
                <w:rFonts w:ascii="Arial" w:eastAsia="Arial" w:hAnsi="Arial" w:cs="Arial"/>
                <w:sz w:val="14"/>
                <w:szCs w:val="14"/>
              </w:rPr>
              <w:t>Una vez dirimida la incompetencia, el imputado y los antecedentes del caso se envían inmediatamente al juez competente.</w:t>
            </w:r>
          </w:p>
        </w:tc>
      </w:tr>
    </w:tbl>
    <w:p w14:paraId="67AEE7AB" w14:textId="6BE21E43" w:rsidR="005F77D6" w:rsidRDefault="00000000">
      <w:pPr>
        <w:numPr>
          <w:ilvl w:val="0"/>
          <w:numId w:val="3"/>
        </w:numPr>
        <w:spacing w:before="240" w:after="240" w:line="360" w:lineRule="auto"/>
        <w:jc w:val="both"/>
        <w:rPr>
          <w:rFonts w:ascii="Arial" w:eastAsia="Arial" w:hAnsi="Arial" w:cs="Arial"/>
          <w:b/>
          <w:bCs/>
        </w:rPr>
      </w:pPr>
      <w:r>
        <w:rPr>
          <w:rFonts w:ascii="Arial" w:eastAsia="Arial" w:hAnsi="Arial" w:cs="Arial"/>
          <w:b/>
          <w:bCs/>
        </w:rPr>
        <w:t xml:space="preserve">SE REALIZA LA OBSERVACIÓN DE LA VIOLACION DEL </w:t>
      </w:r>
      <w:r w:rsidR="00177B53">
        <w:rPr>
          <w:rFonts w:ascii="Arial" w:eastAsia="Arial" w:hAnsi="Arial" w:cs="Arial"/>
          <w:b/>
          <w:bCs/>
        </w:rPr>
        <w:t>PROCEDIMIENTO. -</w:t>
      </w:r>
      <w:r>
        <w:rPr>
          <w:rFonts w:ascii="Arial" w:eastAsia="Arial" w:hAnsi="Arial" w:cs="Arial"/>
          <w:b/>
          <w:bCs/>
        </w:rPr>
        <w:t xml:space="preserve"> </w:t>
      </w:r>
    </w:p>
    <w:p w14:paraId="3BFA6A81" w14:textId="77777777" w:rsidR="005F77D6" w:rsidRDefault="00000000">
      <w:pPr>
        <w:spacing w:before="240" w:after="240" w:line="360" w:lineRule="auto"/>
        <w:jc w:val="both"/>
        <w:rPr>
          <w:rFonts w:ascii="Arial" w:eastAsia="Arial" w:hAnsi="Arial" w:cs="Arial"/>
        </w:rPr>
      </w:pPr>
      <w:r>
        <w:rPr>
          <w:rFonts w:ascii="Arial" w:eastAsia="Arial" w:hAnsi="Arial" w:cs="Arial"/>
        </w:rPr>
        <w:t>El artículo 33 señala el siguiente procedimiento:</w:t>
      </w:r>
    </w:p>
    <w:p w14:paraId="10D4B979" w14:textId="77777777" w:rsidR="005F77D6" w:rsidRDefault="00000000">
      <w:pPr>
        <w:spacing w:before="240" w:after="240" w:line="360" w:lineRule="auto"/>
        <w:jc w:val="both"/>
        <w:rPr>
          <w:rFonts w:ascii="Arial" w:eastAsia="Arial" w:hAnsi="Arial" w:cs="Arial"/>
        </w:rPr>
      </w:pPr>
      <w:r>
        <w:rPr>
          <w:rFonts w:ascii="Arial" w:eastAsia="Arial" w:hAnsi="Arial" w:cs="Arial"/>
        </w:rPr>
        <w:t>1.- Se realiza la promoción por las partes.</w:t>
      </w:r>
    </w:p>
    <w:p w14:paraId="4BDC0BEE" w14:textId="34ABCA55" w:rsidR="005F77D6" w:rsidRDefault="00000000">
      <w:pPr>
        <w:spacing w:before="240" w:after="240" w:line="360" w:lineRule="auto"/>
        <w:jc w:val="both"/>
        <w:rPr>
          <w:rFonts w:ascii="Arial" w:eastAsia="Arial" w:hAnsi="Arial" w:cs="Arial"/>
        </w:rPr>
      </w:pPr>
      <w:r>
        <w:rPr>
          <w:rFonts w:ascii="Arial" w:eastAsia="Arial" w:hAnsi="Arial" w:cs="Arial"/>
        </w:rPr>
        <w:t xml:space="preserve">2.- El </w:t>
      </w:r>
      <w:r w:rsidR="00177B53">
        <w:rPr>
          <w:rFonts w:ascii="Arial" w:eastAsia="Arial" w:hAnsi="Arial" w:cs="Arial"/>
        </w:rPr>
        <w:t>Juez debe</w:t>
      </w:r>
      <w:r>
        <w:rPr>
          <w:rFonts w:ascii="Arial" w:eastAsia="Arial" w:hAnsi="Arial" w:cs="Arial"/>
        </w:rPr>
        <w:t xml:space="preserve"> notificar a ambas partes para que en término dentro de 3 </w:t>
      </w:r>
      <w:r w:rsidR="00177B53">
        <w:rPr>
          <w:rFonts w:ascii="Arial" w:eastAsia="Arial" w:hAnsi="Arial" w:cs="Arial"/>
        </w:rPr>
        <w:t>días se</w:t>
      </w:r>
      <w:r>
        <w:rPr>
          <w:rFonts w:ascii="Arial" w:eastAsia="Arial" w:hAnsi="Arial" w:cs="Arial"/>
        </w:rPr>
        <w:t xml:space="preserve"> lleve la audiencia.</w:t>
      </w:r>
    </w:p>
    <w:p w14:paraId="53C29369" w14:textId="26D313D5" w:rsidR="005F77D6" w:rsidRDefault="00000000">
      <w:pPr>
        <w:spacing w:before="240" w:after="240" w:line="360" w:lineRule="auto"/>
        <w:jc w:val="both"/>
        <w:rPr>
          <w:rFonts w:ascii="Arial" w:eastAsia="Arial" w:hAnsi="Arial" w:cs="Arial"/>
        </w:rPr>
      </w:pPr>
      <w:r>
        <w:rPr>
          <w:rFonts w:ascii="Arial" w:eastAsia="Arial" w:hAnsi="Arial" w:cs="Arial"/>
        </w:rPr>
        <w:t xml:space="preserve">3.- Se realiza la audiencia para que bajo el principio </w:t>
      </w:r>
      <w:r w:rsidR="00177B53">
        <w:rPr>
          <w:rFonts w:ascii="Arial" w:eastAsia="Arial" w:hAnsi="Arial" w:cs="Arial"/>
        </w:rPr>
        <w:t>de contradicción se</w:t>
      </w:r>
      <w:r>
        <w:rPr>
          <w:rFonts w:ascii="Arial" w:eastAsia="Arial" w:hAnsi="Arial" w:cs="Arial"/>
        </w:rPr>
        <w:t xml:space="preserve"> realicen las manifestaciones de ambas partes.</w:t>
      </w:r>
    </w:p>
    <w:p w14:paraId="6A9DF6D6" w14:textId="77777777" w:rsidR="005F77D6" w:rsidRDefault="00000000">
      <w:pPr>
        <w:spacing w:before="240" w:after="240" w:line="360" w:lineRule="auto"/>
        <w:jc w:val="both"/>
        <w:rPr>
          <w:rFonts w:ascii="Arial" w:eastAsia="Arial" w:hAnsi="Arial" w:cs="Arial"/>
        </w:rPr>
      </w:pPr>
      <w:r>
        <w:rPr>
          <w:rFonts w:ascii="Arial" w:eastAsia="Arial" w:hAnsi="Arial" w:cs="Arial"/>
        </w:rPr>
        <w:t xml:space="preserve">4.-En la cual se tendrá que resolver en la misma. </w:t>
      </w:r>
    </w:p>
    <w:p w14:paraId="49136BD3" w14:textId="245B774F" w:rsidR="005F77D6" w:rsidRDefault="00000000">
      <w:pPr>
        <w:spacing w:before="240" w:after="240" w:line="360" w:lineRule="auto"/>
        <w:jc w:val="both"/>
        <w:rPr>
          <w:rFonts w:ascii="Arial" w:eastAsia="Arial" w:hAnsi="Arial" w:cs="Arial"/>
        </w:rPr>
      </w:pPr>
      <w:r>
        <w:rPr>
          <w:rFonts w:ascii="Arial" w:eastAsia="Arial" w:hAnsi="Arial" w:cs="Arial"/>
        </w:rPr>
        <w:t xml:space="preserve">Se solicitó que la audiencia inicial no se llevará a cabo en la ciudad de </w:t>
      </w:r>
      <w:r w:rsidR="00177B53">
        <w:rPr>
          <w:rFonts w:ascii="Arial" w:eastAsia="Arial" w:hAnsi="Arial" w:cs="Arial"/>
        </w:rPr>
        <w:t>México</w:t>
      </w:r>
      <w:r>
        <w:rPr>
          <w:rFonts w:ascii="Arial" w:eastAsia="Arial" w:hAnsi="Arial" w:cs="Arial"/>
        </w:rPr>
        <w:t xml:space="preserve"> debido a que se debió de llevar en Cancún, pero esta se dio inicio en la ciudad de </w:t>
      </w:r>
      <w:r w:rsidR="00177B53">
        <w:rPr>
          <w:rFonts w:ascii="Arial" w:eastAsia="Arial" w:hAnsi="Arial" w:cs="Arial"/>
        </w:rPr>
        <w:t>México</w:t>
      </w:r>
      <w:r>
        <w:rPr>
          <w:rFonts w:ascii="Arial" w:eastAsia="Arial" w:hAnsi="Arial" w:cs="Arial"/>
        </w:rPr>
        <w:t xml:space="preserve"> por lo tanto omitieron nuestra petición y no </w:t>
      </w:r>
      <w:r w:rsidR="00177B53">
        <w:rPr>
          <w:rFonts w:ascii="Arial" w:eastAsia="Arial" w:hAnsi="Arial" w:cs="Arial"/>
        </w:rPr>
        <w:t>cumplió</w:t>
      </w:r>
      <w:r>
        <w:rPr>
          <w:rFonts w:ascii="Arial" w:eastAsia="Arial" w:hAnsi="Arial" w:cs="Arial"/>
        </w:rPr>
        <w:t xml:space="preserve"> con las formalidades y violo derechos humanos. </w:t>
      </w:r>
    </w:p>
    <w:p w14:paraId="091C4FB4" w14:textId="77777777" w:rsidR="005F77D6" w:rsidRDefault="00000000">
      <w:pPr>
        <w:spacing w:before="240" w:after="240" w:line="360" w:lineRule="auto"/>
        <w:jc w:val="both"/>
        <w:rPr>
          <w:rFonts w:ascii="Arial" w:eastAsia="Arial" w:hAnsi="Arial" w:cs="Arial"/>
          <w:b/>
          <w:bCs/>
        </w:rPr>
      </w:pPr>
      <w:r>
        <w:rPr>
          <w:rFonts w:ascii="Arial" w:eastAsia="Arial" w:hAnsi="Arial" w:cs="Arial"/>
          <w:b/>
          <w:bCs/>
        </w:rPr>
        <w:t>2. OMISIÓN DE AUDIENCIA, CONTRADICCIÓN Y SUSPENSIÓN OBLIGATORIA DE ACTOS DEL JUEZ DE CONTROL DE LA CIUDAD DE MÉXICO.</w:t>
      </w:r>
    </w:p>
    <w:p w14:paraId="1E2A5BE6" w14:textId="77777777" w:rsidR="005F77D6" w:rsidRDefault="00000000">
      <w:pPr>
        <w:spacing w:before="240" w:after="240" w:line="360" w:lineRule="auto"/>
        <w:jc w:val="both"/>
        <w:rPr>
          <w:rFonts w:ascii="Arial" w:eastAsia="Arial" w:hAnsi="Arial" w:cs="Arial"/>
        </w:rPr>
      </w:pPr>
      <w:r>
        <w:rPr>
          <w:rFonts w:ascii="Arial" w:eastAsia="Arial" w:hAnsi="Arial" w:cs="Arial"/>
        </w:rPr>
        <w:t xml:space="preserve">El acto impugnado es inconstitucional porque el juez responsable omitió tramitar y resolver la inhibitoria conforme a las reglas esenciales del sistema procesal penal </w:t>
      </w:r>
      <w:r>
        <w:rPr>
          <w:rFonts w:ascii="Arial" w:eastAsia="Arial" w:hAnsi="Arial" w:cs="Arial"/>
        </w:rPr>
        <w:lastRenderedPageBreak/>
        <w:t>acusatorio, regulado por el artículo 20 de la Constitución y por los artículos 25, 26 y 28 del Código Nacional de Procedimientos Penales. La inhibitoria no puede resolverse mediante un acuerdo lacónico y carente de motivación; por el contrario, su análisis exige necesariamente la celebración de audiencia oral, el respeto al principio de contradicción y la obligación de suspender cualquier actuación en la sede distinta hasta que se resuelva la competencia. La autoridad responsable ignoró cada uno de estos deberes, violando gravemente las garantías constitucionales del promovente.</w:t>
      </w:r>
    </w:p>
    <w:p w14:paraId="5A14402C" w14:textId="77777777" w:rsidR="005F77D6" w:rsidRDefault="00000000">
      <w:pPr>
        <w:spacing w:before="240" w:after="240" w:line="360" w:lineRule="auto"/>
        <w:jc w:val="both"/>
        <w:rPr>
          <w:rFonts w:ascii="Arial" w:eastAsia="Arial" w:hAnsi="Arial" w:cs="Arial"/>
          <w:b/>
          <w:bCs/>
        </w:rPr>
      </w:pPr>
      <w:r>
        <w:rPr>
          <w:rFonts w:ascii="Arial" w:eastAsia="Arial" w:hAnsi="Arial" w:cs="Arial"/>
          <w:b/>
          <w:bCs/>
        </w:rPr>
        <w:t>A) Violación al principio de ORALIDAD: el juez se negó a realizar la audiencia obligatoria para resolver la inhibitoria</w:t>
      </w:r>
    </w:p>
    <w:p w14:paraId="55EECBF9" w14:textId="77777777" w:rsidR="005F77D6" w:rsidRDefault="00000000">
      <w:pPr>
        <w:spacing w:before="240" w:after="240" w:line="360" w:lineRule="auto"/>
        <w:jc w:val="both"/>
        <w:rPr>
          <w:rFonts w:ascii="Arial" w:eastAsia="Arial" w:hAnsi="Arial" w:cs="Arial"/>
        </w:rPr>
      </w:pPr>
      <w:r>
        <w:rPr>
          <w:rFonts w:ascii="Arial" w:eastAsia="Arial" w:hAnsi="Arial" w:cs="Arial"/>
        </w:rPr>
        <w:t>Conforme al diseño del sistema acusatorio, las cuestiones de competencia no pueden ser resueltas mediante simples acuerdos escritos. La ley exige que la inhibitoria se plantee y se decida en una audiencia oral, con participación directa de las partes, exposición de argumentos, debate jurídico y emisión de una resolución fundada. El artículo 20 constitucional establece que el proceso penal debe ser regido por la oralidad, que implica la inmediación del juez, la participación dinámica de las partes y la transparencia en la deliberación.</w:t>
      </w:r>
    </w:p>
    <w:p w14:paraId="4513F031" w14:textId="77777777" w:rsidR="005F77D6" w:rsidRDefault="00000000">
      <w:pPr>
        <w:spacing w:before="240" w:after="240" w:line="360" w:lineRule="auto"/>
        <w:jc w:val="both"/>
        <w:rPr>
          <w:rFonts w:ascii="Arial" w:eastAsia="Arial" w:hAnsi="Arial" w:cs="Arial"/>
        </w:rPr>
      </w:pPr>
      <w:r>
        <w:rPr>
          <w:rFonts w:ascii="Arial" w:eastAsia="Arial" w:hAnsi="Arial" w:cs="Arial"/>
        </w:rPr>
        <w:t>No obstante, el juez responsable decidió evadir por completo este mandato. Sin convocar a audiencia, sin escuchar al promovente, sin permitir el debate, sin valorar la información recabada en la carpeta de investigación de Quintana Roo y sin examinar los actos ministeriales que dieron origen al conflicto, resolvió mediante un simple acuerdo lacónico. Esta actuación no sólo contradice la naturaleza misma del sistema penal acusatorio, sino que también impide que las partes expongan los hechos esenciales que justifican la competencia territorial.</w:t>
      </w:r>
    </w:p>
    <w:p w14:paraId="28F24E63" w14:textId="77777777" w:rsidR="005F77D6" w:rsidRDefault="00000000">
      <w:pPr>
        <w:spacing w:before="240" w:after="240" w:line="360" w:lineRule="auto"/>
        <w:jc w:val="both"/>
        <w:rPr>
          <w:rFonts w:ascii="Arial" w:eastAsia="Arial" w:hAnsi="Arial" w:cs="Arial"/>
        </w:rPr>
      </w:pPr>
      <w:r>
        <w:rPr>
          <w:rFonts w:ascii="Arial" w:eastAsia="Arial" w:hAnsi="Arial" w:cs="Arial"/>
        </w:rPr>
        <w:t>En audiencia debió analizarse que la retoma del inmueble, supuestamente atribuida al quejoso en la carpeta de Ciudad de México, fue en realidad una actuación ordenada por la Fiscalía de Quintana Roo; que la carpeta por despojo fue iniciada en Cancún el mismo día de los hechos; que los documentos anexados al escrito acreditaban la territorialidad exclusiva de los eventos; que la duplicidad de investigaciones afectaba la tutela judicial efectiva; y que la actuación irregular del actuario de la Ciudad de México contaminó la validez de la carpeta promovida en aquella sede.</w:t>
      </w:r>
    </w:p>
    <w:p w14:paraId="72B5E37C" w14:textId="77777777" w:rsidR="005F77D6" w:rsidRDefault="00000000">
      <w:pPr>
        <w:spacing w:before="240" w:after="240" w:line="360" w:lineRule="auto"/>
        <w:jc w:val="both"/>
        <w:rPr>
          <w:rFonts w:ascii="Arial" w:eastAsia="Arial" w:hAnsi="Arial" w:cs="Arial"/>
        </w:rPr>
      </w:pPr>
      <w:r>
        <w:rPr>
          <w:rFonts w:ascii="Arial" w:eastAsia="Arial" w:hAnsi="Arial" w:cs="Arial"/>
        </w:rPr>
        <w:t>Sin audiencia, ninguna de estas cuestiones fue examinada. La omisión constituye una violación directa a las reglas de oralidad que rigen la competencia penal y evidencia una denegación de justicia material.</w:t>
      </w:r>
    </w:p>
    <w:p w14:paraId="46E4FCBD" w14:textId="77777777" w:rsidR="005F77D6" w:rsidRDefault="00000000">
      <w:pPr>
        <w:pStyle w:val="Ttulo2"/>
        <w:keepNext w:val="0"/>
        <w:keepLines w:val="0"/>
        <w:spacing w:before="360" w:after="80" w:line="360" w:lineRule="auto"/>
        <w:jc w:val="both"/>
        <w:rPr>
          <w:rFonts w:ascii="Arial" w:eastAsia="Arial" w:hAnsi="Arial" w:cs="Arial"/>
          <w:b/>
          <w:bCs/>
          <w:color w:val="000000"/>
          <w:sz w:val="24"/>
          <w:szCs w:val="24"/>
        </w:rPr>
      </w:pPr>
      <w:bookmarkStart w:id="0" w:name="_heading=h.c8ll8nmm093j" w:colFirst="0" w:colLast="0"/>
      <w:bookmarkEnd w:id="0"/>
      <w:r>
        <w:rPr>
          <w:rFonts w:ascii="Arial" w:eastAsia="Arial" w:hAnsi="Arial" w:cs="Arial"/>
          <w:b/>
          <w:bCs/>
          <w:color w:val="000000"/>
          <w:sz w:val="24"/>
          <w:szCs w:val="24"/>
        </w:rPr>
        <w:t>B) Violación al principio de CONTRADICCIÓN: el juez impidió el debate procesal indispensable para resolver la competencia</w:t>
      </w:r>
    </w:p>
    <w:p w14:paraId="59C0BFB1" w14:textId="77777777" w:rsidR="005F77D6" w:rsidRDefault="00000000">
      <w:pPr>
        <w:spacing w:before="240" w:after="240" w:line="360" w:lineRule="auto"/>
        <w:jc w:val="both"/>
        <w:rPr>
          <w:rFonts w:ascii="Arial" w:eastAsia="Arial" w:hAnsi="Arial" w:cs="Arial"/>
        </w:rPr>
      </w:pPr>
      <w:r>
        <w:rPr>
          <w:rFonts w:ascii="Arial" w:eastAsia="Arial" w:hAnsi="Arial" w:cs="Arial"/>
        </w:rPr>
        <w:lastRenderedPageBreak/>
        <w:t>Además de la oralidad, el artículo 20 constitucional establece que el sistema penal debe regirse por la contradicción, que garantiza que todas las partes puedan presentar sus argumentos, rebatir los planteamientos contrarios, aportar información y responder a la pretensión de la autoridad o de las partes procesales. Sin el ejercicio pleno de la contradicción, ninguna decisión judicial en materia penal puede considerarse válida.</w:t>
      </w:r>
    </w:p>
    <w:p w14:paraId="5286CBC1" w14:textId="77777777" w:rsidR="005F77D6" w:rsidRDefault="00000000">
      <w:pPr>
        <w:spacing w:before="240" w:after="240" w:line="360" w:lineRule="auto"/>
        <w:jc w:val="both"/>
        <w:rPr>
          <w:rFonts w:ascii="Arial" w:eastAsia="Arial" w:hAnsi="Arial" w:cs="Arial"/>
        </w:rPr>
      </w:pPr>
      <w:r>
        <w:rPr>
          <w:rFonts w:ascii="Arial" w:eastAsia="Arial" w:hAnsi="Arial" w:cs="Arial"/>
        </w:rPr>
        <w:t>El juez responsable, sin embargo, impidió al promovente ejercer este derecho. Al no convocar a audiencia, se privó al quejoso de su derecho a explicar por qué los hechos investigados en Ciudad de México ocurrieron realmente en Cancún; a demostrar que la retoma del inmueble fue ejecutada por orden del Ministerio Público de Quintana Roo; a refutar la imputación ficticia de desobediencia; a señalar la duplicidad de investigaciones; a exhibir las irregularidades en la actuación del actuario mercantil; a exponer cómo la carpeta de CDMX se originó a partir de una ilegalidad de un servidor judicial ajeno al territorio; y ya mostro que existe una carpeta previa en Quintana Roo por delito de mayor penalidad.</w:t>
      </w:r>
    </w:p>
    <w:p w14:paraId="18439EE1" w14:textId="77777777" w:rsidR="005F77D6" w:rsidRDefault="00000000">
      <w:pPr>
        <w:spacing w:before="240" w:after="240" w:line="360" w:lineRule="auto"/>
        <w:jc w:val="both"/>
        <w:rPr>
          <w:rFonts w:ascii="Arial" w:eastAsia="Arial" w:hAnsi="Arial" w:cs="Arial"/>
        </w:rPr>
      </w:pPr>
      <w:r>
        <w:rPr>
          <w:rFonts w:ascii="Arial" w:eastAsia="Arial" w:hAnsi="Arial" w:cs="Arial"/>
        </w:rPr>
        <w:t>No puede concebirse resolución válida sobre competencia cuando la autoridad se niega a oír a la parte promovente. La contradicción es indispensable para que el juez conozca la verdad procesal y adopte una resolución completa y congruente. La falta de contradicción convierte a la resolución impugnada en un acto arbitrario que viola el debido proceso, el derecho de defensa y los principios rectores del sistema acusatorio.</w:t>
      </w:r>
    </w:p>
    <w:p w14:paraId="7532E990" w14:textId="77777777" w:rsidR="005F77D6" w:rsidRDefault="00000000">
      <w:pPr>
        <w:spacing w:before="240" w:after="240" w:line="360" w:lineRule="auto"/>
        <w:jc w:val="both"/>
        <w:rPr>
          <w:rFonts w:ascii="Arial" w:eastAsia="Arial" w:hAnsi="Arial" w:cs="Arial"/>
        </w:rPr>
      </w:pPr>
      <w:r>
        <w:rPr>
          <w:rFonts w:ascii="Arial" w:eastAsia="Arial" w:hAnsi="Arial" w:cs="Arial"/>
        </w:rPr>
        <w:t>En este caso, la ausencia de debate permitió que una investigación territorialmente incompetente avanzara sin control y sin ser examinada en origen, lo cual agrava la lesión a los derechos fundamentales del promovente.</w:t>
      </w:r>
    </w:p>
    <w:p w14:paraId="3D37329F" w14:textId="77777777" w:rsidR="005F77D6" w:rsidRDefault="00000000">
      <w:pPr>
        <w:pStyle w:val="Ttulo2"/>
        <w:keepNext w:val="0"/>
        <w:keepLines w:val="0"/>
        <w:spacing w:before="360" w:after="80" w:line="360" w:lineRule="auto"/>
        <w:jc w:val="both"/>
        <w:rPr>
          <w:rFonts w:ascii="Arial" w:eastAsia="Arial" w:hAnsi="Arial" w:cs="Arial"/>
          <w:b/>
          <w:bCs/>
          <w:color w:val="000000"/>
          <w:sz w:val="24"/>
          <w:szCs w:val="24"/>
        </w:rPr>
      </w:pPr>
      <w:bookmarkStart w:id="1" w:name="_heading=h.e1y3vqu6ywv" w:colFirst="0" w:colLast="0"/>
      <w:bookmarkEnd w:id="1"/>
      <w:r>
        <w:rPr>
          <w:rFonts w:ascii="Arial" w:eastAsia="Arial" w:hAnsi="Arial" w:cs="Arial"/>
          <w:b/>
          <w:bCs/>
          <w:color w:val="000000"/>
          <w:sz w:val="24"/>
          <w:szCs w:val="24"/>
        </w:rPr>
        <w:t>C) Violación al artículo 26</w:t>
      </w:r>
      <w:r>
        <w:rPr>
          <w:rFonts w:ascii="Arial" w:eastAsia="Arial" w:hAnsi="Arial" w:cs="Arial"/>
          <w:color w:val="000000"/>
          <w:sz w:val="24"/>
          <w:szCs w:val="24"/>
          <w:vertAlign w:val="superscript"/>
        </w:rPr>
        <w:footnoteReference w:id="2"/>
      </w:r>
      <w:r>
        <w:rPr>
          <w:rFonts w:ascii="Arial" w:eastAsia="Arial" w:hAnsi="Arial" w:cs="Arial"/>
          <w:b/>
          <w:bCs/>
          <w:color w:val="000000"/>
          <w:sz w:val="24"/>
          <w:szCs w:val="24"/>
        </w:rPr>
        <w:t xml:space="preserve"> Código Nacional de Procedimientos Penales: el juez estaba obligado a enviar oficio al Juez de Control de la Ciudad de México</w:t>
      </w:r>
      <w:r>
        <w:rPr>
          <w:rFonts w:ascii="Arial" w:eastAsia="Arial" w:hAnsi="Arial" w:cs="Arial"/>
          <w:color w:val="000000"/>
          <w:sz w:val="24"/>
          <w:szCs w:val="24"/>
        </w:rPr>
        <w:t xml:space="preserve"> </w:t>
      </w:r>
      <w:r>
        <w:rPr>
          <w:rFonts w:ascii="Arial" w:eastAsia="Arial" w:hAnsi="Arial" w:cs="Arial"/>
          <w:b/>
          <w:bCs/>
          <w:color w:val="000000"/>
          <w:sz w:val="24"/>
          <w:szCs w:val="24"/>
        </w:rPr>
        <w:t>para suspender la audiencia inicial, y omitió hacerlo</w:t>
      </w:r>
    </w:p>
    <w:p w14:paraId="099DDA9A" w14:textId="652A508D" w:rsidR="005F77D6" w:rsidRDefault="00000000">
      <w:pPr>
        <w:spacing w:before="240" w:after="240" w:line="360" w:lineRule="auto"/>
        <w:jc w:val="both"/>
        <w:rPr>
          <w:rFonts w:ascii="Arial" w:eastAsia="Arial" w:hAnsi="Arial" w:cs="Arial"/>
        </w:rPr>
      </w:pPr>
      <w:r>
        <w:rPr>
          <w:rFonts w:ascii="Arial" w:eastAsia="Arial" w:hAnsi="Arial" w:cs="Arial"/>
        </w:rPr>
        <w:t xml:space="preserve">La ley procesal es contundente: cuando una de las partes promueve inhibitoria, el juez que la recibe debe comunicar inmediatamente a la sede diversa para que se suspenda cualquier audiencia o actuación relacionada con el caso en curso, hasta que se resuelva el conflicto de competencia. Esta suspensión es obligatoria. No depende del criterio del juez. No es facultativa. Es un mandato legal previsto expresamente en el artículo 26 del </w:t>
      </w:r>
      <w:r w:rsidR="00177B53">
        <w:rPr>
          <w:rFonts w:ascii="Arial" w:eastAsia="Arial" w:hAnsi="Arial" w:cs="Arial"/>
        </w:rPr>
        <w:t>Código</w:t>
      </w:r>
      <w:r>
        <w:rPr>
          <w:rFonts w:ascii="Arial" w:eastAsia="Arial" w:hAnsi="Arial" w:cs="Arial"/>
        </w:rPr>
        <w:t xml:space="preserve"> Nacional de Procedimientos Penales, </w:t>
      </w:r>
      <w:r>
        <w:rPr>
          <w:rFonts w:ascii="Arial" w:eastAsia="Arial" w:hAnsi="Arial" w:cs="Arial"/>
        </w:rPr>
        <w:lastRenderedPageBreak/>
        <w:t>cuyo propósito es evitar duplicidad, invasión territorial e imputaciones ilegales ante juez incompetente.</w:t>
      </w:r>
    </w:p>
    <w:p w14:paraId="07D7FB73" w14:textId="77777777" w:rsidR="005F77D6" w:rsidRDefault="00000000">
      <w:pPr>
        <w:spacing w:before="240" w:after="240" w:line="360" w:lineRule="auto"/>
        <w:jc w:val="both"/>
        <w:rPr>
          <w:rFonts w:ascii="Arial" w:eastAsia="Arial" w:hAnsi="Arial" w:cs="Arial"/>
        </w:rPr>
      </w:pPr>
      <w:r>
        <w:rPr>
          <w:rFonts w:ascii="Arial" w:eastAsia="Arial" w:hAnsi="Arial" w:cs="Arial"/>
        </w:rPr>
        <w:t>El archivo proporcionado demuestra que, al momento de promover la inhibitoria, ya existía solicitud de audiencia inicial en Ciudad de México, programada por el Ministerio Público de aquella entidad. Por ello, el juez de Cancún tenía el deber inmediato de notificar a la autoridad de Ciudad de México para que suspendieran sus actuaciones. Sin embargo, el juez responsable omitió por completo esta obligación. No envió oficio, no ordenó suspensión, no realizó comunicación alguna. Dejó al promovente en riesgo de ser imputado por una autoridad incompetente territorialmente, permitiendo que el procedimiento en Ciudad de México avanzara sin el análisis de competencia que él mismo estaba obligado a realizar.</w:t>
      </w:r>
    </w:p>
    <w:p w14:paraId="03D6126B" w14:textId="77777777" w:rsidR="005F77D6" w:rsidRDefault="00000000">
      <w:pPr>
        <w:spacing w:before="240" w:after="240" w:line="360" w:lineRule="auto"/>
        <w:jc w:val="both"/>
        <w:rPr>
          <w:rFonts w:ascii="Arial" w:eastAsia="Arial" w:hAnsi="Arial" w:cs="Arial"/>
        </w:rPr>
      </w:pPr>
      <w:r>
        <w:rPr>
          <w:rFonts w:ascii="Arial" w:eastAsia="Arial" w:hAnsi="Arial" w:cs="Arial"/>
        </w:rPr>
        <w:t>La omisión del oficio no es una simple falta administrativa: produce consecuencias jurídicas gravísimas. Permite que se formulen imputaciones, se ejecuten actos de molestia y se continúen diligencias en una sede que carece de jurisdicción. Además, perpetúa la duplicidad de investigaciones, vulnera el principio de seguridad jurídica y contraviene el derecho al juez natural.</w:t>
      </w:r>
    </w:p>
    <w:p w14:paraId="468D49B8" w14:textId="3CAA853C" w:rsidR="005F77D6" w:rsidRDefault="00000000">
      <w:pPr>
        <w:spacing w:before="240" w:after="240" w:line="360" w:lineRule="auto"/>
        <w:jc w:val="both"/>
        <w:rPr>
          <w:rFonts w:ascii="Arial" w:eastAsia="Arial" w:hAnsi="Arial" w:cs="Arial"/>
        </w:rPr>
      </w:pPr>
      <w:r>
        <w:rPr>
          <w:rFonts w:ascii="Arial" w:eastAsia="Arial" w:hAnsi="Arial" w:cs="Arial"/>
          <w:b/>
          <w:bCs/>
        </w:rPr>
        <w:t xml:space="preserve">SEGUNDA </w:t>
      </w:r>
      <w:r w:rsidR="00177B53">
        <w:rPr>
          <w:rFonts w:ascii="Arial" w:eastAsia="Arial" w:hAnsi="Arial" w:cs="Arial"/>
          <w:b/>
          <w:bCs/>
        </w:rPr>
        <w:t>REFUTATIO</w:t>
      </w:r>
      <w:r>
        <w:rPr>
          <w:rFonts w:ascii="Arial" w:eastAsia="Arial" w:hAnsi="Arial" w:cs="Arial"/>
          <w:b/>
          <w:bCs/>
        </w:rPr>
        <w:t xml:space="preserve">.- SE VIOLA ARTÍCULO 14 DE LA CONSTITUCIÓN POLÍTICA DE LOS ESTADOS UNIDOS MEXICANOS, EN CUANTO AL PRINCIPIO DEL EFECTO RETROACTIVO. </w:t>
      </w:r>
      <w:r>
        <w:rPr>
          <w:rFonts w:ascii="Arial" w:eastAsia="Arial" w:hAnsi="Arial" w:cs="Arial"/>
        </w:rPr>
        <w:t xml:space="preserve">  </w:t>
      </w:r>
    </w:p>
    <w:p w14:paraId="3551F02F" w14:textId="77777777" w:rsidR="005F77D6" w:rsidRDefault="00000000">
      <w:pPr>
        <w:spacing w:before="240" w:after="240" w:line="360" w:lineRule="auto"/>
        <w:jc w:val="both"/>
        <w:rPr>
          <w:rFonts w:ascii="Arial" w:eastAsia="Arial" w:hAnsi="Arial" w:cs="Arial"/>
        </w:rPr>
      </w:pPr>
      <w:r>
        <w:rPr>
          <w:rFonts w:ascii="Arial" w:eastAsia="Arial" w:hAnsi="Arial" w:cs="Arial"/>
        </w:rPr>
        <w:t>La decisión del juez de control de negar la inhibitoria alegando que las “pretensiones deberán hacerse valer ante la autoridad correspondiente” es jurídicamente insostenible, pues el juez responsable partió de una premisa inexistente: la existencia de una “autoridad correspondiente” distinta a él, sin justificar quién sería, por qué lo sería, en qué fundamento legal se apoyaba para rechazar la inhibitoria y, sobre todo, sin explicar por qué él no era competente.</w:t>
      </w:r>
    </w:p>
    <w:p w14:paraId="23781AD6" w14:textId="77777777" w:rsidR="005F77D6" w:rsidRDefault="00000000">
      <w:pPr>
        <w:spacing w:before="240" w:after="240" w:line="360" w:lineRule="auto"/>
        <w:jc w:val="both"/>
        <w:rPr>
          <w:rFonts w:ascii="Arial" w:eastAsia="Arial" w:hAnsi="Arial" w:cs="Arial"/>
        </w:rPr>
      </w:pPr>
      <w:r>
        <w:rPr>
          <w:rFonts w:ascii="Arial" w:eastAsia="Arial" w:hAnsi="Arial" w:cs="Arial"/>
        </w:rPr>
        <w:t>En artículo 28</w:t>
      </w:r>
      <w:r>
        <w:rPr>
          <w:rFonts w:ascii="Arial" w:eastAsia="Arial" w:hAnsi="Arial" w:cs="Arial"/>
          <w:vertAlign w:val="superscript"/>
        </w:rPr>
        <w:footnoteReference w:id="3"/>
      </w:r>
      <w:r>
        <w:rPr>
          <w:rFonts w:ascii="Arial" w:eastAsia="Arial" w:hAnsi="Arial" w:cs="Arial"/>
        </w:rPr>
        <w:t xml:space="preserve"> del Código Nacional de Procedimientos Penales es claro: la inhibitoria debe presentarse ante el juez que se considera competente, y ese juez debe estudiarla. La ley no autoriza rechazar la solicitud ni remitir a un ente abstracto. El juez responsable construyó una figura inexistente, violando el principio de legalidad previsto en el artículo 16 constitucional.</w:t>
      </w:r>
    </w:p>
    <w:p w14:paraId="51AA3C76" w14:textId="77777777" w:rsidR="005F77D6" w:rsidRDefault="00000000">
      <w:pPr>
        <w:spacing w:before="240" w:after="240" w:line="360" w:lineRule="auto"/>
        <w:jc w:val="both"/>
        <w:rPr>
          <w:rFonts w:ascii="Arial" w:eastAsia="Arial" w:hAnsi="Arial" w:cs="Arial"/>
        </w:rPr>
      </w:pPr>
      <w:r>
        <w:rPr>
          <w:rFonts w:ascii="Arial" w:eastAsia="Arial" w:hAnsi="Arial" w:cs="Arial"/>
        </w:rPr>
        <w:t xml:space="preserve">Además, el escrito de incompetencia por inhibitoria presentado en fecha 21 de octubre del año 2025, demuestra que todos los elementos de competencia estaban plenamente acreditados a favor de Quintana Roo. El inmueble se encuentra en Cancún; las diligencias relevantes ocurrieron en Cancún; la policía estatal intervino en Cancún; la carpeta previa por despojo se inició en Cancún; la Fiscalía de </w:t>
      </w:r>
      <w:r>
        <w:rPr>
          <w:rFonts w:ascii="Arial" w:eastAsia="Arial" w:hAnsi="Arial" w:cs="Arial"/>
        </w:rPr>
        <w:lastRenderedPageBreak/>
        <w:t>Quintana Roo ordenó el aseguramiento del inmueble; los testigos, peritajes y acciones materiales fueron ejecutados en la jurisdicción del estado. Incluso la supuesta conducta que da origen a la investigación en Ciudad de México —la retoma del inmueble— es directa del cumplimiento de un mandato de un Juez del Estado de Quintana Roo.</w:t>
      </w:r>
    </w:p>
    <w:p w14:paraId="0ADE67F7" w14:textId="77777777" w:rsidR="005F77D6" w:rsidRDefault="00000000">
      <w:pPr>
        <w:spacing w:before="240" w:after="240" w:line="360" w:lineRule="auto"/>
        <w:jc w:val="both"/>
        <w:rPr>
          <w:rFonts w:ascii="Arial" w:eastAsia="Arial" w:hAnsi="Arial" w:cs="Arial"/>
        </w:rPr>
      </w:pPr>
      <w:r>
        <w:rPr>
          <w:rFonts w:ascii="Arial" w:eastAsia="Arial" w:hAnsi="Arial" w:cs="Arial"/>
        </w:rPr>
        <w:t>La autoridad responsable pasó por alto también que la penalidad del delito investigado en Quintana Roo (despojo) es superior a la del delito imputado en Ciudad de México (desobediencia de particulares), por lo que conforme al artículo 31</w:t>
      </w:r>
      <w:r>
        <w:rPr>
          <w:rFonts w:ascii="Arial" w:eastAsia="Arial" w:hAnsi="Arial" w:cs="Arial"/>
          <w:vertAlign w:val="superscript"/>
        </w:rPr>
        <w:footnoteReference w:id="4"/>
      </w:r>
      <w:r>
        <w:rPr>
          <w:rFonts w:ascii="Arial" w:eastAsia="Arial" w:hAnsi="Arial" w:cs="Arial"/>
        </w:rPr>
        <w:t xml:space="preserve"> del Código Nacional de Procedimientos Penales, la competencia debe residir en el territorio donde se persigue el delito más grave. No existe un solo razonamiento en la resolución impugnada que explique por qué este principio no fue aplicado.</w:t>
      </w:r>
    </w:p>
    <w:p w14:paraId="11473431" w14:textId="77777777" w:rsidR="005F77D6" w:rsidRDefault="00000000">
      <w:pPr>
        <w:spacing w:before="240" w:after="240" w:line="360" w:lineRule="auto"/>
        <w:jc w:val="both"/>
        <w:rPr>
          <w:rFonts w:ascii="Arial" w:eastAsia="Arial" w:hAnsi="Arial" w:cs="Arial"/>
        </w:rPr>
      </w:pPr>
      <w:r>
        <w:rPr>
          <w:rFonts w:ascii="Arial" w:eastAsia="Arial" w:hAnsi="Arial" w:cs="Arial"/>
        </w:rPr>
        <w:t>El juez tampoco examinó la conexidad procesal. La carpeta iniciada en Ciudad de México deriva directamente de una secuencia de hechos que ya estaban siendo investigados en Quintana Roo. Esta conexión, además de evidente, está plenamente demostrada por los documentos anexos en el archivo, donde se observa que la supuesta conducta imputada en Ciudad de México es simplemente la continuación de los hechos que originaron la carpeta por despojo. La conexidad obliga a que un mismo juez conozca la totalidad del conflicto.</w:t>
      </w:r>
    </w:p>
    <w:p w14:paraId="73A9FDE2" w14:textId="77777777" w:rsidR="005F77D6" w:rsidRDefault="00000000">
      <w:pPr>
        <w:spacing w:before="240" w:after="240" w:line="360" w:lineRule="auto"/>
        <w:jc w:val="both"/>
        <w:rPr>
          <w:rFonts w:ascii="Arial" w:eastAsia="Arial" w:hAnsi="Arial" w:cs="Arial"/>
        </w:rPr>
      </w:pPr>
      <w:r>
        <w:rPr>
          <w:rFonts w:ascii="Arial" w:eastAsia="Arial" w:hAnsi="Arial" w:cs="Arial"/>
        </w:rPr>
        <w:t>Tampoco se estudió la prevención, pues la carpeta de Quintana Roo fue iniciada primero y tiene origen en el hecho transformador inicial. Ni se analizó la proporcionalidad de la persecución penal, ni el riesgo de duplicidad procesal, ni la invasión territorial que supone que la Fiscalía de Ciudad de México intente investigar hechos ocurridos íntegramente en Cancún.</w:t>
      </w:r>
    </w:p>
    <w:p w14:paraId="5B7DCF3F" w14:textId="08DD381C" w:rsidR="005F77D6" w:rsidRDefault="00000000">
      <w:pPr>
        <w:spacing w:before="240" w:after="240" w:line="360" w:lineRule="auto"/>
        <w:jc w:val="both"/>
        <w:rPr>
          <w:rFonts w:ascii="Arial" w:eastAsia="Arial" w:hAnsi="Arial" w:cs="Arial"/>
        </w:rPr>
      </w:pPr>
      <w:r>
        <w:rPr>
          <w:rFonts w:ascii="Arial" w:eastAsia="Arial" w:hAnsi="Arial" w:cs="Arial"/>
        </w:rPr>
        <w:t xml:space="preserve">La decisión </w:t>
      </w:r>
      <w:r w:rsidR="00177B53">
        <w:rPr>
          <w:rFonts w:ascii="Arial" w:eastAsia="Arial" w:hAnsi="Arial" w:cs="Arial"/>
        </w:rPr>
        <w:t>de la juez responsable reducida</w:t>
      </w:r>
      <w:r>
        <w:rPr>
          <w:rFonts w:ascii="Arial" w:eastAsia="Arial" w:hAnsi="Arial" w:cs="Arial"/>
        </w:rPr>
        <w:t xml:space="preserve"> a un “no se accede” es incompatible con un examen de competencia, con el principio de juez natural, con la lógica del sistema acusatorio y con los principios básicos de territorialidad. La falta de motivación, de razonamiento y de análisis convierte la decisión en una renuncia injustificada a ejercer la competencia que la ley le otorga, lo que constituye una denegación de justicia y una violación directa al artículo 20 constitucional.</w:t>
      </w:r>
    </w:p>
    <w:p w14:paraId="04847F61" w14:textId="77777777" w:rsidR="005F77D6" w:rsidRDefault="00000000">
      <w:pPr>
        <w:spacing w:before="213" w:line="360" w:lineRule="auto"/>
        <w:jc w:val="center"/>
        <w:rPr>
          <w:rFonts w:ascii="Arial" w:eastAsia="Arial" w:hAnsi="Arial" w:cs="Arial"/>
        </w:rPr>
      </w:pPr>
      <w:r>
        <w:rPr>
          <w:rFonts w:ascii="Arial" w:eastAsia="Arial" w:hAnsi="Arial" w:cs="Arial"/>
          <w:b/>
          <w:bCs/>
        </w:rPr>
        <w:t>IX. CAPÍTULO DE SUSPENSIÓN</w:t>
      </w:r>
    </w:p>
    <w:p w14:paraId="6A175765" w14:textId="77777777" w:rsidR="005F77D6" w:rsidRDefault="00000000">
      <w:pPr>
        <w:spacing w:before="213" w:line="360" w:lineRule="auto"/>
        <w:jc w:val="both"/>
        <w:rPr>
          <w:rFonts w:ascii="Arial" w:eastAsia="Arial" w:hAnsi="Arial" w:cs="Arial"/>
        </w:rPr>
      </w:pPr>
      <w:r>
        <w:rPr>
          <w:rFonts w:ascii="Arial" w:eastAsia="Arial" w:hAnsi="Arial" w:cs="Arial"/>
        </w:rPr>
        <w:t xml:space="preserve">En términos de los artículos </w:t>
      </w:r>
      <w:r>
        <w:rPr>
          <w:rFonts w:ascii="Arial" w:eastAsia="Arial" w:hAnsi="Arial" w:cs="Arial"/>
          <w:b/>
          <w:bCs/>
        </w:rPr>
        <w:t>125, 126, 127, 128, 129</w:t>
      </w:r>
      <w:r>
        <w:rPr>
          <w:rFonts w:ascii="Arial" w:eastAsia="Arial" w:hAnsi="Arial" w:cs="Arial"/>
        </w:rPr>
        <w:t xml:space="preserve"> y demás relativos de la Ley de Amparo, solicito a Su Señoría se conceda la suspensión provisional y, en su momento, la suspensión definitiva de los actos reclamados, en virtud de que la omisión del juez responsable de tramitar y resolver debidamente la competencia por </w:t>
      </w:r>
      <w:r>
        <w:rPr>
          <w:rFonts w:ascii="Arial" w:eastAsia="Arial" w:hAnsi="Arial" w:cs="Arial"/>
        </w:rPr>
        <w:lastRenderedPageBreak/>
        <w:t>inhibitoria presentada el 21 de octubre de 2025 ha colocado al quejoso en un estado de absoluta indefensión y lo expone a que se continúe un procedimiento penal en una sede territorialmente incompetente, vulnerando directamente sus derechos humanos consagrados en los artículos 14, 16, 17, 20 y 21 constitucionales.</w:t>
      </w:r>
    </w:p>
    <w:p w14:paraId="1C80AF83" w14:textId="0DE90D8E" w:rsidR="005F77D6" w:rsidRDefault="00000000" w:rsidP="0099013E">
      <w:pPr>
        <w:widowControl w:val="0"/>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La suspensión debe otorgarse con efectos restitutorios, a manera de tutela anticipada, para que la situación del quejoso se restablezca al estado que guardaba antes de la emisión del acuerdo impugnado, y se garantice su derecho a una defensa adecuada. De manera puntual, se solicita que la suspensión tenga como efecto directo e inmediato que NO se lleve a cabo la audiencia inicial solicitada por el Ministerio Público de la Ciudad de México, hasta en tanto el juez responsable de Cancún resuelva conforme a derecho la inhibitoria planteada, pues dicha audiencia constituye un acto de imposible reparación al tratarse del inicio formal del procedimiento penal en una sede territorialmente incompetente. Por ello, respetuosamente solicito a Su Señoría que ordene al juez responsable, </w:t>
      </w:r>
      <w:r>
        <w:rPr>
          <w:rFonts w:ascii="Arial" w:eastAsia="Arial" w:hAnsi="Arial" w:cs="Arial"/>
          <w:b/>
          <w:bCs/>
        </w:rPr>
        <w:t>girar oficio al Juez de Control de la Ciudad de México para que suspenda por completo la audiencia inicial solicitada por el Ministerio Público</w:t>
      </w:r>
      <w:r>
        <w:rPr>
          <w:rFonts w:ascii="Arial" w:eastAsia="Arial" w:hAnsi="Arial" w:cs="Arial"/>
        </w:rPr>
        <w:t>, así como cualquier otra actuación relacionada con dicha carpeta, hasta en tanto se resuelva de manera definitiva la cuestión de competencia territorial</w:t>
      </w:r>
      <w:r w:rsidR="0099013E">
        <w:rPr>
          <w:rFonts w:ascii="Arial" w:eastAsia="Arial" w:hAnsi="Arial" w:cs="Arial"/>
        </w:rPr>
        <w:t>, toda vez que,</w:t>
      </w:r>
      <w:r w:rsidR="0099013E">
        <w:rPr>
          <w:rFonts w:ascii="Arial" w:eastAsia="Arial" w:hAnsi="Arial" w:cs="Arial"/>
        </w:rPr>
        <w:t xml:space="preserve"> fecha 18 de noviembre del año 2025, se me notificó la audiencia inicial sin detenido, programada en fecha 20 de noviembre del año 2025 a las 13:00hrs (hora de la Ciudad de México), para que se lleve a cabo en el Mtro. Gustavo  Alfonso Ramírez Cequera, Juez del Sistema Procesal Penal Acusatorio de la Ciudad de México, en Funciones de Juez de Trámite, Adscrito a la Unidad de Gestión Judicial 14, Tipo 2, en la Ciudad de México,</w:t>
      </w:r>
      <w:r w:rsidR="0099013E">
        <w:rPr>
          <w:rFonts w:ascii="Arial" w:eastAsia="Arial" w:hAnsi="Arial" w:cs="Arial"/>
        </w:rPr>
        <w:t xml:space="preserve"> por lo que,</w:t>
      </w:r>
      <w:r w:rsidR="0099013E">
        <w:rPr>
          <w:rFonts w:ascii="Arial" w:eastAsia="Arial" w:hAnsi="Arial" w:cs="Arial"/>
        </w:rPr>
        <w:t xml:space="preserve"> </w:t>
      </w:r>
      <w:r w:rsidR="0099013E">
        <w:rPr>
          <w:rFonts w:ascii="Arial" w:eastAsia="Arial" w:hAnsi="Arial" w:cs="Arial"/>
        </w:rPr>
        <w:t>en dicha audiencia programada</w:t>
      </w:r>
      <w:r w:rsidR="0099013E">
        <w:rPr>
          <w:rFonts w:ascii="Arial" w:eastAsia="Arial" w:hAnsi="Arial" w:cs="Arial"/>
        </w:rPr>
        <w:t xml:space="preserve"> se difirió la audiencia inicial, la cual fue </w:t>
      </w:r>
      <w:r w:rsidR="0099013E">
        <w:rPr>
          <w:rFonts w:ascii="Arial" w:eastAsia="Arial" w:hAnsi="Arial" w:cs="Arial"/>
        </w:rPr>
        <w:t>re</w:t>
      </w:r>
      <w:r w:rsidR="0099013E">
        <w:rPr>
          <w:rFonts w:ascii="Arial" w:eastAsia="Arial" w:hAnsi="Arial" w:cs="Arial"/>
        </w:rPr>
        <w:t xml:space="preserve">programada </w:t>
      </w:r>
      <w:r w:rsidR="0099013E">
        <w:rPr>
          <w:rFonts w:ascii="Arial" w:eastAsia="Arial" w:hAnsi="Arial" w:cs="Arial"/>
        </w:rPr>
        <w:t>para fecha</w:t>
      </w:r>
      <w:r w:rsidR="0099013E">
        <w:rPr>
          <w:rFonts w:ascii="Arial" w:eastAsia="Arial" w:hAnsi="Arial" w:cs="Arial"/>
        </w:rPr>
        <w:t xml:space="preserve"> 14 de enero del año 2026, a las 11:00hrs (hora de la Ciudad de México)</w:t>
      </w:r>
      <w:r>
        <w:rPr>
          <w:rFonts w:ascii="Arial" w:eastAsia="Arial" w:hAnsi="Arial" w:cs="Arial"/>
        </w:rPr>
        <w:t>. La suspensión solicitada es necesaria para evitar que continúen actos procesales nulos y para impedir que el quejoso sea sometido a una imputación indebida ante una autoridad que carece de jurisdicción, preservando así la unidad del proceso penal, el principio de juez natural y el derecho irrenunciable a una defensa adecuada.</w:t>
      </w:r>
    </w:p>
    <w:p w14:paraId="0FD9E4B2" w14:textId="0B209BC1" w:rsidR="005F77D6" w:rsidRDefault="00000000">
      <w:pPr>
        <w:spacing w:before="213" w:line="360" w:lineRule="auto"/>
        <w:jc w:val="both"/>
        <w:rPr>
          <w:rFonts w:ascii="Arial" w:eastAsia="Arial" w:hAnsi="Arial" w:cs="Arial"/>
        </w:rPr>
      </w:pPr>
      <w:r>
        <w:rPr>
          <w:rFonts w:ascii="Arial" w:eastAsia="Arial" w:hAnsi="Arial" w:cs="Arial"/>
        </w:rPr>
        <w:t xml:space="preserve">Por lo </w:t>
      </w:r>
      <w:r w:rsidR="00177B53">
        <w:rPr>
          <w:rFonts w:ascii="Arial" w:eastAsia="Arial" w:hAnsi="Arial" w:cs="Arial"/>
        </w:rPr>
        <w:t>tanto,</w:t>
      </w:r>
      <w:r>
        <w:rPr>
          <w:rFonts w:ascii="Arial" w:eastAsia="Arial" w:hAnsi="Arial" w:cs="Arial"/>
        </w:rPr>
        <w:t xml:space="preserve"> la suspensión solicitada procede debido a que el artículo 128 de la ley de amparo establece los requisitos para que éste se otorgue </w:t>
      </w:r>
    </w:p>
    <w:p w14:paraId="35274BAB" w14:textId="77777777" w:rsidR="005F77D6" w:rsidRDefault="00000000">
      <w:pPr>
        <w:spacing w:before="213" w:line="360" w:lineRule="auto"/>
        <w:jc w:val="both"/>
        <w:rPr>
          <w:rFonts w:ascii="Arial" w:eastAsia="Arial" w:hAnsi="Arial" w:cs="Arial"/>
        </w:rPr>
      </w:pPr>
      <w:r>
        <w:rPr>
          <w:rFonts w:ascii="Arial" w:eastAsia="Arial" w:hAnsi="Arial" w:cs="Arial"/>
        </w:rPr>
        <w:t xml:space="preserve">1 Que se le solicite al quejoso </w:t>
      </w:r>
    </w:p>
    <w:p w14:paraId="3F8EB224" w14:textId="77777777" w:rsidR="005F77D6" w:rsidRDefault="00000000">
      <w:pPr>
        <w:spacing w:before="213" w:line="360" w:lineRule="auto"/>
        <w:jc w:val="both"/>
        <w:rPr>
          <w:rFonts w:ascii="Arial" w:eastAsia="Arial" w:hAnsi="Arial" w:cs="Arial"/>
        </w:rPr>
      </w:pPr>
      <w:r>
        <w:rPr>
          <w:rFonts w:ascii="Arial" w:eastAsia="Arial" w:hAnsi="Arial" w:cs="Arial"/>
        </w:rPr>
        <w:t>2 Que no siga perjuicio al interés social ni se contravengan disposiciones de orden público.</w:t>
      </w:r>
    </w:p>
    <w:p w14:paraId="6054F2CE" w14:textId="77777777" w:rsidR="005F77D6" w:rsidRDefault="00000000">
      <w:pPr>
        <w:spacing w:before="213" w:line="360" w:lineRule="auto"/>
        <w:jc w:val="both"/>
        <w:rPr>
          <w:rFonts w:ascii="Arial" w:eastAsia="Arial" w:hAnsi="Arial" w:cs="Arial"/>
        </w:rPr>
      </w:pPr>
      <w:r>
        <w:rPr>
          <w:rFonts w:ascii="Arial" w:eastAsia="Arial" w:hAnsi="Arial" w:cs="Arial"/>
        </w:rPr>
        <w:t xml:space="preserve">Por lo tanto, de no concederse la suspensión se violaron mis derechos humanos debido a que un juez que no es competente estaría llevando un proceso penal instaurado en mi contra en el cual él no está facultado para ello violando el artículo 14 y 17 de la constitución. </w:t>
      </w:r>
    </w:p>
    <w:p w14:paraId="35F3BFF9" w14:textId="77777777" w:rsidR="005F77D6" w:rsidRDefault="00000000">
      <w:pPr>
        <w:spacing w:before="213" w:line="360" w:lineRule="auto"/>
        <w:jc w:val="center"/>
        <w:rPr>
          <w:rFonts w:ascii="Arial" w:eastAsia="Arial" w:hAnsi="Arial" w:cs="Arial"/>
        </w:rPr>
      </w:pPr>
      <w:r>
        <w:rPr>
          <w:rFonts w:ascii="Arial" w:eastAsia="Arial" w:hAnsi="Arial" w:cs="Arial"/>
          <w:b/>
          <w:bCs/>
        </w:rPr>
        <w:lastRenderedPageBreak/>
        <w:t>X- COMPETENCIA</w:t>
      </w:r>
    </w:p>
    <w:p w14:paraId="631885F4" w14:textId="77777777" w:rsidR="005F77D6"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Es Usted competente para conocer del presente juicio de garantías, con fundamento en lo establecido por la Ley de Amparo en su artículo 37, 107, 108, 109, 110 y 111; toda vez que es un acto que causa perjuicio sustancial a los derechos humanos del suscrito en una carpeta de investigación, siendo que a su vez el acto reclamado no cuenta con una tramitación especial para la solución de dicho conflicto. Aunado a que este H. Juzgado de distrito resulta competente pues el acto reclamado se cometió en la Ciudad de</w:t>
      </w:r>
      <w:r>
        <w:rPr>
          <w:rFonts w:ascii="Arial" w:eastAsia="Arial" w:hAnsi="Arial" w:cs="Arial"/>
        </w:rPr>
        <w:t xml:space="preserve"> Cancún</w:t>
      </w:r>
      <w:r>
        <w:rPr>
          <w:rFonts w:ascii="Arial" w:eastAsia="Arial" w:hAnsi="Arial" w:cs="Arial"/>
          <w:color w:val="000000"/>
        </w:rPr>
        <w:t>, y el Juzgado con jurisdicción en tal lugar radica en esta misma ciudad.</w:t>
      </w:r>
    </w:p>
    <w:p w14:paraId="3ED7BAF5" w14:textId="77777777" w:rsidR="005F77D6" w:rsidRDefault="005F77D6">
      <w:pPr>
        <w:pBdr>
          <w:top w:val="nil"/>
          <w:left w:val="nil"/>
          <w:bottom w:val="nil"/>
          <w:right w:val="nil"/>
          <w:between w:val="nil"/>
        </w:pBdr>
        <w:spacing w:line="360" w:lineRule="auto"/>
        <w:jc w:val="both"/>
        <w:rPr>
          <w:rFonts w:ascii="Arial" w:eastAsia="Arial" w:hAnsi="Arial" w:cs="Arial"/>
          <w:color w:val="000000"/>
        </w:rPr>
      </w:pPr>
    </w:p>
    <w:p w14:paraId="752C1042" w14:textId="77777777" w:rsidR="005F77D6"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Por lo antes expuesto, razonado y fundado, muy atenta y respetuosamente solicito a usted Ciudadano Juez de Distrito:</w:t>
      </w:r>
    </w:p>
    <w:p w14:paraId="3678AA37" w14:textId="77777777" w:rsidR="005F77D6" w:rsidRDefault="005F77D6">
      <w:pPr>
        <w:widowControl w:val="0"/>
        <w:pBdr>
          <w:top w:val="nil"/>
          <w:left w:val="nil"/>
          <w:bottom w:val="nil"/>
          <w:right w:val="nil"/>
          <w:between w:val="nil"/>
        </w:pBdr>
        <w:spacing w:before="1" w:line="360" w:lineRule="auto"/>
        <w:ind w:left="567"/>
        <w:jc w:val="both"/>
        <w:rPr>
          <w:rFonts w:ascii="Arial" w:eastAsia="Arial" w:hAnsi="Arial" w:cs="Arial"/>
          <w:b/>
          <w:bCs/>
          <w:color w:val="000000"/>
        </w:rPr>
      </w:pPr>
    </w:p>
    <w:p w14:paraId="4E26CBBC" w14:textId="77777777" w:rsidR="005F77D6" w:rsidRDefault="00000000">
      <w:pPr>
        <w:widowControl w:val="0"/>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bCs/>
          <w:color w:val="000000"/>
        </w:rPr>
        <w:t xml:space="preserve">PRIMERO.- </w:t>
      </w:r>
      <w:r>
        <w:rPr>
          <w:rFonts w:ascii="Arial" w:eastAsia="Arial" w:hAnsi="Arial" w:cs="Arial"/>
          <w:color w:val="000000"/>
        </w:rPr>
        <w:t>Tenga por interpuesta en tiempo y forma la presente demanda de amparo.</w:t>
      </w:r>
    </w:p>
    <w:p w14:paraId="4162B746" w14:textId="77777777" w:rsidR="005F77D6" w:rsidRDefault="00000000">
      <w:pPr>
        <w:widowControl w:val="0"/>
        <w:pBdr>
          <w:top w:val="nil"/>
          <w:left w:val="nil"/>
          <w:bottom w:val="nil"/>
          <w:right w:val="nil"/>
          <w:between w:val="nil"/>
        </w:pBdr>
        <w:spacing w:before="1" w:line="360" w:lineRule="auto"/>
        <w:jc w:val="both"/>
        <w:rPr>
          <w:rFonts w:ascii="Arial" w:eastAsia="Arial" w:hAnsi="Arial" w:cs="Arial"/>
          <w:color w:val="000000"/>
        </w:rPr>
      </w:pPr>
      <w:r>
        <w:rPr>
          <w:rFonts w:ascii="Arial" w:eastAsia="Arial" w:hAnsi="Arial" w:cs="Arial"/>
          <w:b/>
          <w:bCs/>
          <w:color w:val="000000"/>
        </w:rPr>
        <w:t xml:space="preserve">SEGUNDO.- </w:t>
      </w:r>
      <w:r>
        <w:rPr>
          <w:rFonts w:ascii="Arial" w:eastAsia="Arial" w:hAnsi="Arial" w:cs="Arial"/>
          <w:color w:val="000000"/>
        </w:rPr>
        <w:t>Admitir la demanda y requerir a la responsable la rendición de su respectivo informe justificado.</w:t>
      </w:r>
    </w:p>
    <w:p w14:paraId="031DD951" w14:textId="77777777" w:rsidR="005F77D6" w:rsidRDefault="00000000">
      <w:pPr>
        <w:widowControl w:val="0"/>
        <w:pBdr>
          <w:top w:val="nil"/>
          <w:left w:val="nil"/>
          <w:bottom w:val="nil"/>
          <w:right w:val="nil"/>
          <w:between w:val="nil"/>
        </w:pBdr>
        <w:spacing w:before="1" w:line="360" w:lineRule="auto"/>
        <w:jc w:val="both"/>
        <w:rPr>
          <w:rFonts w:ascii="Arial" w:eastAsia="Arial" w:hAnsi="Arial" w:cs="Arial"/>
        </w:rPr>
      </w:pPr>
      <w:r>
        <w:rPr>
          <w:rFonts w:ascii="Arial" w:eastAsia="Arial" w:hAnsi="Arial" w:cs="Arial"/>
          <w:b/>
          <w:bCs/>
        </w:rPr>
        <w:t xml:space="preserve">TERCERO.- </w:t>
      </w:r>
      <w:r>
        <w:rPr>
          <w:rFonts w:ascii="Arial" w:eastAsia="Arial" w:hAnsi="Arial" w:cs="Arial"/>
        </w:rPr>
        <w:t xml:space="preserve"> solicitar a la autoridad que rinda su informe previo </w:t>
      </w:r>
    </w:p>
    <w:p w14:paraId="2B26A695" w14:textId="77777777" w:rsidR="005F77D6" w:rsidRDefault="00000000">
      <w:pPr>
        <w:widowControl w:val="0"/>
        <w:pBdr>
          <w:top w:val="nil"/>
          <w:left w:val="nil"/>
          <w:bottom w:val="nil"/>
          <w:right w:val="nil"/>
          <w:between w:val="nil"/>
        </w:pBdr>
        <w:spacing w:before="1" w:line="360" w:lineRule="auto"/>
        <w:jc w:val="both"/>
        <w:rPr>
          <w:rFonts w:ascii="Arial" w:eastAsia="Arial" w:hAnsi="Arial" w:cs="Arial"/>
          <w:b/>
          <w:bCs/>
        </w:rPr>
      </w:pPr>
      <w:r>
        <w:rPr>
          <w:rFonts w:ascii="Arial" w:eastAsia="Arial" w:hAnsi="Arial" w:cs="Arial"/>
          <w:b/>
          <w:bCs/>
        </w:rPr>
        <w:t>CUARTO.-</w:t>
      </w:r>
      <w:r>
        <w:rPr>
          <w:rFonts w:ascii="Arial" w:eastAsia="Arial" w:hAnsi="Arial" w:cs="Arial"/>
        </w:rPr>
        <w:t xml:space="preserve"> Que se otorgue la solicitud de suspensión tanto la provisional como la definitiva. </w:t>
      </w:r>
    </w:p>
    <w:p w14:paraId="04D177C7" w14:textId="77777777" w:rsidR="005F77D6" w:rsidRDefault="00000000">
      <w:pPr>
        <w:widowControl w:val="0"/>
        <w:pBdr>
          <w:top w:val="nil"/>
          <w:left w:val="nil"/>
          <w:bottom w:val="nil"/>
          <w:right w:val="nil"/>
          <w:between w:val="nil"/>
        </w:pBdr>
        <w:spacing w:before="1" w:line="360" w:lineRule="auto"/>
        <w:jc w:val="both"/>
        <w:rPr>
          <w:rFonts w:ascii="Arial" w:eastAsia="Arial" w:hAnsi="Arial" w:cs="Arial"/>
          <w:color w:val="000000"/>
        </w:rPr>
      </w:pPr>
      <w:r>
        <w:rPr>
          <w:rFonts w:ascii="Arial" w:eastAsia="Arial" w:hAnsi="Arial" w:cs="Arial"/>
          <w:b/>
          <w:bCs/>
        </w:rPr>
        <w:t>QUINTO</w:t>
      </w:r>
      <w:r>
        <w:rPr>
          <w:rFonts w:ascii="Arial" w:eastAsia="Arial" w:hAnsi="Arial" w:cs="Arial"/>
          <w:b/>
          <w:bCs/>
          <w:color w:val="000000"/>
        </w:rPr>
        <w:t xml:space="preserve">.- </w:t>
      </w:r>
      <w:r>
        <w:rPr>
          <w:rFonts w:ascii="Arial" w:eastAsia="Arial" w:hAnsi="Arial" w:cs="Arial"/>
          <w:color w:val="000000"/>
        </w:rPr>
        <w:t>Previos los trámites legales procedentes, dictar sentencia definitiva en que se me conceda el amparo y la protección de la Justicia Federal que usted representa, en contra de los actos que se reclaman</w:t>
      </w:r>
      <w:r>
        <w:rPr>
          <w:rFonts w:ascii="Arial" w:eastAsia="Arial" w:hAnsi="Arial" w:cs="Arial"/>
        </w:rPr>
        <w:t>.</w:t>
      </w:r>
    </w:p>
    <w:p w14:paraId="72ECC902" w14:textId="77777777" w:rsidR="005F77D6" w:rsidRDefault="005F77D6">
      <w:pPr>
        <w:widowControl w:val="0"/>
        <w:pBdr>
          <w:top w:val="nil"/>
          <w:left w:val="nil"/>
          <w:bottom w:val="nil"/>
          <w:right w:val="nil"/>
          <w:between w:val="nil"/>
        </w:pBdr>
        <w:spacing w:line="360" w:lineRule="auto"/>
        <w:ind w:left="567"/>
        <w:rPr>
          <w:rFonts w:ascii="Arial" w:eastAsia="Arial" w:hAnsi="Arial" w:cs="Arial"/>
          <w:b/>
          <w:bCs/>
          <w:color w:val="000000"/>
        </w:rPr>
      </w:pPr>
    </w:p>
    <w:p w14:paraId="00E84904" w14:textId="77777777" w:rsidR="005F77D6" w:rsidRDefault="00000000">
      <w:pPr>
        <w:pStyle w:val="Ttulo2"/>
        <w:spacing w:line="360" w:lineRule="auto"/>
        <w:ind w:left="567"/>
        <w:jc w:val="center"/>
        <w:rPr>
          <w:rFonts w:ascii="Arial" w:eastAsia="Arial" w:hAnsi="Arial" w:cs="Arial"/>
          <w:b/>
          <w:bCs/>
          <w:i/>
          <w:iCs/>
          <w:color w:val="000000"/>
          <w:sz w:val="24"/>
          <w:szCs w:val="24"/>
        </w:rPr>
      </w:pPr>
      <w:r>
        <w:rPr>
          <w:rFonts w:ascii="Arial" w:eastAsia="Arial" w:hAnsi="Arial" w:cs="Arial"/>
          <w:b/>
          <w:bCs/>
          <w:color w:val="000000"/>
          <w:sz w:val="24"/>
          <w:szCs w:val="24"/>
        </w:rPr>
        <w:t>PROTESTO LO NECESARIO</w:t>
      </w:r>
    </w:p>
    <w:p w14:paraId="6A45D885" w14:textId="77777777" w:rsidR="005F77D6" w:rsidRDefault="005F77D6">
      <w:pPr>
        <w:pStyle w:val="Ttulo"/>
        <w:spacing w:line="360" w:lineRule="auto"/>
        <w:ind w:left="0" w:firstLine="0"/>
        <w:jc w:val="left"/>
        <w:rPr>
          <w:b w:val="0"/>
          <w:bCs w:val="0"/>
        </w:rPr>
      </w:pPr>
    </w:p>
    <w:p w14:paraId="14905DC2" w14:textId="77777777" w:rsidR="005F77D6" w:rsidRDefault="005F77D6">
      <w:pPr>
        <w:widowControl w:val="0"/>
        <w:pBdr>
          <w:top w:val="nil"/>
          <w:left w:val="nil"/>
          <w:bottom w:val="nil"/>
          <w:right w:val="nil"/>
          <w:between w:val="nil"/>
        </w:pBdr>
        <w:spacing w:line="360" w:lineRule="auto"/>
        <w:rPr>
          <w:rFonts w:ascii="Arial" w:eastAsia="Arial" w:hAnsi="Arial" w:cs="Arial"/>
          <w:color w:val="000000"/>
        </w:rPr>
      </w:pPr>
    </w:p>
    <w:p w14:paraId="01698896" w14:textId="77777777" w:rsidR="005F77D6" w:rsidRDefault="00000000">
      <w:pPr>
        <w:widowControl w:val="0"/>
        <w:pBdr>
          <w:top w:val="nil"/>
          <w:left w:val="nil"/>
          <w:bottom w:val="nil"/>
          <w:right w:val="nil"/>
          <w:between w:val="nil"/>
        </w:pBdr>
        <w:spacing w:line="360" w:lineRule="auto"/>
        <w:ind w:left="567"/>
        <w:jc w:val="center"/>
        <w:rPr>
          <w:rFonts w:ascii="Calibri" w:eastAsia="Calibri" w:hAnsi="Calibri" w:cs="Calibri"/>
          <w:b/>
          <w:bCs/>
          <w:color w:val="000000"/>
          <w:sz w:val="21"/>
          <w:szCs w:val="21"/>
        </w:rPr>
      </w:pPr>
      <w:r>
        <w:rPr>
          <w:rFonts w:ascii="Arial" w:eastAsia="Arial" w:hAnsi="Arial" w:cs="Arial"/>
          <w:b/>
          <w:bCs/>
          <w:color w:val="000000"/>
        </w:rPr>
        <w:t>_____________________________________________</w:t>
      </w:r>
    </w:p>
    <w:p w14:paraId="48A9A34E" w14:textId="77777777" w:rsidR="005F77D6" w:rsidRDefault="00000000">
      <w:pPr>
        <w:pStyle w:val="Ttulo"/>
        <w:spacing w:line="360" w:lineRule="auto"/>
        <w:ind w:left="1440" w:firstLine="720"/>
        <w:jc w:val="left"/>
      </w:pPr>
      <w:r>
        <w:t>EDUARDO DE MARTIN ALBOR VILLANUEVA</w:t>
      </w:r>
    </w:p>
    <w:p w14:paraId="2EEAC5C0" w14:textId="77777777" w:rsidR="005F77D6" w:rsidRDefault="00000000">
      <w:pPr>
        <w:spacing w:after="160" w:line="360" w:lineRule="auto"/>
        <w:jc w:val="center"/>
        <w:rPr>
          <w:rFonts w:ascii="Arial" w:eastAsia="Arial" w:hAnsi="Arial" w:cs="Arial"/>
          <w:b/>
          <w:bCs/>
        </w:rPr>
      </w:pPr>
      <w:r>
        <w:rPr>
          <w:rFonts w:ascii="Arial" w:eastAsia="Arial" w:hAnsi="Arial" w:cs="Arial"/>
          <w:b/>
          <w:bCs/>
        </w:rPr>
        <w:t>21 DE NOVIEMBRE DEL AÑO 2025, CANCÚN, QUINTANA ROO.</w:t>
      </w:r>
    </w:p>
    <w:p w14:paraId="7FB11097" w14:textId="77777777" w:rsidR="005F77D6" w:rsidRDefault="005F77D6">
      <w:pPr>
        <w:spacing w:after="160" w:line="360" w:lineRule="auto"/>
        <w:jc w:val="center"/>
        <w:rPr>
          <w:rFonts w:ascii="Arial" w:eastAsia="Arial" w:hAnsi="Arial" w:cs="Arial"/>
          <w:b/>
          <w:bCs/>
        </w:rPr>
      </w:pPr>
    </w:p>
    <w:p w14:paraId="46D679C0" w14:textId="77777777" w:rsidR="005F77D6" w:rsidRDefault="00000000">
      <w:pPr>
        <w:spacing w:after="160" w:line="360" w:lineRule="auto"/>
        <w:jc w:val="center"/>
        <w:rPr>
          <w:rFonts w:ascii="Arial" w:eastAsia="Arial" w:hAnsi="Arial" w:cs="Arial"/>
          <w:b/>
          <w:bCs/>
        </w:rPr>
      </w:pPr>
      <w:r>
        <w:rPr>
          <w:rFonts w:ascii="Arial" w:eastAsia="Arial" w:hAnsi="Arial" w:cs="Arial"/>
          <w:b/>
          <w:bCs/>
        </w:rPr>
        <w:t>ANEXO.</w:t>
      </w:r>
    </w:p>
    <w:p w14:paraId="16BD2C52" w14:textId="77777777" w:rsidR="0099013E" w:rsidRDefault="00177B53" w:rsidP="0099013E">
      <w:pPr>
        <w:numPr>
          <w:ilvl w:val="0"/>
          <w:numId w:val="5"/>
        </w:numPr>
        <w:spacing w:after="160" w:line="360" w:lineRule="auto"/>
        <w:jc w:val="both"/>
        <w:rPr>
          <w:rFonts w:ascii="Arial" w:eastAsia="Arial" w:hAnsi="Arial" w:cs="Arial"/>
          <w:sz w:val="16"/>
          <w:szCs w:val="16"/>
        </w:rPr>
      </w:pPr>
      <w:r w:rsidRPr="00177B53">
        <w:rPr>
          <w:rFonts w:ascii="Arial" w:eastAsia="Arial" w:hAnsi="Arial" w:cs="Arial"/>
          <w:sz w:val="16"/>
          <w:szCs w:val="16"/>
        </w:rPr>
        <w:t>Copia simple del Acuerdo de fecha 29 de octubre del año 2025, emitido por el C. César Enrique Morales Hernández, Juez de Control y Juicio Oral adscrita a los Juzgados de Control y Tribunales de Juicio Oral Penal de Primera Instancia del Distrito Judicial de Cancún, Quintana Roo</w:t>
      </w:r>
    </w:p>
    <w:p w14:paraId="1EF396FD" w14:textId="302F041A" w:rsidR="00177B53" w:rsidRDefault="00177B53" w:rsidP="0099013E">
      <w:pPr>
        <w:numPr>
          <w:ilvl w:val="0"/>
          <w:numId w:val="5"/>
        </w:numPr>
        <w:spacing w:after="160" w:line="360" w:lineRule="auto"/>
        <w:jc w:val="both"/>
        <w:rPr>
          <w:rFonts w:ascii="Arial" w:eastAsia="Arial" w:hAnsi="Arial" w:cs="Arial"/>
          <w:sz w:val="16"/>
          <w:szCs w:val="16"/>
        </w:rPr>
      </w:pPr>
      <w:r w:rsidRPr="0099013E">
        <w:rPr>
          <w:rFonts w:ascii="Arial" w:eastAsia="Arial" w:hAnsi="Arial" w:cs="Arial"/>
          <w:sz w:val="16"/>
          <w:szCs w:val="16"/>
        </w:rPr>
        <w:t>Copia simple del escrito de solicitud de competencia por inhibitoria, presentado en fecha 21 de octubre del año 2025.</w:t>
      </w:r>
    </w:p>
    <w:p w14:paraId="00213E5D" w14:textId="56625EA2" w:rsidR="0099013E" w:rsidRPr="0099013E" w:rsidRDefault="0099013E" w:rsidP="0099013E">
      <w:pPr>
        <w:numPr>
          <w:ilvl w:val="0"/>
          <w:numId w:val="5"/>
        </w:numPr>
        <w:spacing w:after="160" w:line="360" w:lineRule="auto"/>
        <w:jc w:val="both"/>
        <w:rPr>
          <w:rFonts w:ascii="Arial" w:eastAsia="Arial" w:hAnsi="Arial" w:cs="Arial"/>
          <w:sz w:val="16"/>
          <w:szCs w:val="16"/>
        </w:rPr>
      </w:pPr>
      <w:r>
        <w:rPr>
          <w:rFonts w:ascii="Arial" w:eastAsia="Arial" w:hAnsi="Arial" w:cs="Arial"/>
          <w:sz w:val="16"/>
          <w:szCs w:val="16"/>
        </w:rPr>
        <w:t>Copia Simple del Citatorio de la Audiencia Inicial programada en fecha 20 de noviembre del año 2025, a las 13:00hrs.</w:t>
      </w:r>
    </w:p>
    <w:p w14:paraId="2D098F32" w14:textId="623DFD92" w:rsidR="005F77D6" w:rsidRPr="00177B53" w:rsidRDefault="00000000">
      <w:pPr>
        <w:numPr>
          <w:ilvl w:val="0"/>
          <w:numId w:val="5"/>
        </w:numPr>
        <w:spacing w:after="160" w:line="360" w:lineRule="auto"/>
        <w:rPr>
          <w:rFonts w:ascii="Arial" w:eastAsia="Arial" w:hAnsi="Arial" w:cs="Arial"/>
          <w:sz w:val="16"/>
          <w:szCs w:val="16"/>
        </w:rPr>
      </w:pPr>
      <w:r w:rsidRPr="00177B53">
        <w:rPr>
          <w:rFonts w:ascii="Arial" w:eastAsia="Arial" w:hAnsi="Arial" w:cs="Arial"/>
          <w:sz w:val="16"/>
          <w:szCs w:val="16"/>
        </w:rPr>
        <w:t xml:space="preserve">Copia simple curriculum del Maestro Cesar Enrique Morales </w:t>
      </w:r>
      <w:r w:rsidR="00177B53" w:rsidRPr="00177B53">
        <w:rPr>
          <w:rFonts w:ascii="Arial" w:eastAsia="Arial" w:hAnsi="Arial" w:cs="Arial"/>
          <w:sz w:val="16"/>
          <w:szCs w:val="16"/>
        </w:rPr>
        <w:t>Hernández</w:t>
      </w:r>
      <w:r w:rsidRPr="00177B53">
        <w:rPr>
          <w:rFonts w:ascii="Arial" w:eastAsia="Arial" w:hAnsi="Arial" w:cs="Arial"/>
          <w:sz w:val="16"/>
          <w:szCs w:val="16"/>
        </w:rPr>
        <w:t>.</w:t>
      </w:r>
    </w:p>
    <w:sectPr w:rsidR="005F77D6" w:rsidRPr="00177B53">
      <w:headerReference w:type="default" r:id="rId11"/>
      <w:footerReference w:type="default" r:id="rId12"/>
      <w:pgSz w:w="12240" w:h="2016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847ED" w14:textId="77777777" w:rsidR="00A36C7E" w:rsidRDefault="00A36C7E">
      <w:r>
        <w:separator/>
      </w:r>
    </w:p>
  </w:endnote>
  <w:endnote w:type="continuationSeparator" w:id="0">
    <w:p w14:paraId="1BE94ECB" w14:textId="77777777" w:rsidR="00A36C7E" w:rsidRDefault="00A36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25A07DF-52EB-45B8-A4B2-B3FCA1A644C7}"/>
    <w:embedBold r:id="rId2" w:fontKey="{8CCAC1D3-0B14-4AA1-8A83-78A22B006C87}"/>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3" w:fontKey="{B1AE0A01-10BB-4F81-B8AC-49B9DFD7D2BB}"/>
    <w:embedBold r:id="rId4" w:fontKey="{94D47EFA-8A11-4F0A-A641-276AEEE418B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5" w:fontKey="{A0DD0684-9E97-4639-9099-5C724646B04D}"/>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6" w:fontKey="{2BE46B1E-A06E-4546-87C5-9F605FB6F1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7797" w14:textId="77777777" w:rsidR="005F77D6" w:rsidRDefault="005F77D6">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1DB79" w14:textId="77777777" w:rsidR="00A36C7E" w:rsidRDefault="00A36C7E">
      <w:r>
        <w:separator/>
      </w:r>
    </w:p>
  </w:footnote>
  <w:footnote w:type="continuationSeparator" w:id="0">
    <w:p w14:paraId="49F4E31F" w14:textId="77777777" w:rsidR="00A36C7E" w:rsidRDefault="00A36C7E">
      <w:r>
        <w:continuationSeparator/>
      </w:r>
    </w:p>
  </w:footnote>
  <w:footnote w:id="1">
    <w:p w14:paraId="30A3D546" w14:textId="77777777" w:rsidR="005F77D6" w:rsidRDefault="00000000">
      <w:pPr>
        <w:jc w:val="both"/>
        <w:rPr>
          <w:rFonts w:ascii="Arial" w:eastAsia="Arial" w:hAnsi="Arial" w:cs="Arial"/>
          <w:i/>
          <w:iCs/>
          <w:sz w:val="18"/>
          <w:szCs w:val="18"/>
        </w:rPr>
      </w:pPr>
      <w:r>
        <w:rPr>
          <w:vertAlign w:val="superscript"/>
        </w:rPr>
        <w:footnoteRef/>
      </w:r>
      <w:r>
        <w:rPr>
          <w:sz w:val="18"/>
          <w:szCs w:val="18"/>
        </w:rPr>
        <w:t xml:space="preserve"> </w:t>
      </w:r>
      <w:r>
        <w:rPr>
          <w:b/>
          <w:bCs/>
          <w:i/>
          <w:iCs/>
          <w:sz w:val="22"/>
          <w:szCs w:val="22"/>
        </w:rPr>
        <w:t xml:space="preserve">Artículo 12. </w:t>
      </w:r>
      <w:r>
        <w:rPr>
          <w:i/>
          <w:iCs/>
          <w:sz w:val="22"/>
          <w:szCs w:val="22"/>
        </w:rPr>
        <w:t>El quejoso y el tercero interesado podrán autorizar para oír notificaciones en su nombre, a cualquier persona con capacidad legal, quien quedará facultada para interponer los recursos que procedan, ofrecer y rendir pruebas, alegar en las audiencias, solicitar su suspensión o diferimiento y realizar cualquier acto que resulte ser necesario para la defensa de los derechos del autorizante, pero no podrá substituir o delegar dichas facultades en un tercero.</w:t>
      </w:r>
    </w:p>
  </w:footnote>
  <w:footnote w:id="2">
    <w:p w14:paraId="1839A786" w14:textId="77777777" w:rsidR="005F77D6" w:rsidRDefault="00000000">
      <w:pPr>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6"/>
          <w:szCs w:val="16"/>
        </w:rPr>
        <w:t xml:space="preserve"> Artículo 26. Reglas de incompetencia Para la decisión de la incompetencia se observarán las siguientes reglas: I.. Las que se susciten entre Órganos jurisdiccionales de la Federación se decidirán a favor del que haya prevenido, conforme a las reglas previstas en este Código y en la Ley Orgánica del Poder Judicial de la Federación y si hay dos o más competentes, a favor del que haya prevenido; II. Las que se susciten entre los Órganos jurisdiccionales de una misma Entidad federativa se decidirán conforme a las reglas previstas en este Código y en la Ley Orgánica aplicable, y si hay dos o más competentes a favor del que haya prevenido, o III. Las que se susciten entre la Federación y una o más Entidades federativas o entre dos o más Entidades federativas entre sí, se decidirán por el Poder Judicial Federal en los términos de su Ley Orgánica. El Órgano jurisdiccional que resulte competente podrá confirmar, modificar, revocar, o en su caso reponer bajo su criterio y responsabilidad, cualquier tipo de acto procesal que estime pertinente conforme a lo previsto en este Código. Dirimida la incompetencia, el imputado, en su caso, será puesto inmediatamente a disposición del Órgano jurisdiccional que resulte competente, así como los antecedentes que obren en poder del Órgano jurisdiccional incompetente. </w:t>
      </w:r>
    </w:p>
  </w:footnote>
  <w:footnote w:id="3">
    <w:p w14:paraId="76DC8DA4" w14:textId="77777777" w:rsidR="005F77D6" w:rsidRDefault="00000000">
      <w:pPr>
        <w:jc w:val="both"/>
        <w:rPr>
          <w:rFonts w:ascii="Arial Narrow" w:eastAsia="Arial Narrow" w:hAnsi="Arial Narrow" w:cs="Arial Narrow"/>
          <w:sz w:val="16"/>
          <w:szCs w:val="16"/>
        </w:rPr>
      </w:pPr>
      <w:r>
        <w:rPr>
          <w:vertAlign w:val="superscript"/>
        </w:rPr>
        <w:footnoteRef/>
      </w:r>
      <w:r>
        <w:rPr>
          <w:sz w:val="20"/>
          <w:szCs w:val="20"/>
        </w:rPr>
        <w:t xml:space="preserve"> </w:t>
      </w:r>
      <w:r>
        <w:rPr>
          <w:rFonts w:ascii="Arial Narrow" w:eastAsia="Arial Narrow" w:hAnsi="Arial Narrow" w:cs="Arial Narrow"/>
          <w:sz w:val="16"/>
          <w:szCs w:val="16"/>
        </w:rPr>
        <w:t xml:space="preserve">Artículo 28. Procedencia de incompetencia por inhibitoria En cualquier etapa del procedimiento, la inhibitoria se tramitará a petición de cualquiera de las partes ante el Órgano jurisdiccional que crea competente para que se avoque al conocimiento del asunto; en caso de ser procedente, el Órgano jurisdiccional que reconozca su incompetencia remitirá los registros correspondientes al que se determine competente y, en su caso, pondrá también a su disposición al imputado. La inhibitoria se podrá promover por escrito, o de forma oral, en audiencia ante el Juez de control que se considere debe conocer del asunto hasta antes de que se dicte auto de apertura a juicio. </w:t>
      </w:r>
    </w:p>
  </w:footnote>
  <w:footnote w:id="4">
    <w:p w14:paraId="0632B97E" w14:textId="77777777" w:rsidR="005F77D6" w:rsidRDefault="00000000">
      <w:pPr>
        <w:jc w:val="both"/>
        <w:rPr>
          <w:rFonts w:ascii="Arial Narrow" w:eastAsia="Arial Narrow" w:hAnsi="Arial Narrow" w:cs="Arial Narrow"/>
          <w:sz w:val="16"/>
          <w:szCs w:val="16"/>
        </w:rPr>
      </w:pPr>
      <w:r>
        <w:rPr>
          <w:vertAlign w:val="superscript"/>
        </w:rPr>
        <w:footnoteRef/>
      </w:r>
      <w:r>
        <w:rPr>
          <w:sz w:val="20"/>
          <w:szCs w:val="20"/>
        </w:rPr>
        <w:t xml:space="preserve"> </w:t>
      </w:r>
      <w:r>
        <w:rPr>
          <w:rFonts w:ascii="Arial Narrow" w:eastAsia="Arial Narrow" w:hAnsi="Arial Narrow" w:cs="Arial Narrow"/>
          <w:sz w:val="16"/>
          <w:szCs w:val="16"/>
        </w:rPr>
        <w:t>Artículo 31. Competencia en la acumulación Cuando dos o más procesos sean susceptibles de acumulación, y se sigan por diverso Órgano jurisdiccional, será competente el que corresponda, de conformidad con las reglas generales previstas en este Código, ponderando en todo momento la competencia en razón de seguridad; en caso de que persista la duda, será competente el que conozca del delito cuya punibilidad sea mayor. Si los delitos establecen la misma punibilidad, la competencia será del que conozca de los actos procesales más antiguos, y si éstos comenzaron en la misma fecha, el que previno primero. Para efectos de este artículo, se entenderá que previno quien dictó la primera resolución del procedimiento.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ED00" w14:textId="77777777" w:rsidR="005F77D6" w:rsidRDefault="005F77D6">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447DB"/>
    <w:multiLevelType w:val="multilevel"/>
    <w:tmpl w:val="CB840F0C"/>
    <w:lvl w:ilvl="0">
      <w:start w:val="1"/>
      <w:numFmt w:val="upp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C7B5131"/>
    <w:multiLevelType w:val="multilevel"/>
    <w:tmpl w:val="6FB62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3B72D0A"/>
    <w:multiLevelType w:val="multilevel"/>
    <w:tmpl w:val="1578E0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7543C3"/>
    <w:multiLevelType w:val="multilevel"/>
    <w:tmpl w:val="8F10B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5A62FB4"/>
    <w:multiLevelType w:val="multilevel"/>
    <w:tmpl w:val="89ACFBC8"/>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5" w15:restartNumberingAfterBreak="0">
    <w:nsid w:val="6C4731AB"/>
    <w:multiLevelType w:val="multilevel"/>
    <w:tmpl w:val="78442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4139889">
    <w:abstractNumId w:val="1"/>
  </w:num>
  <w:num w:numId="2" w16cid:durableId="639264130">
    <w:abstractNumId w:val="0"/>
  </w:num>
  <w:num w:numId="3" w16cid:durableId="1678843019">
    <w:abstractNumId w:val="3"/>
  </w:num>
  <w:num w:numId="4" w16cid:durableId="756363926">
    <w:abstractNumId w:val="4"/>
  </w:num>
  <w:num w:numId="5" w16cid:durableId="654920884">
    <w:abstractNumId w:val="5"/>
  </w:num>
  <w:num w:numId="6" w16cid:durableId="1423917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7D6"/>
    <w:rsid w:val="00177B53"/>
    <w:rsid w:val="00377FF9"/>
    <w:rsid w:val="003E031A"/>
    <w:rsid w:val="005F77D6"/>
    <w:rsid w:val="006A091E"/>
    <w:rsid w:val="0099013E"/>
    <w:rsid w:val="00A36C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D6963"/>
  <w15:docId w15:val="{F1390866-F638-4CBD-A2FD-D14CCAB36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pBdr>
        <w:top w:val="nil"/>
        <w:left w:val="nil"/>
        <w:bottom w:val="nil"/>
        <w:right w:val="nil"/>
        <w:between w:val="nil"/>
      </w:pBdr>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il"/>
        <w:left w:val="nil"/>
        <w:bottom w:val="nil"/>
        <w:right w:val="nil"/>
        <w:between w:val="nil"/>
      </w:pBdr>
      <w:spacing w:after="75" w:line="287" w:lineRule="auto"/>
      <w:ind w:left="951" w:hanging="10"/>
      <w:jc w:val="center"/>
    </w:pPr>
    <w:rPr>
      <w:rFonts w:ascii="Arial" w:eastAsia="Arial" w:hAnsi="Arial" w:cs="Arial"/>
      <w:b/>
      <w:bCs/>
      <w:color w:val="000000"/>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Hipervnculo">
    <w:name w:val="Hyperlink"/>
    <w:rPr>
      <w:u w:val="single"/>
    </w:rPr>
  </w:style>
  <w:style w:type="table" w:customStyle="1" w:styleId="TableNormal2">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uerpo">
    <w:name w:val="Cuerpo"/>
    <w:rPr>
      <w:rFonts w:ascii="Calibri" w:hAnsi="Calibri" w:cs="Arial Unicode MS"/>
      <w:color w:val="000000"/>
      <w:u w:color="000000"/>
      <w:lang w:val="pt-PT"/>
      <w14:textOutline w14:w="0" w14:cap="flat" w14:cmpd="sng" w14:algn="ctr">
        <w14:noFill/>
        <w14:prstDash w14:val="solid"/>
        <w14:bevel/>
      </w14:textOutline>
    </w:rPr>
  </w:style>
  <w:style w:type="character" w:customStyle="1" w:styleId="Ninguno">
    <w:name w:val="Ninguno"/>
    <w:rPr>
      <w:lang w:val="pt-PT"/>
    </w:rPr>
  </w:style>
  <w:style w:type="numbering" w:customStyle="1" w:styleId="Estiloimportado1">
    <w:name w:val="Estilo importado 1"/>
  </w:style>
  <w:style w:type="paragraph" w:customStyle="1" w:styleId="Predeterminado">
    <w:name w:val="Predeterminado"/>
    <w:pPr>
      <w:spacing w:before="160" w:line="288" w:lineRule="auto"/>
    </w:pPr>
    <w:rPr>
      <w:rFonts w:ascii="Helvetica Neue" w:hAnsi="Helvetica Neue" w:cs="Arial Unicode MS"/>
      <w:color w:val="000000"/>
      <w14:textOutline w14:w="0" w14:cap="flat" w14:cmpd="sng" w14:algn="ctr">
        <w14:noFill/>
        <w14:prstDash w14:val="solid"/>
        <w14:bevel/>
      </w14:textOutline>
    </w:rPr>
  </w:style>
  <w:style w:type="paragraph" w:styleId="Textonotapie">
    <w:name w:val="footnote text"/>
    <w:basedOn w:val="Normal"/>
    <w:link w:val="TextonotapieCar"/>
    <w:uiPriority w:val="99"/>
    <w:semiHidden/>
    <w:unhideWhenUsed/>
    <w:rsid w:val="00035E22"/>
    <w:rPr>
      <w:sz w:val="20"/>
      <w:szCs w:val="20"/>
    </w:rPr>
  </w:style>
  <w:style w:type="character" w:customStyle="1" w:styleId="TextonotapieCar">
    <w:name w:val="Texto nota pie Car"/>
    <w:basedOn w:val="Fuentedeprrafopredeter"/>
    <w:link w:val="Textonotapie"/>
    <w:uiPriority w:val="99"/>
    <w:semiHidden/>
    <w:rsid w:val="00035E22"/>
    <w:rPr>
      <w:lang w:val="en-US" w:eastAsia="en-US"/>
    </w:rPr>
  </w:style>
  <w:style w:type="character" w:styleId="Refdenotaalpie">
    <w:name w:val="footnote reference"/>
    <w:basedOn w:val="Fuentedeprrafopredeter"/>
    <w:uiPriority w:val="99"/>
    <w:semiHidden/>
    <w:unhideWhenUsed/>
    <w:rsid w:val="00035E22"/>
    <w:rPr>
      <w:vertAlign w:val="superscript"/>
    </w:rPr>
  </w:style>
  <w:style w:type="table" w:customStyle="1" w:styleId="a">
    <w:basedOn w:val="TableNormal2"/>
    <w:tblPr>
      <w:tblStyleRowBandSize w:val="1"/>
      <w:tblStyleColBandSize w:val="1"/>
    </w:tblPr>
  </w:style>
  <w:style w:type="table" w:customStyle="1" w:styleId="a0">
    <w:basedOn w:val="TableNormal1"/>
    <w:tblPr>
      <w:tblStyleRowBandSize w:val="1"/>
      <w:tblStyleColBandSize w:val="1"/>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paragraph" w:styleId="Sinespaciado">
    <w:name w:val="No Spacing"/>
    <w:uiPriority w:val="1"/>
    <w:qFormat/>
    <w:rsid w:val="00177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martin_arjona@hot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earceomis@gmail.com" TargetMode="External"/><Relationship Id="rId4" Type="http://schemas.openxmlformats.org/officeDocument/2006/relationships/settings" Target="settings.xml"/><Relationship Id="rId9" Type="http://schemas.openxmlformats.org/officeDocument/2006/relationships/hyperlink" Target="mailto:fidelvillanueva@prodigy.net.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DmMoe0DlPemGp14kWG2aN/pwYw==">CgMxLjAyDmguYzhsbDhubW0wOTNqMg1oLmUxeTN2cXU2eXd2OAByITFZdEJpNkJLMVBXcHNZRzFocjluVU5IOFN5NkdwZDRhRA==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6716</Words>
  <Characters>36939</Characters>
  <Application>Microsoft Office Word</Application>
  <DocSecurity>0</DocSecurity>
  <Lines>307</Lines>
  <Paragraphs>87</Paragraphs>
  <ScaleCrop>false</ScaleCrop>
  <Company/>
  <LinksUpToDate>false</LinksUpToDate>
  <CharactersWithSpaces>43568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Personal</dc:creator>
  <cp:lastModifiedBy>Personal</cp:lastModifiedBy>
  <cp:revision>3</cp:revision>
  <dcterms:created xsi:type="dcterms:W3CDTF">2025-11-21T19:50:00Z</dcterms:created>
  <dcterms:modified xsi:type="dcterms:W3CDTF">2025-11-21T20:02:00Z</dcterms:modified>
</cp:coreProperties>
</file>