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ind w:left="3820" w:firstLine="0"/>
        <w:jc w:val="both"/>
        <w:rPr>
          <w:b w:val="1"/>
          <w:bCs w:val="1"/>
          <w:sz w:val="24"/>
          <w:szCs w:val="24"/>
        </w:rPr>
      </w:pPr>
      <w:r w:rsidDel="00000000" w:rsidR="00000000" w:rsidRPr="00000000">
        <w:rPr>
          <w:b w:val="1"/>
          <w:bCs w:val="1"/>
          <w:sz w:val="24"/>
          <w:szCs w:val="24"/>
          <w:rtl w:val="0"/>
        </w:rPr>
        <w:t xml:space="preserve">AMPARO INDIRECTO: 1137/2025-II-PRAL.</w:t>
      </w:r>
    </w:p>
    <w:p w:rsidR="00000000" w:rsidDel="00000000" w:rsidP="00000000" w:rsidRDefault="00000000" w:rsidRPr="00000000" w14:paraId="00000002">
      <w:pPr>
        <w:spacing w:after="240" w:before="240" w:line="360" w:lineRule="auto"/>
        <w:ind w:left="3820" w:firstLine="0"/>
        <w:jc w:val="both"/>
        <w:rPr>
          <w:b w:val="1"/>
          <w:bCs w:val="1"/>
          <w:sz w:val="24"/>
          <w:szCs w:val="24"/>
        </w:rPr>
      </w:pPr>
      <w:r w:rsidDel="00000000" w:rsidR="00000000" w:rsidRPr="00000000">
        <w:rPr>
          <w:b w:val="1"/>
          <w:bCs w:val="1"/>
          <w:sz w:val="24"/>
          <w:szCs w:val="24"/>
          <w:rtl w:val="0"/>
        </w:rPr>
        <w:t xml:space="preserve">QUEJOSO: EDUARDO DE MARTIN ALBOR VILLANUEVA.</w:t>
      </w:r>
    </w:p>
    <w:p w:rsidR="00000000" w:rsidDel="00000000" w:rsidP="00000000" w:rsidRDefault="00000000" w:rsidRPr="00000000" w14:paraId="00000003">
      <w:pPr>
        <w:spacing w:after="240" w:before="240" w:line="360" w:lineRule="auto"/>
        <w:ind w:left="3820" w:firstLine="0"/>
        <w:jc w:val="both"/>
        <w:rPr>
          <w:b w:val="1"/>
          <w:bCs w:val="1"/>
          <w:sz w:val="24"/>
          <w:szCs w:val="24"/>
        </w:rPr>
      </w:pPr>
      <w:r w:rsidDel="00000000" w:rsidR="00000000" w:rsidRPr="00000000">
        <w:rPr>
          <w:b w:val="1"/>
          <w:bCs w:val="1"/>
          <w:sz w:val="24"/>
          <w:szCs w:val="24"/>
          <w:rtl w:val="0"/>
        </w:rPr>
        <w:t xml:space="preserve">AUTORIDADES RESPONSABLES:</w:t>
      </w:r>
    </w:p>
    <w:p w:rsidR="00000000" w:rsidDel="00000000" w:rsidP="00000000" w:rsidRDefault="00000000" w:rsidRPr="00000000" w14:paraId="00000004">
      <w:pPr>
        <w:spacing w:after="240" w:before="240" w:line="360" w:lineRule="auto"/>
        <w:ind w:left="4680" w:hanging="360"/>
        <w:jc w:val="both"/>
        <w:rPr>
          <w:b w:val="1"/>
          <w:bCs w:val="1"/>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b w:val="1"/>
          <w:bCs w:val="1"/>
          <w:sz w:val="12"/>
          <w:szCs w:val="12"/>
          <w:rtl w:val="0"/>
        </w:rPr>
        <w:t xml:space="preserve">  </w:t>
      </w:r>
      <w:r w:rsidDel="00000000" w:rsidR="00000000" w:rsidRPr="00000000">
        <w:rPr>
          <w:b w:val="1"/>
          <w:bCs w:val="1"/>
          <w:rtl w:val="0"/>
        </w:rPr>
        <w:t xml:space="preserve">CÉSAR ENRIQUE MORALES HERNANDEZ, JUEZ DE CONTROL Y JUICIO ORAL ADSCRITA A LOS JUZGADOS DE CONTROL Y TRIBUNALES DE JUICIO ORAL PENAL DE PRIMERA INSTANCIA DEL DISTRITO JUDICIAL DE CANCUN, QUINTANA ROO.</w:t>
      </w:r>
    </w:p>
    <w:p w:rsidR="00000000" w:rsidDel="00000000" w:rsidP="00000000" w:rsidRDefault="00000000" w:rsidRPr="00000000" w14:paraId="00000005">
      <w:pPr>
        <w:spacing w:after="240" w:before="240" w:line="360" w:lineRule="auto"/>
        <w:ind w:left="4680" w:hanging="360"/>
        <w:jc w:val="both"/>
        <w:rPr>
          <w:b w:val="1"/>
          <w:bCs w:val="1"/>
        </w:rPr>
      </w:pPr>
      <w:r w:rsidDel="00000000" w:rsidR="00000000" w:rsidRPr="00000000">
        <w:rPr>
          <w:b w:val="1"/>
          <w:bCs w:val="1"/>
          <w:rtl w:val="0"/>
        </w:rPr>
        <w:t xml:space="preserve">-</w:t>
      </w:r>
      <w:r w:rsidDel="00000000" w:rsidR="00000000" w:rsidRPr="00000000">
        <w:rPr>
          <w:rFonts w:ascii="Times New Roman" w:cs="Times New Roman" w:eastAsia="Times New Roman" w:hAnsi="Times New Roman"/>
          <w:b w:val="1"/>
          <w:bCs w:val="1"/>
          <w:sz w:val="12"/>
          <w:szCs w:val="12"/>
          <w:rtl w:val="0"/>
        </w:rPr>
        <w:t xml:space="preserve">        </w:t>
      </w:r>
      <w:r w:rsidDel="00000000" w:rsidR="00000000" w:rsidRPr="00000000">
        <w:rPr>
          <w:b w:val="1"/>
          <w:bCs w:val="1"/>
          <w:rtl w:val="0"/>
        </w:rPr>
        <w:t xml:space="preserve">MTRO. GUSTAVO ALFONSO RAMÍREZ CEQUERA, JUEZ DEL SISTEMA PROCESAL PENAL ACUSATORIO DE LA CIUDAD DE MÉXICO, EN FUNCIONES DE JUEZ DE TRÁMITE, ADSCRITO A LA UNIDAD DE GESTIÓN JUDICIAL 14, TIPO 2.</w:t>
      </w:r>
    </w:p>
    <w:p w:rsidR="00000000" w:rsidDel="00000000" w:rsidP="00000000" w:rsidRDefault="00000000" w:rsidRPr="00000000" w14:paraId="00000006">
      <w:pPr>
        <w:spacing w:after="240" w:before="240" w:line="360" w:lineRule="auto"/>
        <w:ind w:left="4680" w:hanging="360"/>
        <w:jc w:val="both"/>
        <w:rPr>
          <w:b w:val="1"/>
          <w:bCs w:val="1"/>
          <w:sz w:val="24"/>
          <w:szCs w:val="24"/>
        </w:rPr>
      </w:pPr>
      <w:r w:rsidDel="00000000" w:rsidR="00000000" w:rsidRPr="00000000">
        <w:rPr>
          <w:b w:val="1"/>
          <w:bCs w:val="1"/>
          <w:sz w:val="24"/>
          <w:szCs w:val="24"/>
          <w:rtl w:val="0"/>
        </w:rPr>
        <w:t xml:space="preserve">ASUNTO: INCIDENTE DE NULIDAD DE NOTIFICACIONES</w:t>
      </w:r>
    </w:p>
    <w:p w:rsidR="00000000" w:rsidDel="00000000" w:rsidP="00000000" w:rsidRDefault="00000000" w:rsidRPr="00000000" w14:paraId="00000007">
      <w:pPr>
        <w:spacing w:after="160" w:before="240" w:line="360"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8">
      <w:pPr>
        <w:spacing w:after="160" w:before="240" w:line="360" w:lineRule="auto"/>
        <w:jc w:val="both"/>
        <w:rPr>
          <w:b w:val="1"/>
          <w:bCs w:val="1"/>
          <w:sz w:val="24"/>
          <w:szCs w:val="24"/>
        </w:rPr>
      </w:pPr>
      <w:r w:rsidDel="00000000" w:rsidR="00000000" w:rsidRPr="00000000">
        <w:rPr>
          <w:b w:val="1"/>
          <w:bCs w:val="1"/>
          <w:sz w:val="24"/>
          <w:szCs w:val="24"/>
          <w:rtl w:val="0"/>
        </w:rPr>
        <w:t xml:space="preserve">C. JUEZ TERCERO DE DISTRITO CON SEDE EN LA CIUDAD DE CANCÚN, EN EL ESTADO DE QUINTANA ROO</w:t>
      </w:r>
    </w:p>
    <w:p w:rsidR="00000000" w:rsidDel="00000000" w:rsidP="00000000" w:rsidRDefault="00000000" w:rsidRPr="00000000" w14:paraId="00000009">
      <w:pPr>
        <w:spacing w:after="160" w:before="240" w:line="360" w:lineRule="auto"/>
        <w:jc w:val="both"/>
        <w:rPr>
          <w:b w:val="1"/>
          <w:bCs w:val="1"/>
          <w:sz w:val="24"/>
          <w:szCs w:val="24"/>
        </w:rPr>
      </w:pPr>
      <w:r w:rsidDel="00000000" w:rsidR="00000000" w:rsidRPr="00000000">
        <w:rPr>
          <w:sz w:val="24"/>
          <w:szCs w:val="24"/>
          <w:rtl w:val="0"/>
        </w:rPr>
        <w:t xml:space="preserve">P R E S E N T E</w:t>
      </w:r>
      <w:r w:rsidDel="00000000" w:rsidR="00000000" w:rsidRPr="00000000">
        <w:rPr>
          <w:rtl w:val="0"/>
        </w:rPr>
      </w:r>
    </w:p>
    <w:p w:rsidR="00000000" w:rsidDel="00000000" w:rsidP="00000000" w:rsidRDefault="00000000" w:rsidRPr="00000000" w14:paraId="0000000A">
      <w:pPr>
        <w:spacing w:after="160" w:before="240" w:line="360" w:lineRule="auto"/>
        <w:ind w:firstLine="720"/>
        <w:jc w:val="both"/>
        <w:rPr>
          <w:sz w:val="24"/>
          <w:szCs w:val="24"/>
        </w:rPr>
      </w:pPr>
      <w:r w:rsidDel="00000000" w:rsidR="00000000" w:rsidRPr="00000000">
        <w:rPr>
          <w:b w:val="1"/>
          <w:bCs w:val="1"/>
          <w:sz w:val="24"/>
          <w:szCs w:val="24"/>
          <w:rtl w:val="0"/>
        </w:rPr>
        <w:t xml:space="preserve">EDUARDO DE MARTIN ALBOR VILLANUEVA</w:t>
      </w:r>
      <w:r w:rsidDel="00000000" w:rsidR="00000000" w:rsidRPr="00000000">
        <w:rPr>
          <w:sz w:val="24"/>
          <w:szCs w:val="24"/>
          <w:rtl w:val="0"/>
        </w:rPr>
        <w:t xml:space="preserve">, en mi carácter de quejoso dentro del juicio de amparo señalado en el rubro de arriba, con el debido respeto comparezco para exponer lo siguiente:</w:t>
      </w:r>
    </w:p>
    <w:p w:rsidR="00000000" w:rsidDel="00000000" w:rsidP="00000000" w:rsidRDefault="00000000" w:rsidRPr="00000000" w14:paraId="0000000B">
      <w:pPr>
        <w:spacing w:after="160" w:before="24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C">
      <w:pPr>
        <w:spacing w:after="160" w:before="240" w:line="360" w:lineRule="auto"/>
        <w:jc w:val="center"/>
        <w:rPr>
          <w:b w:val="1"/>
          <w:bCs w:val="1"/>
          <w:sz w:val="24"/>
          <w:szCs w:val="24"/>
        </w:rPr>
      </w:pPr>
      <w:r w:rsidDel="00000000" w:rsidR="00000000" w:rsidRPr="00000000">
        <w:rPr>
          <w:b w:val="1"/>
          <w:bCs w:val="1"/>
          <w:sz w:val="24"/>
          <w:szCs w:val="24"/>
          <w:rtl w:val="0"/>
        </w:rPr>
        <w:t xml:space="preserve">PRETENSIÓN</w:t>
      </w:r>
    </w:p>
    <w:p w:rsidR="00000000" w:rsidDel="00000000" w:rsidP="00000000" w:rsidRDefault="00000000" w:rsidRPr="00000000" w14:paraId="0000000D">
      <w:pPr>
        <w:spacing w:after="160" w:before="240" w:line="360" w:lineRule="auto"/>
        <w:ind w:firstLine="720"/>
        <w:jc w:val="both"/>
        <w:rPr>
          <w:b w:val="1"/>
          <w:bCs w:val="1"/>
          <w:sz w:val="24"/>
          <w:szCs w:val="24"/>
        </w:rPr>
      </w:pPr>
      <w:r w:rsidDel="00000000" w:rsidR="00000000" w:rsidRPr="00000000">
        <w:rPr>
          <w:sz w:val="24"/>
          <w:szCs w:val="24"/>
          <w:rtl w:val="0"/>
        </w:rPr>
        <w:t xml:space="preserve">Por medio del presente ocurso, vengo a promover Incidente de Nulidad de Notificaciones del acuerdo de fecha 26 de noviembre del año 2025, con fundamento en el artículo 8 de la Constitución de la República y con fundamento en los artículos 66, 68 y 69 de la Ley de Amparo, toda vez que la notificación de dicho acuerdo no cumplio con las formalidades establecidas en el artículo 26 de la propia ley en la fracción I, inciso j).</w:t>
      </w:r>
      <w:r w:rsidDel="00000000" w:rsidR="00000000" w:rsidRPr="00000000">
        <w:rPr>
          <w:rtl w:val="0"/>
        </w:rPr>
      </w:r>
    </w:p>
    <w:p w:rsidR="00000000" w:rsidDel="00000000" w:rsidP="00000000" w:rsidRDefault="00000000" w:rsidRPr="00000000" w14:paraId="0000000E">
      <w:pPr>
        <w:spacing w:after="160" w:before="240" w:lineRule="auto"/>
        <w:ind w:left="720" w:firstLine="0"/>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0F">
      <w:pPr>
        <w:numPr>
          <w:ilvl w:val="0"/>
          <w:numId w:val="2"/>
        </w:numPr>
        <w:spacing w:after="0" w:afterAutospacing="0" w:line="360" w:lineRule="auto"/>
        <w:ind w:left="720" w:hanging="360"/>
        <w:jc w:val="both"/>
      </w:pPr>
      <w:r w:rsidDel="00000000" w:rsidR="00000000" w:rsidRPr="00000000">
        <w:rPr>
          <w:sz w:val="24"/>
          <w:szCs w:val="24"/>
          <w:rtl w:val="0"/>
        </w:rPr>
        <w:t xml:space="preserve">En fecha 21 de noviembre del año 2025, se presentó una Demanda de Amparo Indirectos en contra de las Autoridades Responsables el C. César Enrique Morales Hernández, Juez de Control y Juicio Oral adscrito a los Juzgados de Control y Tribunales de Juicio Oral Penal de Primera Instancia del Distrito Judicial de Cancún, Quintana Roo, y el Mtro. Gustavo  Alfonso Ramírez Cequera, Juez del Sistema Procesal Penal Acusatorio de la Ciudad de México, en Funciones de Juez de Trámite, Adscrito a la Unidad de Gestión Judicial 14, Tipo 2, en la Ciudad de México. </w:t>
      </w:r>
    </w:p>
    <w:p w:rsidR="00000000" w:rsidDel="00000000" w:rsidP="00000000" w:rsidRDefault="00000000" w:rsidRPr="00000000" w14:paraId="00000010">
      <w:pPr>
        <w:numPr>
          <w:ilvl w:val="0"/>
          <w:numId w:val="2"/>
        </w:numPr>
        <w:spacing w:after="0" w:afterAutospacing="0" w:line="360" w:lineRule="auto"/>
        <w:ind w:left="720" w:hanging="360"/>
        <w:jc w:val="both"/>
        <w:rPr>
          <w:sz w:val="24"/>
          <w:szCs w:val="24"/>
          <w:u w:val="none"/>
        </w:rPr>
      </w:pPr>
      <w:r w:rsidDel="00000000" w:rsidR="00000000" w:rsidRPr="00000000">
        <w:rPr>
          <w:sz w:val="24"/>
          <w:szCs w:val="24"/>
          <w:rtl w:val="0"/>
        </w:rPr>
        <w:t xml:space="preserve">Mediante acuerdo de fecha 26 de noviembre del año 2025, se DESECHÓ DE PLANO la demanda de amparo indirecto.</w:t>
      </w:r>
    </w:p>
    <w:p w:rsidR="00000000" w:rsidDel="00000000" w:rsidP="00000000" w:rsidRDefault="00000000" w:rsidRPr="00000000" w14:paraId="00000011">
      <w:pPr>
        <w:numPr>
          <w:ilvl w:val="0"/>
          <w:numId w:val="2"/>
        </w:numPr>
        <w:spacing w:after="240" w:line="360" w:lineRule="auto"/>
        <w:ind w:left="720" w:hanging="360"/>
        <w:jc w:val="both"/>
        <w:rPr>
          <w:sz w:val="24"/>
          <w:szCs w:val="24"/>
          <w:u w:val="none"/>
        </w:rPr>
      </w:pPr>
      <w:r w:rsidDel="00000000" w:rsidR="00000000" w:rsidRPr="00000000">
        <w:rPr>
          <w:sz w:val="24"/>
          <w:szCs w:val="24"/>
          <w:rtl w:val="0"/>
        </w:rPr>
        <w:t xml:space="preserve">En fecha 28 de noviembre del año 2025, se me notificó por medio electrónico el acuerdo de fecha 26 de noviembre del mismo año.</w:t>
      </w:r>
    </w:p>
    <w:p w:rsidR="00000000" w:rsidDel="00000000" w:rsidP="00000000" w:rsidRDefault="00000000" w:rsidRPr="00000000" w14:paraId="00000012">
      <w:pPr>
        <w:spacing w:after="160" w:before="240" w:lineRule="auto"/>
        <w:jc w:val="center"/>
        <w:rPr>
          <w:b w:val="1"/>
          <w:bCs w:val="1"/>
          <w:sz w:val="24"/>
          <w:szCs w:val="24"/>
        </w:rPr>
      </w:pPr>
      <w:r w:rsidDel="00000000" w:rsidR="00000000" w:rsidRPr="00000000">
        <w:rPr>
          <w:b w:val="1"/>
          <w:bCs w:val="1"/>
          <w:sz w:val="24"/>
          <w:szCs w:val="24"/>
          <w:rtl w:val="0"/>
        </w:rPr>
        <w:t xml:space="preserve">HECHOS</w:t>
      </w:r>
    </w:p>
    <w:p w:rsidR="00000000" w:rsidDel="00000000" w:rsidP="00000000" w:rsidRDefault="00000000" w:rsidRPr="00000000" w14:paraId="00000013">
      <w:pPr>
        <w:spacing w:after="160" w:before="240" w:line="360" w:lineRule="auto"/>
        <w:jc w:val="both"/>
        <w:rPr>
          <w:sz w:val="24"/>
          <w:szCs w:val="24"/>
        </w:rPr>
      </w:pPr>
      <w:r w:rsidDel="00000000" w:rsidR="00000000" w:rsidRPr="00000000">
        <w:rPr>
          <w:b w:val="1"/>
          <w:bCs w:val="1"/>
          <w:sz w:val="24"/>
          <w:szCs w:val="24"/>
          <w:rtl w:val="0"/>
        </w:rPr>
        <w:t xml:space="preserve">PRIMERO. - </w:t>
      </w:r>
      <w:r w:rsidDel="00000000" w:rsidR="00000000" w:rsidRPr="00000000">
        <w:rPr>
          <w:sz w:val="24"/>
          <w:szCs w:val="24"/>
          <w:rtl w:val="0"/>
        </w:rPr>
        <w:t xml:space="preserve">Conforme a lo dispuesto por el artículo 26 de la Ley de Amparo, las notificaciones en el juicio amparo no constituye una mera formalidad, sino un elemento esencial del debido proceso y del derecho humano de acceso efectivo a la justicia, en tanto que de la correcta comunicación de las resoluciones judiciales depende el ejercicio oportuno del derecho de defensa. En particular, la fracción I, inciso j), de dicho precepto establece de manera expresa y categórica que deben notificarse de forma personal las resoluciones que desechen la demanda de amparo o la tengan por no interpuesta, previsión normativa que no deja margen de interpretación discrecional al órgano jurisdiccional, sino que impone una obligación concreta y de carácter imperativo. En el caso que se analiza, mediante acuerdo de fecha 26 de noviembre de 2026 se desechó la demanda de amparo, determinación que, por su naturaleza, impide la apertura del juicio constitucional y priva a la parte quejosa del estudio de fondo de su pretensión, constituyéndose así en una resolución de especial trascendencia procesal. Precisamente por ese efecto excluyente y definitivo en la etapa inicial del procedimiento, el juzgador no previó que su notificación se realice de manera personal, a fin de garantizar que al quejoso tenga conocimiento pleno, cierto y directo de la determinación que afecta de manera inmediata su derecho de acceso a la jurisdicción constitucional y la posibilidad de impugnarla oportunamente.</w:t>
      </w:r>
    </w:p>
    <w:p w:rsidR="00000000" w:rsidDel="00000000" w:rsidP="00000000" w:rsidRDefault="00000000" w:rsidRPr="00000000" w14:paraId="00000014">
      <w:pPr>
        <w:spacing w:after="240" w:before="240" w:line="360" w:lineRule="auto"/>
        <w:jc w:val="both"/>
        <w:rPr>
          <w:sz w:val="24"/>
          <w:szCs w:val="24"/>
        </w:rPr>
      </w:pPr>
      <w:r w:rsidDel="00000000" w:rsidR="00000000" w:rsidRPr="00000000">
        <w:rPr>
          <w:sz w:val="24"/>
          <w:szCs w:val="24"/>
          <w:rtl w:val="0"/>
        </w:rPr>
        <w:t xml:space="preserve">No obstante lo anterior, la notificación del referido acuerdo se ordenó realizar por vía electrónica a la parte quejosa, lo cual resulta contrario a derecho por dos razones plenamente justificadas. En primer término, </w:t>
      </w:r>
      <w:r w:rsidDel="00000000" w:rsidR="00000000" w:rsidRPr="00000000">
        <w:rPr>
          <w:sz w:val="24"/>
          <w:szCs w:val="24"/>
          <w:rtl w:val="0"/>
        </w:rPr>
        <w:t xml:space="preserve">por tratarse de una resolución que desecha la demanda de amparo,</w:t>
      </w:r>
      <w:r w:rsidDel="00000000" w:rsidR="00000000" w:rsidRPr="00000000">
        <w:rPr>
          <w:sz w:val="24"/>
          <w:szCs w:val="24"/>
          <w:rtl w:val="0"/>
        </w:rPr>
        <w:t xml:space="preserve"> refuerza la exigencia de que ésta se practique de manera personal, toda vez que dicha comunicación judicial formaliza la relación procesal, permitiendo al quejoso conocer con certeza la existencia y el estado del procedimiento y asegura que no se vea colocado en un estado de indefensión por desconocimiento de una resolución que afecta directamente su esfera jurídica. En segundo término, y de manera aún más relevante, porque el propio contenido del acuerdo (el desechamiento de la demanda) actualiza de forma directa el supuesto previsto en el artículo 26, fracción I, inciso j), de la Ley de Amparo, que obliga a la notificación personal con independencia de cualquier otra consideración.</w:t>
      </w:r>
    </w:p>
    <w:p w:rsidR="00000000" w:rsidDel="00000000" w:rsidP="00000000" w:rsidRDefault="00000000" w:rsidRPr="00000000" w14:paraId="00000015">
      <w:pPr>
        <w:spacing w:after="240" w:before="240" w:line="360" w:lineRule="auto"/>
        <w:jc w:val="both"/>
        <w:rPr>
          <w:sz w:val="24"/>
          <w:szCs w:val="24"/>
        </w:rPr>
      </w:pPr>
      <w:r w:rsidDel="00000000" w:rsidR="00000000" w:rsidRPr="00000000">
        <w:rPr>
          <w:sz w:val="24"/>
          <w:szCs w:val="24"/>
          <w:rtl w:val="0"/>
        </w:rPr>
        <w:t xml:space="preserve">Si bien la Ley de Amparo reconoce la validez y utilidad de las notificaciones por medios electrónicos, éstas no pueden sustituir a la notificación personal en aquellos casos en los que la propia ley reserva expresamente dicha forma de comunicación, pues admitir lo contrario implicaría vaciar de contenido la norma legal, vulnerar el principio de legalidad procesal y generar inseguridad jurídica. Una notificación practicada en forma diversa a la prevista por la ley carece de eficacia para producir válidamente sus efectos, particularmente en lo relativo al inicio del cómputo de plazos para la interposición de los medios de defensa procedentes, como lo es el recurso de queja contra el desechamiento de la demanda.</w:t>
      </w:r>
    </w:p>
    <w:p w:rsidR="00000000" w:rsidDel="00000000" w:rsidP="00000000" w:rsidRDefault="00000000" w:rsidRPr="00000000" w14:paraId="00000016">
      <w:pPr>
        <w:spacing w:after="240" w:before="240" w:line="360" w:lineRule="auto"/>
        <w:jc w:val="both"/>
        <w:rPr>
          <w:sz w:val="24"/>
          <w:szCs w:val="24"/>
        </w:rPr>
      </w:pPr>
      <w:r w:rsidDel="00000000" w:rsidR="00000000" w:rsidRPr="00000000">
        <w:rPr>
          <w:sz w:val="24"/>
          <w:szCs w:val="24"/>
          <w:rtl w:val="0"/>
        </w:rPr>
        <w:t xml:space="preserve">En ese contexto, la notificación electrónica ordenada respecto del acuerdo de 26 de noviembre de 2026 debe considerarse ilegal e ineficaz, al no ajustarse a las exigencias del artículo 26 de la Ley de Amparo ni a los principios constitucionales de debido proceso, seguridad jurídica y acceso efectivo a la justicia consagrados en el artículo 17 de la Constitución Federal. Dicha irregularidad procesal no puede estimarse menor o intrascendente, pues incide directamente en la posibilidad real de la parte quejosa de conocer oportunamente la resolución, controvertida y evitar la preclusión de sus derechos, generando con ello un estado de indefensión. En consecuencia, mientras no se practique la notificación personal conforme a derecho, el acuerdo de desechamiento no puede considerarse válidamente notificado ni surtir plenamente sus efectos procesales.</w:t>
      </w:r>
    </w:p>
    <w:p w:rsidR="00000000" w:rsidDel="00000000" w:rsidP="00000000" w:rsidRDefault="00000000" w:rsidRPr="00000000" w14:paraId="00000017">
      <w:pPr>
        <w:spacing w:after="160" w:before="240" w:line="360" w:lineRule="auto"/>
        <w:jc w:val="both"/>
        <w:rPr>
          <w:sz w:val="24"/>
          <w:szCs w:val="24"/>
        </w:rPr>
      </w:pPr>
      <w:r w:rsidDel="00000000" w:rsidR="00000000" w:rsidRPr="00000000">
        <w:rPr>
          <w:b w:val="1"/>
          <w:bCs w:val="1"/>
          <w:sz w:val="24"/>
          <w:szCs w:val="24"/>
          <w:rtl w:val="0"/>
        </w:rPr>
        <w:t xml:space="preserve">SEGUNDO.-</w:t>
      </w:r>
      <w:r w:rsidDel="00000000" w:rsidR="00000000" w:rsidRPr="00000000">
        <w:rPr>
          <w:sz w:val="24"/>
          <w:szCs w:val="24"/>
          <w:rtl w:val="0"/>
        </w:rPr>
        <w:t xml:space="preserve">  Es claro precisar, que en términos de la teoría de la regla, la excepción prevista en una regla general no tiene por efecto desplazar una regla específica, sino únicamente limitar el ámbito de aplicación de la regla general. En consecuencia, tratándose de supuestos expresamente regulados por el artículo 26 de la Ley de Amparo, dicha disposición especial resulta aplicable de manera preferente, mientras que el artículo 30 opera únicamente de forma supletoria y en lo que no se oponga a la naturaleza.</w:t>
      </w:r>
    </w:p>
    <w:p w:rsidR="00000000" w:rsidDel="00000000" w:rsidP="00000000" w:rsidRDefault="00000000" w:rsidRPr="00000000" w14:paraId="00000018">
      <w:pPr>
        <w:spacing w:after="160" w:before="240" w:line="360" w:lineRule="auto"/>
        <w:jc w:val="both"/>
        <w:rPr>
          <w:sz w:val="24"/>
          <w:szCs w:val="24"/>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1335"/>
        <w:gridCol w:w="5565"/>
        <w:tblGridChange w:id="0">
          <w:tblGrid>
            <w:gridCol w:w="2115"/>
            <w:gridCol w:w="1335"/>
            <w:gridCol w:w="556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276" w:lineRule="auto"/>
              <w:jc w:val="both"/>
              <w:rPr>
                <w:b w:val="1"/>
                <w:bCs w:val="1"/>
              </w:rPr>
            </w:pPr>
            <w:r w:rsidDel="00000000" w:rsidR="00000000" w:rsidRPr="00000000">
              <w:rPr>
                <w:b w:val="1"/>
                <w:bCs w:val="1"/>
                <w:rtl w:val="0"/>
              </w:rPr>
              <w:t xml:space="preserve">Tipo de Regla </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276" w:lineRule="auto"/>
              <w:jc w:val="both"/>
              <w:rPr>
                <w:b w:val="1"/>
                <w:bCs w:val="1"/>
              </w:rPr>
            </w:pPr>
            <w:r w:rsidDel="00000000" w:rsidR="00000000" w:rsidRPr="00000000">
              <w:rPr>
                <w:b w:val="1"/>
                <w:bCs w:val="1"/>
                <w:rtl w:val="0"/>
              </w:rPr>
              <w:t xml:space="preserve">Artículos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276" w:lineRule="auto"/>
              <w:jc w:val="both"/>
              <w:rPr>
                <w:b w:val="1"/>
                <w:bCs w:val="1"/>
              </w:rPr>
            </w:pPr>
            <w:r w:rsidDel="00000000" w:rsidR="00000000" w:rsidRPr="00000000">
              <w:rPr>
                <w:b w:val="1"/>
                <w:bCs w:val="1"/>
                <w:rtl w:val="0"/>
              </w:rPr>
              <w:t xml:space="preserve">Determinación</w:t>
            </w:r>
          </w:p>
        </w:tc>
      </w:tr>
      <w:tr>
        <w:trPr>
          <w:cantSplit w:val="0"/>
          <w:trHeight w:val="103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276" w:lineRule="auto"/>
              <w:jc w:val="both"/>
              <w:rPr/>
            </w:pPr>
            <w:r w:rsidDel="00000000" w:rsidR="00000000" w:rsidRPr="00000000">
              <w:rPr>
                <w:rtl w:val="0"/>
              </w:rPr>
              <w:t xml:space="preserve">Específica</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276" w:lineRule="auto"/>
              <w:jc w:val="both"/>
              <w:rPr/>
            </w:pPr>
            <w:r w:rsidDel="00000000" w:rsidR="00000000" w:rsidRPr="00000000">
              <w:rPr>
                <w:rtl w:val="0"/>
              </w:rPr>
              <w:t xml:space="preserve">26</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276" w:lineRule="auto"/>
              <w:jc w:val="both"/>
              <w:rPr/>
            </w:pPr>
            <w:r w:rsidDel="00000000" w:rsidR="00000000" w:rsidRPr="00000000">
              <w:rPr>
                <w:rtl w:val="0"/>
              </w:rPr>
              <w:t xml:space="preserve">Determina qué actos deben notificarse de manera especial (p. ej., resoluciones que modifican o revocan la suspensión definitiva).</w:t>
            </w:r>
          </w:p>
        </w:tc>
      </w:tr>
      <w:tr>
        <w:trPr>
          <w:cantSplit w:val="0"/>
          <w:trHeight w:val="414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276" w:lineRule="auto"/>
              <w:jc w:val="both"/>
              <w:rPr/>
            </w:pPr>
            <w:r w:rsidDel="00000000" w:rsidR="00000000" w:rsidRPr="00000000">
              <w:rPr>
                <w:rtl w:val="0"/>
              </w:rPr>
              <w:t xml:space="preserve">General (Excepcional)</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276" w:lineRule="auto"/>
              <w:jc w:val="both"/>
              <w:rPr/>
            </w:pPr>
            <w:r w:rsidDel="00000000" w:rsidR="00000000" w:rsidRPr="00000000">
              <w:rPr>
                <w:rtl w:val="0"/>
              </w:rPr>
              <w:t xml:space="preserve"> 30</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276" w:lineRule="auto"/>
              <w:jc w:val="both"/>
              <w:rPr/>
            </w:pPr>
            <w:r w:rsidDel="00000000" w:rsidR="00000000" w:rsidRPr="00000000">
              <w:rPr>
                <w:rtl w:val="0"/>
              </w:rPr>
              <w:t xml:space="preserve">Es una regla general sobre notificaciones electrónicas.</w:t>
            </w:r>
          </w:p>
          <w:p w:rsidR="00000000" w:rsidDel="00000000" w:rsidP="00000000" w:rsidRDefault="00000000" w:rsidRPr="00000000" w14:paraId="00000022">
            <w:pPr>
              <w:spacing w:after="240" w:before="240" w:line="276" w:lineRule="auto"/>
              <w:jc w:val="both"/>
              <w:rPr/>
            </w:pPr>
            <w:r w:rsidDel="00000000" w:rsidR="00000000" w:rsidRPr="00000000">
              <w:rPr>
                <w:rtl w:val="0"/>
              </w:rPr>
              <w:t xml:space="preserve">Contiene excepciones internas, como:</w:t>
            </w:r>
          </w:p>
          <w:p w:rsidR="00000000" w:rsidDel="00000000" w:rsidP="00000000" w:rsidRDefault="00000000" w:rsidRPr="00000000" w14:paraId="00000023">
            <w:pPr>
              <w:spacing w:after="240" w:before="240" w:line="276" w:lineRule="auto"/>
              <w:jc w:val="both"/>
              <w:rPr/>
            </w:pPr>
            <w:r w:rsidDel="00000000" w:rsidR="00000000" w:rsidRPr="00000000">
              <w:rPr>
                <w:rtl w:val="0"/>
              </w:rPr>
              <w:t xml:space="preserve">•Plazo reducido de 24 horas en el incidente de suspensión.</w:t>
            </w:r>
          </w:p>
          <w:p w:rsidR="00000000" w:rsidDel="00000000" w:rsidP="00000000" w:rsidRDefault="00000000" w:rsidRPr="00000000" w14:paraId="00000024">
            <w:pPr>
              <w:spacing w:after="240" w:before="240" w:line="276" w:lineRule="auto"/>
              <w:jc w:val="both"/>
              <w:rPr/>
            </w:pPr>
            <w:r w:rsidDel="00000000" w:rsidR="00000000" w:rsidRPr="00000000">
              <w:rPr>
                <w:rtl w:val="0"/>
              </w:rPr>
              <w:t xml:space="preserve">•Posibilidad de notificación por actuario.</w:t>
            </w:r>
          </w:p>
          <w:p w:rsidR="00000000" w:rsidDel="00000000" w:rsidP="00000000" w:rsidRDefault="00000000" w:rsidRPr="00000000" w14:paraId="00000025">
            <w:pPr>
              <w:spacing w:after="240" w:before="240" w:line="276" w:lineRule="auto"/>
              <w:jc w:val="both"/>
              <w:rPr/>
            </w:pPr>
            <w:r w:rsidDel="00000000" w:rsidR="00000000" w:rsidRPr="00000000">
              <w:rPr>
                <w:rtl w:val="0"/>
              </w:rPr>
              <w:t xml:space="preserve">•Casos de fallas técnicas.</w:t>
            </w:r>
          </w:p>
          <w:p w:rsidR="00000000" w:rsidDel="00000000" w:rsidP="00000000" w:rsidRDefault="00000000" w:rsidRPr="00000000" w14:paraId="00000026">
            <w:pPr>
              <w:spacing w:after="240" w:before="240" w:line="276" w:lineRule="auto"/>
              <w:jc w:val="both"/>
              <w:rPr/>
            </w:pPr>
            <w:r w:rsidDel="00000000" w:rsidR="00000000" w:rsidRPr="00000000">
              <w:rPr>
                <w:rtl w:val="0"/>
              </w:rPr>
              <w:t xml:space="preserve">¿Qué excluye la excepción del artículo 30?</w:t>
            </w:r>
          </w:p>
          <w:p w:rsidR="00000000" w:rsidDel="00000000" w:rsidP="00000000" w:rsidRDefault="00000000" w:rsidRPr="00000000" w14:paraId="00000027">
            <w:pPr>
              <w:spacing w:after="240" w:before="240" w:line="276" w:lineRule="auto"/>
              <w:jc w:val="both"/>
              <w:rPr/>
            </w:pPr>
            <w:r w:rsidDel="00000000" w:rsidR="00000000" w:rsidRPr="00000000">
              <w:rPr>
                <w:rtl w:val="0"/>
              </w:rPr>
              <w:t xml:space="preserve">•Excluyen la aplicación ordinaria de la notificación electrónica (plazos de dos días, consulta diaria, etc.).</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360" w:lineRule="auto"/>
              <w:jc w:val="both"/>
              <w:rPr>
                <w:b w:val="1"/>
                <w:bCs w:val="1"/>
              </w:rPr>
            </w:pPr>
            <w:r w:rsidDel="00000000" w:rsidR="00000000" w:rsidRPr="00000000">
              <w:rPr>
                <w:b w:val="1"/>
                <w:bCs w:val="1"/>
                <w:rtl w:val="0"/>
              </w:rPr>
              <w:t xml:space="preserve">OBSERVACIÓN</w:t>
            </w:r>
          </w:p>
        </w:tc>
        <w:tc>
          <w:tcPr>
            <w:gridSpan w:val="2"/>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360" w:lineRule="auto"/>
              <w:jc w:val="both"/>
              <w:rPr/>
            </w:pPr>
            <w:r w:rsidDel="00000000" w:rsidR="00000000" w:rsidRPr="00000000">
              <w:rPr>
                <w:rtl w:val="0"/>
              </w:rPr>
              <w:t xml:space="preserve"> </w:t>
            </w:r>
            <w:r w:rsidDel="00000000" w:rsidR="00000000" w:rsidRPr="00000000">
              <w:rPr>
                <w:rtl w:val="0"/>
              </w:rPr>
              <w:t xml:space="preserve">Es importante señalar, que la regla general el artículo 30, no excluye a la regla específica del artículo 26, puesto que opera precisamente porque existe un supuesto especial.</w:t>
            </w:r>
            <w:r w:rsidDel="00000000" w:rsidR="00000000" w:rsidRPr="00000000">
              <w:rPr>
                <w:rtl w:val="0"/>
              </w:rPr>
            </w:r>
          </w:p>
        </w:tc>
      </w:tr>
    </w:tbl>
    <w:p w:rsidR="00000000" w:rsidDel="00000000" w:rsidP="00000000" w:rsidRDefault="00000000" w:rsidRPr="00000000" w14:paraId="0000002B">
      <w:pPr>
        <w:spacing w:after="160" w:before="240" w:line="360" w:lineRule="auto"/>
        <w:ind w:firstLine="720"/>
        <w:jc w:val="both"/>
        <w:rPr>
          <w:sz w:val="24"/>
          <w:szCs w:val="24"/>
        </w:rPr>
      </w:pPr>
      <w:r w:rsidDel="00000000" w:rsidR="00000000" w:rsidRPr="00000000">
        <w:rPr>
          <w:sz w:val="24"/>
          <w:szCs w:val="24"/>
          <w:rtl w:val="0"/>
        </w:rPr>
        <w:t xml:space="preserve">De conformidad con el marco normativo que rige el juicio de amparo, particularmente lo dispuesto en los artículos 30 y 26 de la Ley de Amparo, el uso de medios electrónicos para la tramitación del procedimiento y la práctica de notificaciones se encuentra condicionado al cumplimiento de requisitos específicos y, sobre todo, a la </w:t>
      </w:r>
      <w:r w:rsidDel="00000000" w:rsidR="00000000" w:rsidRPr="00000000">
        <w:rPr>
          <w:b w:val="1"/>
          <w:bCs w:val="1"/>
          <w:sz w:val="24"/>
          <w:szCs w:val="24"/>
          <w:rtl w:val="0"/>
        </w:rPr>
        <w:t xml:space="preserve">manifestación expresa de voluntad del quejoso</w:t>
      </w:r>
      <w:r w:rsidDel="00000000" w:rsidR="00000000" w:rsidRPr="00000000">
        <w:rPr>
          <w:sz w:val="24"/>
          <w:szCs w:val="24"/>
          <w:rtl w:val="0"/>
        </w:rPr>
        <w:t xml:space="preserve"> para someterse a la modalidad de juicio en línea, así como a la </w:t>
      </w:r>
      <w:r w:rsidDel="00000000" w:rsidR="00000000" w:rsidRPr="00000000">
        <w:rPr>
          <w:b w:val="1"/>
          <w:bCs w:val="1"/>
          <w:sz w:val="24"/>
          <w:szCs w:val="24"/>
          <w:rtl w:val="0"/>
        </w:rPr>
        <w:t xml:space="preserve">posesión y uso de firma electrónica</w:t>
      </w:r>
      <w:r w:rsidDel="00000000" w:rsidR="00000000" w:rsidRPr="00000000">
        <w:rPr>
          <w:sz w:val="24"/>
          <w:szCs w:val="24"/>
          <w:rtl w:val="0"/>
        </w:rPr>
        <w:t xml:space="preserve"> que permita autenticar válidamente las actuaciones procesales. La ausencia de estos elementos impide que las notificaciones electrónicas produzcan efectos jurídicos válidos y coloca al quejoso en un estado de indefensión. El artículo 30 de la Ley de Amparo, en su fracción II, prevé que las notificaciones podrán realizarse por medios electrónicos cuando el promovente cuente con firma electrónica y haya optado por ese medio para oír y recibir notificaciones, lo cual supone no solo la posibilidad técnica, sino también la </w:t>
      </w:r>
      <w:r w:rsidDel="00000000" w:rsidR="00000000" w:rsidRPr="00000000">
        <w:rPr>
          <w:b w:val="1"/>
          <w:bCs w:val="1"/>
          <w:sz w:val="24"/>
          <w:szCs w:val="24"/>
          <w:rtl w:val="0"/>
        </w:rPr>
        <w:t xml:space="preserve">aceptación expresa y voluntaria</w:t>
      </w:r>
      <w:r w:rsidDel="00000000" w:rsidR="00000000" w:rsidRPr="00000000">
        <w:rPr>
          <w:sz w:val="24"/>
          <w:szCs w:val="24"/>
          <w:rtl w:val="0"/>
        </w:rPr>
        <w:t xml:space="preserve"> de quedar sujeto a dicha forma de comunicación procesal. En el caso concreto, el quejoso </w:t>
      </w:r>
      <w:r w:rsidDel="00000000" w:rsidR="00000000" w:rsidRPr="00000000">
        <w:rPr>
          <w:b w:val="1"/>
          <w:bCs w:val="1"/>
          <w:sz w:val="24"/>
          <w:szCs w:val="24"/>
          <w:rtl w:val="0"/>
        </w:rPr>
        <w:t xml:space="preserve">no cuenta con firma electrónica</w:t>
      </w:r>
      <w:r w:rsidDel="00000000" w:rsidR="00000000" w:rsidRPr="00000000">
        <w:rPr>
          <w:sz w:val="24"/>
          <w:szCs w:val="24"/>
          <w:rtl w:val="0"/>
        </w:rPr>
        <w:t xml:space="preserve">, circunstancia que por sí sola impide que se le considere en aptitud jurídica de recibir notificaciones electrónicas en términos del citado precepto, ya que carece del mecanismo de autenticación exigido por la ley para garantizar la certeza, integridad y autoría de las comunicaciones procesales.</w:t>
      </w:r>
    </w:p>
    <w:p w:rsidR="00000000" w:rsidDel="00000000" w:rsidP="00000000" w:rsidRDefault="00000000" w:rsidRPr="00000000" w14:paraId="0000002C">
      <w:pPr>
        <w:spacing w:after="240" w:before="240" w:line="360" w:lineRule="auto"/>
        <w:jc w:val="both"/>
        <w:rPr>
          <w:sz w:val="24"/>
          <w:szCs w:val="24"/>
        </w:rPr>
      </w:pPr>
      <w:r w:rsidDel="00000000" w:rsidR="00000000" w:rsidRPr="00000000">
        <w:rPr>
          <w:sz w:val="24"/>
          <w:szCs w:val="24"/>
          <w:rtl w:val="0"/>
        </w:rPr>
        <w:t xml:space="preserve">Aunado a lo anterior, en el escrito inicial de demanda de amparo se dejó asentado de manera clara e inequívoca que </w:t>
      </w:r>
      <w:r w:rsidDel="00000000" w:rsidR="00000000" w:rsidRPr="00000000">
        <w:rPr>
          <w:b w:val="1"/>
          <w:bCs w:val="1"/>
          <w:sz w:val="24"/>
          <w:szCs w:val="24"/>
          <w:rtl w:val="0"/>
        </w:rPr>
        <w:t xml:space="preserve">no es voluntad del quejoso que el asunto se tramite bajo la modalidad de “juicio en línea”</w:t>
      </w:r>
      <w:r w:rsidDel="00000000" w:rsidR="00000000" w:rsidRPr="00000000">
        <w:rPr>
          <w:sz w:val="24"/>
          <w:szCs w:val="24"/>
          <w:rtl w:val="0"/>
        </w:rPr>
        <w:t xml:space="preserve">, precisando expresamente que, en consecuencia, </w:t>
      </w:r>
      <w:r w:rsidDel="00000000" w:rsidR="00000000" w:rsidRPr="00000000">
        <w:rPr>
          <w:b w:val="1"/>
          <w:bCs w:val="1"/>
          <w:sz w:val="24"/>
          <w:szCs w:val="24"/>
          <w:rtl w:val="0"/>
        </w:rPr>
        <w:t xml:space="preserve">todas las notificaciones que deban ser de carácter personal se practiquen en esa forma</w:t>
      </w:r>
      <w:r w:rsidDel="00000000" w:rsidR="00000000" w:rsidRPr="00000000">
        <w:rPr>
          <w:sz w:val="24"/>
          <w:szCs w:val="24"/>
          <w:rtl w:val="0"/>
        </w:rPr>
        <w:t xml:space="preserve">. Esta manifestación constituye un ejercicio legítimo del derecho del promovente a definir la vía y modalidad en la que desea que se sustancie su juicio, por lo que resulta jurídicamente improcedente que el órgano jurisdiccional imponga de manera unilateral el uso del sistema electrónico para la práctica de notificaciones personales, en contravención a la voluntad expresa del quejoso y a las disposiciones legales aplicables. Debe destacarse que en ningún momento el quejoso autorizó el juicio en línea ni consintió que las notificaciones personales se sustituyeran por notificaciones electrónicas. En consecuencia, no puede exigirse la carga procesal de ingresar de manera cotidiana al sistema electrónico del Poder Judicial de la Federación para verificar la existencia de acuerdos o constancias, pues dicha obligación sólo resulta exigible para quienes han optado expresamente por esa modalidad y cuentan con los medios técnicos y jurídicos (particularmente la firma electrónica) para interactuar válidamente con el sistema. Imponer tal carga al quejoso equivaldría a trasladar una obligación no prevista en la ley y contraria a su manifestación expresa de voluntad, vulnerando con ello el principio de legalidad procesal.</w:t>
      </w:r>
    </w:p>
    <w:p w:rsidR="00000000" w:rsidDel="00000000" w:rsidP="00000000" w:rsidRDefault="00000000" w:rsidRPr="00000000" w14:paraId="0000002D">
      <w:pPr>
        <w:spacing w:after="240" w:before="240" w:line="360" w:lineRule="auto"/>
        <w:jc w:val="both"/>
        <w:rPr>
          <w:sz w:val="24"/>
          <w:szCs w:val="24"/>
        </w:rPr>
      </w:pPr>
      <w:r w:rsidDel="00000000" w:rsidR="00000000" w:rsidRPr="00000000">
        <w:rPr>
          <w:sz w:val="24"/>
          <w:szCs w:val="24"/>
          <w:rtl w:val="0"/>
        </w:rPr>
        <w:t xml:space="preserve">En ese mismo sentido, el hecho de que se hayan proporcionado usuarios o claves de acceso al sistema electrónico </w:t>
      </w:r>
      <w:r w:rsidDel="00000000" w:rsidR="00000000" w:rsidRPr="00000000">
        <w:rPr>
          <w:b w:val="1"/>
          <w:bCs w:val="1"/>
          <w:sz w:val="24"/>
          <w:szCs w:val="24"/>
          <w:rtl w:val="0"/>
        </w:rPr>
        <w:t xml:space="preserve">únicamente para efectos de vinculación del expediente electrónico</w:t>
      </w:r>
      <w:r w:rsidDel="00000000" w:rsidR="00000000" w:rsidRPr="00000000">
        <w:rPr>
          <w:sz w:val="24"/>
          <w:szCs w:val="24"/>
          <w:rtl w:val="0"/>
        </w:rPr>
        <w:t xml:space="preserve"> no puede interpretarse, bajo ninguna circunstancia, como una autorización tácita para recibir notificaciones por esa vía. La vinculación del expediente tiene un alcance meramente instrumental y administrativo, distinto y plenamente diferenciable de la aceptación del juicio en línea y de las notificaciones electrónicas, las cuales requieren una manifestación clara, expresa e inequívoca del promovente, además del cumplimiento de los requisitos técnicos y jurídicos previstos en la Ley de Amparo.</w:t>
      </w:r>
    </w:p>
    <w:p w:rsidR="00000000" w:rsidDel="00000000" w:rsidP="00000000" w:rsidRDefault="00000000" w:rsidRPr="00000000" w14:paraId="0000002E">
      <w:pPr>
        <w:spacing w:after="240" w:before="240" w:line="360" w:lineRule="auto"/>
        <w:jc w:val="both"/>
        <w:rPr>
          <w:sz w:val="24"/>
          <w:szCs w:val="24"/>
        </w:rPr>
      </w:pPr>
      <w:r w:rsidDel="00000000" w:rsidR="00000000" w:rsidRPr="00000000">
        <w:rPr>
          <w:sz w:val="24"/>
          <w:szCs w:val="24"/>
          <w:rtl w:val="0"/>
        </w:rPr>
        <w:t xml:space="preserve">Bajo estas consideraciones, la notificación electrónica del acuerdo de fecha 26 de noviembre de 2025, además de contravenir lo dispuesto en el artículo 26 de la Ley de Amparo respecto a la forma en que deben notificarse las resoluciones que desechan la demanda, resulta también violatoria del artículo 30, fracción II, del mismo ordenamiento, al haberse practicado sin que el quejoso contara con firma electrónica, sin que hubiera optado por el juicio en línea y en abierta contradicción con la voluntad expresamente manifestada en el escrito inicial de demanda. Esta irregularidad procesal genera un estado de indefensión y afecta de manera directa el derecho de acceso efectivo a la justicia consagrado en el artículo 17 constitucional.</w:t>
      </w:r>
    </w:p>
    <w:p w:rsidR="00000000" w:rsidDel="00000000" w:rsidP="00000000" w:rsidRDefault="00000000" w:rsidRPr="00000000" w14:paraId="0000002F">
      <w:pPr>
        <w:spacing w:after="240" w:before="240" w:line="360" w:lineRule="auto"/>
        <w:jc w:val="both"/>
        <w:rPr>
          <w:sz w:val="24"/>
          <w:szCs w:val="24"/>
        </w:rPr>
      </w:pPr>
      <w:r w:rsidDel="00000000" w:rsidR="00000000" w:rsidRPr="00000000">
        <w:rPr>
          <w:sz w:val="24"/>
          <w:szCs w:val="24"/>
          <w:rtl w:val="0"/>
        </w:rPr>
        <w:t xml:space="preserve">En consecuencia, resulta jurídicamente procedente solicitar la </w:t>
      </w:r>
      <w:r w:rsidDel="00000000" w:rsidR="00000000" w:rsidRPr="00000000">
        <w:rPr>
          <w:b w:val="1"/>
          <w:bCs w:val="1"/>
          <w:sz w:val="24"/>
          <w:szCs w:val="24"/>
          <w:rtl w:val="0"/>
        </w:rPr>
        <w:t xml:space="preserve">nulidad de la notificación</w:t>
      </w:r>
      <w:r w:rsidDel="00000000" w:rsidR="00000000" w:rsidRPr="00000000">
        <w:rPr>
          <w:sz w:val="24"/>
          <w:szCs w:val="24"/>
          <w:rtl w:val="0"/>
        </w:rPr>
        <w:t xml:space="preserve"> practicada respecto del acuerdo de 26 de noviembre de 2025, al haberse realizado por un medio no autorizado ni consentido por el quejoso y en contravención a las disposiciones legales aplicables, así como la </w:t>
      </w:r>
      <w:r w:rsidDel="00000000" w:rsidR="00000000" w:rsidRPr="00000000">
        <w:rPr>
          <w:b w:val="1"/>
          <w:bCs w:val="1"/>
          <w:sz w:val="24"/>
          <w:szCs w:val="24"/>
          <w:rtl w:val="0"/>
        </w:rPr>
        <w:t xml:space="preserve">reposición del procedimiento a partir de dicha notificación</w:t>
      </w:r>
      <w:r w:rsidDel="00000000" w:rsidR="00000000" w:rsidRPr="00000000">
        <w:rPr>
          <w:sz w:val="24"/>
          <w:szCs w:val="24"/>
          <w:rtl w:val="0"/>
        </w:rPr>
        <w:t xml:space="preserve">, a fin de que ésta se practique de manera personal y conforme a derecho, garantizando con ello el pleno respeto al debido proceso y a los derechos procesales del quejoso.</w:t>
      </w:r>
    </w:p>
    <w:p w:rsidR="00000000" w:rsidDel="00000000" w:rsidP="00000000" w:rsidRDefault="00000000" w:rsidRPr="00000000" w14:paraId="00000030">
      <w:pPr>
        <w:spacing w:after="160" w:before="240" w:line="360" w:lineRule="auto"/>
        <w:jc w:val="both"/>
        <w:rPr>
          <w:sz w:val="24"/>
          <w:szCs w:val="24"/>
        </w:rPr>
      </w:pPr>
      <w:r w:rsidDel="00000000" w:rsidR="00000000" w:rsidRPr="00000000">
        <w:rPr>
          <w:sz w:val="24"/>
          <w:szCs w:val="24"/>
          <w:rtl w:val="0"/>
        </w:rPr>
        <w:t xml:space="preserve">Por lo expuesto, a Usted C. Juez Tercero de Distrito, atentamente solicito:</w:t>
      </w:r>
    </w:p>
    <w:p w:rsidR="00000000" w:rsidDel="00000000" w:rsidP="00000000" w:rsidRDefault="00000000" w:rsidRPr="00000000" w14:paraId="00000031">
      <w:pPr>
        <w:spacing w:after="160" w:before="240" w:line="360" w:lineRule="auto"/>
        <w:jc w:val="both"/>
        <w:rPr>
          <w:sz w:val="24"/>
          <w:szCs w:val="24"/>
        </w:rPr>
      </w:pPr>
      <w:r w:rsidDel="00000000" w:rsidR="00000000" w:rsidRPr="00000000">
        <w:rPr>
          <w:b w:val="1"/>
          <w:bCs w:val="1"/>
          <w:sz w:val="24"/>
          <w:szCs w:val="24"/>
          <w:rtl w:val="0"/>
        </w:rPr>
        <w:t xml:space="preserve">PRIMERO</w:t>
      </w:r>
      <w:r w:rsidDel="00000000" w:rsidR="00000000" w:rsidRPr="00000000">
        <w:rPr>
          <w:sz w:val="24"/>
          <w:szCs w:val="24"/>
          <w:rtl w:val="0"/>
        </w:rPr>
        <w:t xml:space="preserve">. Tenerme por presentado con el presente escrito promoviendo Incidente de Nulidad de Notificación del acuerdo de fecha 26 de noviembre del año 2025.</w:t>
      </w:r>
    </w:p>
    <w:p w:rsidR="00000000" w:rsidDel="00000000" w:rsidP="00000000" w:rsidRDefault="00000000" w:rsidRPr="00000000" w14:paraId="00000032">
      <w:pPr>
        <w:spacing w:after="160" w:before="240" w:line="360" w:lineRule="auto"/>
        <w:jc w:val="both"/>
        <w:rPr>
          <w:sz w:val="24"/>
          <w:szCs w:val="24"/>
        </w:rPr>
      </w:pPr>
      <w:r w:rsidDel="00000000" w:rsidR="00000000" w:rsidRPr="00000000">
        <w:rPr>
          <w:b w:val="1"/>
          <w:bCs w:val="1"/>
          <w:sz w:val="24"/>
          <w:szCs w:val="24"/>
          <w:rtl w:val="0"/>
        </w:rPr>
        <w:t xml:space="preserve">SEGUNDO</w:t>
      </w:r>
      <w:r w:rsidDel="00000000" w:rsidR="00000000" w:rsidRPr="00000000">
        <w:rPr>
          <w:sz w:val="24"/>
          <w:szCs w:val="24"/>
          <w:rtl w:val="0"/>
        </w:rPr>
        <w:t xml:space="preserve">. Previos trámites dictar sentencia en el cual se declare la nulidad de la notificación del acuerdo de fecha 26 de noviembre del año 2025,y se reponga dicha notificación.</w:t>
      </w:r>
    </w:p>
    <w:p w:rsidR="00000000" w:rsidDel="00000000" w:rsidP="00000000" w:rsidRDefault="00000000" w:rsidRPr="00000000" w14:paraId="00000033">
      <w:pPr>
        <w:spacing w:after="160" w:before="240" w:line="360" w:lineRule="auto"/>
        <w:jc w:val="center"/>
        <w:rPr>
          <w:b w:val="1"/>
          <w:bCs w:val="1"/>
          <w:sz w:val="24"/>
          <w:szCs w:val="24"/>
        </w:rPr>
      </w:pPr>
      <w:r w:rsidDel="00000000" w:rsidR="00000000" w:rsidRPr="00000000">
        <w:rPr>
          <w:b w:val="1"/>
          <w:bCs w:val="1"/>
          <w:sz w:val="24"/>
          <w:szCs w:val="24"/>
          <w:rtl w:val="0"/>
        </w:rPr>
        <w:t xml:space="preserve">PROTESTO LO NECESARIO</w:t>
      </w:r>
    </w:p>
    <w:p w:rsidR="00000000" w:rsidDel="00000000" w:rsidP="00000000" w:rsidRDefault="00000000" w:rsidRPr="00000000" w14:paraId="00000034">
      <w:pPr>
        <w:spacing w:after="160" w:before="240" w:line="360" w:lineRule="auto"/>
        <w:jc w:val="center"/>
        <w:rPr>
          <w:b w:val="1"/>
          <w:bCs w:val="1"/>
          <w:sz w:val="24"/>
          <w:szCs w:val="24"/>
        </w:rPr>
      </w:pPr>
      <w:r w:rsidDel="00000000" w:rsidR="00000000" w:rsidRPr="00000000">
        <w:rPr>
          <w:b w:val="1"/>
          <w:bCs w:val="1"/>
          <w:sz w:val="24"/>
          <w:szCs w:val="24"/>
          <w:rtl w:val="0"/>
        </w:rPr>
        <w:t xml:space="preserve">EDUARDO DE MARTIN ALBOR VILLANUEVA </w:t>
      </w:r>
    </w:p>
    <w:p w:rsidR="00000000" w:rsidDel="00000000" w:rsidP="00000000" w:rsidRDefault="00000000" w:rsidRPr="00000000" w14:paraId="00000035">
      <w:pPr>
        <w:spacing w:after="160" w:before="240" w:line="360" w:lineRule="auto"/>
        <w:jc w:val="center"/>
        <w:rPr>
          <w:b w:val="1"/>
          <w:bCs w:val="1"/>
          <w:sz w:val="24"/>
          <w:szCs w:val="24"/>
        </w:rPr>
      </w:pPr>
      <w:r w:rsidDel="00000000" w:rsidR="00000000" w:rsidRPr="00000000">
        <w:rPr>
          <w:b w:val="1"/>
          <w:bCs w:val="1"/>
          <w:sz w:val="24"/>
          <w:szCs w:val="24"/>
          <w:rtl w:val="0"/>
        </w:rPr>
        <w:t xml:space="preserve">10 DE ENERO DEL AÑO 2026, CANCÚN, QUINTANA ROO.</w:t>
      </w:r>
    </w:p>
    <w:p w:rsidR="00000000" w:rsidDel="00000000" w:rsidP="00000000" w:rsidRDefault="00000000" w:rsidRPr="00000000" w14:paraId="00000036">
      <w:pPr>
        <w:spacing w:after="240" w:before="240" w:line="360" w:lineRule="auto"/>
        <w:jc w:val="center"/>
        <w:rPr>
          <w:b w:val="1"/>
          <w:bCs w:val="1"/>
          <w:sz w:val="16"/>
          <w:szCs w:val="16"/>
        </w:rPr>
      </w:pPr>
      <w:r w:rsidDel="00000000" w:rsidR="00000000" w:rsidRPr="00000000">
        <w:rPr>
          <w:b w:val="1"/>
          <w:bCs w:val="1"/>
          <w:sz w:val="16"/>
          <w:szCs w:val="16"/>
          <w:rtl w:val="0"/>
        </w:rPr>
        <w:t xml:space="preserve"> PRUEBAS/ANEXOS</w:t>
      </w:r>
    </w:p>
    <w:p w:rsidR="00000000" w:rsidDel="00000000" w:rsidP="00000000" w:rsidRDefault="00000000" w:rsidRPr="00000000" w14:paraId="00000037">
      <w:pPr>
        <w:numPr>
          <w:ilvl w:val="0"/>
          <w:numId w:val="1"/>
        </w:numPr>
        <w:spacing w:after="240" w:before="240" w:line="360" w:lineRule="auto"/>
        <w:ind w:left="720" w:hanging="360"/>
        <w:jc w:val="center"/>
        <w:rPr>
          <w:b w:val="1"/>
          <w:bCs w:val="1"/>
          <w:sz w:val="16"/>
          <w:szCs w:val="16"/>
          <w:u w:val="none"/>
        </w:rPr>
      </w:pPr>
      <w:r w:rsidDel="00000000" w:rsidR="00000000" w:rsidRPr="00000000">
        <w:rPr>
          <w:b w:val="1"/>
          <w:bCs w:val="1"/>
          <w:sz w:val="16"/>
          <w:szCs w:val="16"/>
          <w:rtl w:val="0"/>
        </w:rPr>
        <w:t xml:space="preserve">ACUERDO DE FECHA 26 DE NOVIEMBRE DEL AÑO 2025. Esta prueba se relaciona con todos y cada uno de los hechos derivados de la presente demanda incidental.</w:t>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KATGXBhE4Ayx6hol2dy32jTag==">CgMxLjA4AHIhMXJBQWRlcWtTQndCMTdTYkNMeFNjVUZYcHJ5YVpVN2lx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2025-11-20T16:23:00Z</dcterms:created>
  <dc:creator>Personal</dc:creator>
</cp:coreProperties>
</file>