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4248" w:firstLine="0"/>
        <w:rPr>
          <w:rFonts w:ascii="Arial" w:cs="Arial" w:eastAsia="Arial" w:hAnsi="Arial"/>
          <w:b w:val="1"/>
          <w:bCs w:val="1"/>
        </w:rPr>
      </w:pPr>
      <w:r w:rsidDel="00000000" w:rsidR="00000000" w:rsidRPr="00000000">
        <w:rPr>
          <w:rFonts w:ascii="Arial" w:cs="Arial" w:eastAsia="Arial" w:hAnsi="Arial"/>
          <w:b w:val="1"/>
          <w:bCs w:val="1"/>
          <w:rtl w:val="0"/>
        </w:rPr>
        <w:t xml:space="preserve">AMPARO INDIRECTO: 921/2025</w:t>
      </w:r>
    </w:p>
    <w:p w:rsidR="00000000" w:rsidDel="00000000" w:rsidP="00000000" w:rsidRDefault="00000000" w:rsidRPr="00000000" w14:paraId="00000002">
      <w:pPr>
        <w:spacing w:line="360" w:lineRule="auto"/>
        <w:ind w:left="4248"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line="360" w:lineRule="auto"/>
        <w:ind w:left="4248" w:firstLine="0"/>
        <w:rPr>
          <w:rFonts w:ascii="Arial" w:cs="Arial" w:eastAsia="Arial" w:hAnsi="Arial"/>
          <w:b w:val="1"/>
          <w:bCs w:val="1"/>
        </w:rPr>
      </w:pPr>
      <w:r w:rsidDel="00000000" w:rsidR="00000000" w:rsidRPr="00000000">
        <w:rPr>
          <w:rFonts w:ascii="Arial" w:cs="Arial" w:eastAsia="Arial" w:hAnsi="Arial"/>
          <w:b w:val="1"/>
          <w:bCs w:val="1"/>
          <w:rtl w:val="0"/>
        </w:rPr>
        <w:t xml:space="preserve">QUEJOSO: FIDEL ARTURO LADRON DE GUEVARA BRAVO</w:t>
      </w:r>
    </w:p>
    <w:p w:rsidR="00000000" w:rsidDel="00000000" w:rsidP="00000000" w:rsidRDefault="00000000" w:rsidRPr="00000000" w14:paraId="00000004">
      <w:pPr>
        <w:spacing w:line="360" w:lineRule="auto"/>
        <w:ind w:left="4248"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ind w:left="4248" w:firstLine="0"/>
        <w:rPr>
          <w:rFonts w:ascii="Arial" w:cs="Arial" w:eastAsia="Arial" w:hAnsi="Arial"/>
          <w:b w:val="1"/>
          <w:bCs w:val="1"/>
        </w:rPr>
      </w:pPr>
      <w:r w:rsidDel="00000000" w:rsidR="00000000" w:rsidRPr="00000000">
        <w:rPr>
          <w:rFonts w:ascii="Arial" w:cs="Arial" w:eastAsia="Arial" w:hAnsi="Arial"/>
          <w:b w:val="1"/>
          <w:bCs w:val="1"/>
          <w:rtl w:val="0"/>
        </w:rPr>
        <w:t xml:space="preserve">ASUNTO: SE SEÑALA NUEVO TERCERO INTERESADO.</w:t>
      </w:r>
    </w:p>
    <w:p w:rsidR="00000000" w:rsidDel="00000000" w:rsidP="00000000" w:rsidRDefault="00000000" w:rsidRPr="00000000" w14:paraId="00000006">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H. JUZGADO CUARTO DE DISTRITO DEL VIGESIMO SEPTIMO CIRCUITO CON RESIDENCIA EN LA CIUDAD DE CANCÚN, QUINTANA ROO.</w:t>
      </w:r>
    </w:p>
    <w:p w:rsidR="00000000" w:rsidDel="00000000" w:rsidP="00000000" w:rsidRDefault="00000000" w:rsidRPr="00000000" w14:paraId="00000008">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0A">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B">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FIDEL ARTURO LADRON DE GUEVARA BRAVO,</w:t>
      </w:r>
      <w:r w:rsidDel="00000000" w:rsidR="00000000" w:rsidRPr="00000000">
        <w:rPr>
          <w:rFonts w:ascii="Arial" w:cs="Arial" w:eastAsia="Arial" w:hAnsi="Arial"/>
          <w:rtl w:val="0"/>
        </w:rPr>
        <w:t xml:space="preserve"> de generales ya reconocidas en el presente asunto, ante Usted comparezco y expongo lo siguiente:</w:t>
      </w:r>
    </w:p>
    <w:p w:rsidR="00000000" w:rsidDel="00000000" w:rsidP="00000000" w:rsidRDefault="00000000" w:rsidRPr="00000000" w14:paraId="0000000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PRETENSIÓN</w:t>
      </w:r>
    </w:p>
    <w:p w:rsidR="00000000" w:rsidDel="00000000" w:rsidP="00000000" w:rsidRDefault="00000000" w:rsidRPr="00000000" w14:paraId="0000000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medio del presente ocurso, con fundamento en el artículo 8 de nuestra Constitución, y el artículo 5 fracción III, inciso a de la Ley de Amparo, se solicitó que se señale como nuevo Tercero Interesado en el Juicio de Amparo radicado bajo el número 921/2025, a la </w:t>
      </w:r>
      <w:r w:rsidDel="00000000" w:rsidR="00000000" w:rsidRPr="00000000">
        <w:rPr>
          <w:rFonts w:ascii="Aptos" w:cs="Aptos" w:eastAsia="Aptos" w:hAnsi="Aptos"/>
          <w:sz w:val="22"/>
          <w:szCs w:val="22"/>
          <w:rtl w:val="0"/>
        </w:rPr>
        <w:t xml:space="preserve">SECRETARÍA DE MEDIO AMBIENTE Y RECURSOS NATURALES (SEMARNAT)</w:t>
      </w:r>
      <w:r w:rsidDel="00000000" w:rsidR="00000000" w:rsidRPr="00000000">
        <w:rPr>
          <w:rFonts w:ascii="Arial" w:cs="Arial" w:eastAsia="Arial" w:hAnsi="Arial"/>
          <w:sz w:val="22"/>
          <w:szCs w:val="22"/>
          <w:rtl w:val="0"/>
        </w:rPr>
        <w:t xml:space="preserve">, toda vez que que dicha Secretaría cuenta con interés directos, jurídico e institucional en el resultado del mismo.</w:t>
      </w:r>
    </w:p>
    <w:p w:rsidR="00000000" w:rsidDel="00000000" w:rsidP="00000000" w:rsidRDefault="00000000" w:rsidRPr="00000000" w14:paraId="0000000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ANTECEDENTES</w:t>
      </w:r>
    </w:p>
    <w:p w:rsidR="00000000" w:rsidDel="00000000" w:rsidP="00000000" w:rsidRDefault="00000000" w:rsidRPr="00000000" w14:paraId="00000011">
      <w:pPr>
        <w:numPr>
          <w:ilvl w:val="0"/>
          <w:numId w:val="2"/>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fecha 19 de septiembre de 2025 se presentó un juicio de amparo promovido contra actos emitidos por este Juzgado derivado de un auto donde ordenó lo siguiente: </w:t>
      </w:r>
    </w:p>
    <w:p w:rsidR="00000000" w:rsidDel="00000000" w:rsidP="00000000" w:rsidRDefault="00000000" w:rsidRPr="00000000" w14:paraId="00000012">
      <w:pPr>
        <w:spacing w:before="240" w:line="276" w:lineRule="auto"/>
        <w:ind w:left="2160" w:firstLine="0"/>
        <w:jc w:val="both"/>
        <w:rPr>
          <w:rFonts w:ascii="Aptos" w:cs="Aptos" w:eastAsia="Aptos" w:hAnsi="Aptos"/>
          <w:sz w:val="22"/>
          <w:szCs w:val="22"/>
        </w:rPr>
      </w:pPr>
      <w:r w:rsidDel="00000000" w:rsidR="00000000" w:rsidRPr="00000000">
        <w:rPr>
          <w:rFonts w:ascii="Arial" w:cs="Arial" w:eastAsia="Arial" w:hAnsi="Arial"/>
          <w:b w:val="1"/>
          <w:bCs w:val="1"/>
          <w:i w:val="1"/>
          <w:iCs w:val="1"/>
          <w:sz w:val="22"/>
          <w:szCs w:val="22"/>
          <w:rtl w:val="0"/>
        </w:rPr>
        <w:t xml:space="preserve">“(i) </w:t>
      </w:r>
      <w:r w:rsidDel="00000000" w:rsidR="00000000" w:rsidRPr="00000000">
        <w:rPr>
          <w:rFonts w:ascii="Arial" w:cs="Arial" w:eastAsia="Arial" w:hAnsi="Arial"/>
          <w:i w:val="1"/>
          <w:iCs w:val="1"/>
          <w:sz w:val="22"/>
          <w:szCs w:val="22"/>
          <w:rtl w:val="0"/>
        </w:rPr>
        <w:t xml:space="preserve">la reinstalación inmediata de la Supuesta Nueva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Administración en la posesión y control del inmueble “Nizuc”,</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propiedad de la empresa Ejecutivos de Turismo Sustentable;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i w:val="1"/>
          <w:iCs w:val="1"/>
          <w:sz w:val="22"/>
          <w:szCs w:val="22"/>
          <w:rtl w:val="0"/>
        </w:rPr>
        <w:t xml:space="preserve">(ii)</w:t>
      </w:r>
      <w:r w:rsidDel="00000000" w:rsidR="00000000" w:rsidRPr="00000000">
        <w:rPr>
          <w:rFonts w:ascii="Arial" w:cs="Arial" w:eastAsia="Arial" w:hAnsi="Arial"/>
          <w:i w:val="1"/>
          <w:iCs w:val="1"/>
          <w:sz w:val="22"/>
          <w:szCs w:val="22"/>
          <w:rtl w:val="0"/>
        </w:rPr>
        <w:t xml:space="preserve"> la suspensión de los efectos de cualquier contrato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operación, arrendamiento o similar celebrado entre</w:t>
      </w:r>
      <w:r w:rsidDel="00000000" w:rsidR="00000000" w:rsidRPr="00000000">
        <w:rPr>
          <w:rFonts w:ascii="Arial" w:cs="Arial" w:eastAsia="Arial" w:hAnsi="Arial"/>
          <w:sz w:val="22"/>
          <w:szCs w:val="22"/>
          <w:rtl w:val="0"/>
        </w:rPr>
        <w:t xml:space="preserve"> c</w:t>
      </w:r>
      <w:r w:rsidDel="00000000" w:rsidR="00000000" w:rsidRPr="00000000">
        <w:rPr>
          <w:rFonts w:ascii="Arial" w:cs="Arial" w:eastAsia="Arial" w:hAnsi="Arial"/>
          <w:i w:val="1"/>
          <w:iCs w:val="1"/>
          <w:sz w:val="22"/>
          <w:szCs w:val="22"/>
          <w:rtl w:val="0"/>
        </w:rPr>
        <w:t xml:space="preserve">ualquiera de las empresas que integran el Grupo Dolphin 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Proyectos Ejecutivos Sustentables; y </w:t>
      </w:r>
      <w:r w:rsidDel="00000000" w:rsidR="00000000" w:rsidRPr="00000000">
        <w:rPr>
          <w:rFonts w:ascii="Arial" w:cs="Arial" w:eastAsia="Arial" w:hAnsi="Arial"/>
          <w:b w:val="1"/>
          <w:bCs w:val="1"/>
          <w:i w:val="1"/>
          <w:iCs w:val="1"/>
          <w:sz w:val="22"/>
          <w:szCs w:val="22"/>
          <w:rtl w:val="0"/>
        </w:rPr>
        <w:t xml:space="preserve">(iii)</w:t>
      </w:r>
      <w:r w:rsidDel="00000000" w:rsidR="00000000" w:rsidRPr="00000000">
        <w:rPr>
          <w:rFonts w:ascii="Arial" w:cs="Arial" w:eastAsia="Arial" w:hAnsi="Arial"/>
          <w:i w:val="1"/>
          <w:iCs w:val="1"/>
          <w:sz w:val="22"/>
          <w:szCs w:val="22"/>
          <w:rtl w:val="0"/>
        </w:rPr>
        <w:t xml:space="preserve"> la suspensión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los poderes otorgados al Señor Fidel Ladrón de Guevara,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con los que representa a PES en cualquier acto relacionado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con las empresas que integran el Grupo Dolphin, hasta en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tanto se resuelva en definitiva el juicio. Para tal efecto, 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deja libertad de jurisdicción al Juez de Cancún a fin de dar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cabal cumplimiento a lo ordenado en el proveído de 28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agosto de 2025 dictado por el Juez de la CDMX.”</w:t>
      </w:r>
      <w:r w:rsidDel="00000000" w:rsidR="00000000" w:rsidRPr="00000000">
        <w:rPr>
          <w:rtl w:val="0"/>
        </w:rPr>
      </w:r>
    </w:p>
    <w:p w:rsidR="00000000" w:rsidDel="00000000" w:rsidP="00000000" w:rsidRDefault="00000000" w:rsidRPr="00000000" w14:paraId="00000013">
      <w:pPr>
        <w:numPr>
          <w:ilvl w:val="0"/>
          <w:numId w:val="2"/>
        </w:numPr>
        <w:spacing w:before="240" w:line="276" w:lineRule="auto"/>
        <w:ind w:left="720" w:hanging="36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En fecha 22 de septiembre de 2025 se admitió la demanda de amparo.</w:t>
      </w: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Ante lo señalado, comparezco y;</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EXPONGO</w:t>
      </w:r>
    </w:p>
    <w:p w:rsidR="00000000" w:rsidDel="00000000" w:rsidP="00000000" w:rsidRDefault="00000000" w:rsidRPr="00000000" w14:paraId="00000018">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spacing w:line="360" w:lineRule="auto"/>
        <w:jc w:val="both"/>
        <w:rPr>
          <w:rFonts w:ascii="Aptos" w:cs="Aptos" w:eastAsia="Aptos" w:hAnsi="Aptos"/>
          <w:sz w:val="22"/>
          <w:szCs w:val="22"/>
        </w:rPr>
      </w:pPr>
      <w:r w:rsidDel="00000000" w:rsidR="00000000" w:rsidRPr="00000000">
        <w:rPr>
          <w:rFonts w:ascii="Arial" w:cs="Arial" w:eastAsia="Arial" w:hAnsi="Arial"/>
          <w:b w:val="1"/>
          <w:bCs w:val="1"/>
          <w:rtl w:val="0"/>
        </w:rPr>
        <w:t xml:space="preserve">ÚNICO.-</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Tal y como establece el artículo 5 fracción III, inciso a de la Ley de Amparo, se solicita la intervención como Tercero Interesado en el Juicio de Amparo radicado bajo el número 921/2025, tramitado ante el Juzgado Cuarto de Distrito con sede en la Ciudad de Cancún, en el Estado de Quintana Roo, toda vez que existe una probable ejecución de desalojo ordenado en perjuicio de </w:t>
      </w:r>
      <w:r w:rsidDel="00000000" w:rsidR="00000000" w:rsidRPr="00000000">
        <w:rPr>
          <w:rFonts w:ascii="Arial" w:cs="Arial" w:eastAsia="Arial" w:hAnsi="Arial"/>
          <w:b w:val="1"/>
          <w:bCs w:val="1"/>
          <w:sz w:val="22"/>
          <w:szCs w:val="22"/>
          <w:rtl w:val="0"/>
        </w:rPr>
        <w:t xml:space="preserve">PROYECTOS EJECUTIVOS SUSTENTABLES, S.A. DE C.V.</w:t>
      </w:r>
      <w:r w:rsidDel="00000000" w:rsidR="00000000" w:rsidRPr="00000000">
        <w:rPr>
          <w:rFonts w:ascii="Arial" w:cs="Arial" w:eastAsia="Arial" w:hAnsi="Arial"/>
          <w:sz w:val="22"/>
          <w:szCs w:val="22"/>
          <w:rtl w:val="0"/>
        </w:rPr>
        <w:t xml:space="preserve">, así como la pretendida entrega de la posesión del inmueble ubicado </w:t>
      </w:r>
      <w:r w:rsidDel="00000000" w:rsidR="00000000" w:rsidRPr="00000000">
        <w:rPr>
          <w:rFonts w:ascii="Aptos" w:cs="Aptos" w:eastAsia="Aptos" w:hAnsi="Aptos"/>
          <w:sz w:val="22"/>
          <w:szCs w:val="22"/>
          <w:rtl w:val="0"/>
        </w:rPr>
        <w:t xml:space="preserve">en el parque  denominado “Nizuc” en Lote 5-02 Manzana 60, Sección D, Tercera Etapa Zona Hotelera de Cancún, Municipio de Benito Juárez, Estado de Quintana Roo, a persona moral diversa, trasciende completamente la esfera civil o contractual, ya que no se trata de un inmueble ordinario, sino de un predio sujeto a aseguramiento ambiental federal y bajo vigilancia directa de la PROCURADURÍA FEDERAL DE PROTECCIÓN AL AMBIENTE  órgano desconcentrado sectorizado a la SECRETARÍA DE MEDIO AMBIENTE Y RECURSOS NATURALES (SEMARNAT). Dicha circunstancia genera una afectación directa y sustancial a las atribuciones constitucionales y legales de esa Secretaría, toda vez que el acto reclamado en el juicio de amparo incide inmediatamente en las decisiones administrativas adoptadas por SEMARNAT y PROFEPA en ejercicio de sus facultades exclusivas en materia de:</w:t>
      </w:r>
    </w:p>
    <w:p w:rsidR="00000000" w:rsidDel="00000000" w:rsidP="00000000" w:rsidRDefault="00000000" w:rsidRPr="00000000" w14:paraId="0000001A">
      <w:pPr>
        <w:numPr>
          <w:ilvl w:val="0"/>
          <w:numId w:val="1"/>
        </w:numPr>
        <w:spacing w:after="240" w:before="240" w:line="36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Protección de fauna silvestre.</w:t>
      </w:r>
    </w:p>
    <w:p w:rsidR="00000000" w:rsidDel="00000000" w:rsidP="00000000" w:rsidRDefault="00000000" w:rsidRPr="00000000" w14:paraId="0000001B">
      <w:pPr>
        <w:spacing w:after="240" w:before="240" w:line="360"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He de precisar que la SECRETARÍA DE MEDIO AMBIENTE Y RECURSOS NATURALES (SEMARNAT) tiene interés jurídico directo en el presente juicio de amparo, toda vez que los actos reclamados inciden de manera inmediata en:</w:t>
      </w:r>
    </w:p>
    <w:p w:rsidR="00000000" w:rsidDel="00000000" w:rsidP="00000000" w:rsidRDefault="00000000" w:rsidRPr="00000000" w14:paraId="0000001C">
      <w:pPr>
        <w:numPr>
          <w:ilvl w:val="0"/>
          <w:numId w:val="5"/>
        </w:numPr>
        <w:spacing w:after="0" w:afterAutospacing="0" w:before="240" w:line="360" w:lineRule="auto"/>
        <w:ind w:left="720" w:hanging="36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Autorización ambiental vigente expedida por dicha Secretaría a favor de PROYECTOS EJECUTIVOS SUSTENTABLES, S.A. DE C.V., mediante oficio número SPARN/DGVS/00111/2025, de fecha 17 de octubre de 2024.</w:t>
      </w:r>
    </w:p>
    <w:p w:rsidR="00000000" w:rsidDel="00000000" w:rsidP="00000000" w:rsidRDefault="00000000" w:rsidRPr="00000000" w14:paraId="0000001D">
      <w:pPr>
        <w:numPr>
          <w:ilvl w:val="0"/>
          <w:numId w:val="5"/>
        </w:numPr>
        <w:spacing w:after="0" w:afterAutospacing="0" w:before="0" w:beforeAutospacing="0" w:line="360" w:lineRule="auto"/>
        <w:ind w:left="720" w:hanging="36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Procedimiento administrativo ambiental instaurado por PROFEPA (órgano sectorizado a SEMARNAT) mediante orden PFPA/29.2/3S.3/00016-2024, que culminó con el aseguramiento del inmueble y los ejemplares de vida silvestre.</w:t>
      </w:r>
    </w:p>
    <w:p w:rsidR="00000000" w:rsidDel="00000000" w:rsidP="00000000" w:rsidRDefault="00000000" w:rsidRPr="00000000" w14:paraId="0000001E">
      <w:pPr>
        <w:numPr>
          <w:ilvl w:val="0"/>
          <w:numId w:val="5"/>
        </w:numPr>
        <w:spacing w:after="0" w:afterAutospacing="0" w:before="0" w:beforeAutospacing="0" w:line="360" w:lineRule="auto"/>
        <w:ind w:left="720" w:hanging="36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Titularidad ambiental reconocida oficialmente mediante oficio SBRA/DGVS/07945/25, donde se establece que PES es el único operador autorizado del predio desde el 10 de enero de 2025.</w:t>
      </w:r>
    </w:p>
    <w:p w:rsidR="00000000" w:rsidDel="00000000" w:rsidP="00000000" w:rsidRDefault="00000000" w:rsidRPr="00000000" w14:paraId="0000001F">
      <w:pPr>
        <w:numPr>
          <w:ilvl w:val="0"/>
          <w:numId w:val="5"/>
        </w:numPr>
        <w:spacing w:after="240" w:before="0" w:beforeAutospacing="0" w:line="360" w:lineRule="auto"/>
        <w:ind w:left="720" w:hanging="360"/>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Medidas de seguridad vigentes impuestas por PROFEPA mediante acuerdo PFPA/4.2/3S.3/AR/0144/25, por riesgo sanitario grave.</w:t>
      </w:r>
    </w:p>
    <w:p w:rsidR="00000000" w:rsidDel="00000000" w:rsidP="00000000" w:rsidRDefault="00000000" w:rsidRPr="00000000" w14:paraId="00000020">
      <w:pPr>
        <w:spacing w:after="240" w:before="240" w:line="360"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Además, la negativa de suspensión definitiva en el juicio de amparo coloca a la PROFEPA y a la SEMARNAT en una situación de afectación indirecta e inmediata, ya que un mandato judicial podría producir consecuencias contrarias al régimen administrativo ambiental que se mantiene vigente, vulnerando el principio de supremacía administrativa ambiental frente a actos de naturaleza privada cuando existe riesgo comprobado a la vida silvestre, por lo que esta Autoridad no interviene:</w:t>
      </w:r>
    </w:p>
    <w:p w:rsidR="00000000" w:rsidDel="00000000" w:rsidP="00000000" w:rsidRDefault="00000000" w:rsidRPr="00000000" w14:paraId="00000021">
      <w:pPr>
        <w:numPr>
          <w:ilvl w:val="0"/>
          <w:numId w:val="4"/>
        </w:numPr>
        <w:spacing w:after="0" w:afterAutospacing="0" w:before="240" w:line="36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Existe riesgo de que una sentencia constitucional invalide o condicione una resolución administrativa federal.</w:t>
      </w:r>
    </w:p>
    <w:p w:rsidR="00000000" w:rsidDel="00000000" w:rsidP="00000000" w:rsidRDefault="00000000" w:rsidRPr="00000000" w14:paraId="00000022">
      <w:pPr>
        <w:numPr>
          <w:ilvl w:val="0"/>
          <w:numId w:val="4"/>
        </w:numPr>
        <w:spacing w:after="0" w:afterAutospacing="0" w:before="0" w:beforeAutospacing="0" w:line="36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Se permitiría una contradicción institucional entre órganos del Estado mexicano.</w:t>
      </w:r>
    </w:p>
    <w:p w:rsidR="00000000" w:rsidDel="00000000" w:rsidP="00000000" w:rsidRDefault="00000000" w:rsidRPr="00000000" w14:paraId="00000023">
      <w:pPr>
        <w:numPr>
          <w:ilvl w:val="0"/>
          <w:numId w:val="4"/>
        </w:numPr>
        <w:spacing w:after="0" w:afterAutospacing="0" w:before="0" w:beforeAutospacing="0" w:line="36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Se podría ocasionar daño ambiental irreparable.</w:t>
      </w:r>
    </w:p>
    <w:p w:rsidR="00000000" w:rsidDel="00000000" w:rsidP="00000000" w:rsidRDefault="00000000" w:rsidRPr="00000000" w14:paraId="00000024">
      <w:pPr>
        <w:numPr>
          <w:ilvl w:val="0"/>
          <w:numId w:val="4"/>
        </w:numPr>
        <w:spacing w:after="240" w:before="0" w:beforeAutospacing="0" w:line="36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Se violentaría el principio de prevención ambiental reconocido en tratados internacionales y en el artículo 4º constitucional.</w:t>
      </w:r>
    </w:p>
    <w:p w:rsidR="00000000" w:rsidDel="00000000" w:rsidP="00000000" w:rsidRDefault="00000000" w:rsidRPr="00000000" w14:paraId="00000025">
      <w:pPr>
        <w:spacing w:after="240" w:before="240" w:line="360" w:lineRule="auto"/>
        <w:jc w:val="both"/>
        <w:rPr>
          <w:rFonts w:ascii="Aptos" w:cs="Aptos" w:eastAsia="Aptos" w:hAnsi="Aptos"/>
          <w:sz w:val="22"/>
          <w:szCs w:val="22"/>
        </w:rPr>
      </w:pPr>
      <w:r w:rsidDel="00000000" w:rsidR="00000000" w:rsidRPr="00000000">
        <w:rPr>
          <w:rFonts w:ascii="Aptos" w:cs="Aptos" w:eastAsia="Aptos" w:hAnsi="Aptos"/>
          <w:sz w:val="22"/>
          <w:szCs w:val="22"/>
          <w:rtl w:val="0"/>
        </w:rPr>
        <w:t xml:space="preserve">De ahí que la participación de la SECRETARÍA DE MEDIO AMBIENTE Y RECURSOS NATURALES (SEMARNAT) como tercero interesado no solo sea procedente, sino jurídicamente indispensable, conforme al artículo 5 fracción III de la Ley de Amparo, en tanto que la resolución que se dicte incidirá directamente en:</w:t>
      </w:r>
    </w:p>
    <w:p w:rsidR="00000000" w:rsidDel="00000000" w:rsidP="00000000" w:rsidRDefault="00000000" w:rsidRPr="00000000" w14:paraId="00000026">
      <w:pPr>
        <w:numPr>
          <w:ilvl w:val="0"/>
          <w:numId w:val="3"/>
        </w:numPr>
        <w:spacing w:after="0" w:afterAutospacing="0" w:before="240" w:line="36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La validez de sus actos administrativos,</w:t>
      </w:r>
    </w:p>
    <w:p w:rsidR="00000000" w:rsidDel="00000000" w:rsidP="00000000" w:rsidRDefault="00000000" w:rsidRPr="00000000" w14:paraId="00000027">
      <w:pPr>
        <w:numPr>
          <w:ilvl w:val="0"/>
          <w:numId w:val="3"/>
        </w:numPr>
        <w:spacing w:after="0" w:afterAutospacing="0" w:before="0" w:beforeAutospacing="0" w:line="36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La eficacia de las medidas de aseguramiento,</w:t>
      </w:r>
    </w:p>
    <w:p w:rsidR="00000000" w:rsidDel="00000000" w:rsidP="00000000" w:rsidRDefault="00000000" w:rsidRPr="00000000" w14:paraId="00000028">
      <w:pPr>
        <w:numPr>
          <w:ilvl w:val="0"/>
          <w:numId w:val="3"/>
        </w:numPr>
        <w:spacing w:after="0" w:afterAutospacing="0" w:before="0" w:beforeAutospacing="0" w:line="36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La tutela de fauna silvestre protegida, y</w:t>
      </w:r>
    </w:p>
    <w:p w:rsidR="00000000" w:rsidDel="00000000" w:rsidP="00000000" w:rsidRDefault="00000000" w:rsidRPr="00000000" w14:paraId="00000029">
      <w:pPr>
        <w:numPr>
          <w:ilvl w:val="0"/>
          <w:numId w:val="3"/>
        </w:numPr>
        <w:spacing w:after="240" w:before="0" w:beforeAutospacing="0" w:line="360" w:lineRule="auto"/>
        <w:ind w:left="720" w:hanging="360"/>
        <w:rPr>
          <w:rFonts w:ascii="Aptos" w:cs="Aptos" w:eastAsia="Aptos" w:hAnsi="Aptos"/>
          <w:sz w:val="22"/>
          <w:szCs w:val="22"/>
        </w:rPr>
      </w:pPr>
      <w:r w:rsidDel="00000000" w:rsidR="00000000" w:rsidRPr="00000000">
        <w:rPr>
          <w:rFonts w:ascii="Aptos" w:cs="Aptos" w:eastAsia="Aptos" w:hAnsi="Aptos"/>
          <w:sz w:val="22"/>
          <w:szCs w:val="22"/>
          <w:rtl w:val="0"/>
        </w:rPr>
        <w:t xml:space="preserve">La continuidad de políticas públicas ambientales.</w:t>
      </w:r>
    </w:p>
    <w:p w:rsidR="00000000" w:rsidDel="00000000" w:rsidP="00000000" w:rsidRDefault="00000000" w:rsidRPr="00000000" w14:paraId="0000002A">
      <w:pPr>
        <w:spacing w:after="240" w:before="240" w:line="360" w:lineRule="auto"/>
        <w:jc w:val="both"/>
        <w:rPr>
          <w:rFonts w:ascii="Arial" w:cs="Arial" w:eastAsia="Arial" w:hAnsi="Arial"/>
          <w:b w:val="1"/>
          <w:bCs w:val="1"/>
          <w:sz w:val="22"/>
          <w:szCs w:val="22"/>
        </w:rPr>
      </w:pPr>
      <w:r w:rsidDel="00000000" w:rsidR="00000000" w:rsidRPr="00000000">
        <w:rPr>
          <w:rFonts w:ascii="Aptos" w:cs="Aptos" w:eastAsia="Aptos" w:hAnsi="Aptos"/>
          <w:sz w:val="22"/>
          <w:szCs w:val="22"/>
          <w:rtl w:val="0"/>
        </w:rPr>
        <w:t xml:space="preserve">Finalmente, la intervención de esta autoridad  es de suma relevancia toda vez que permitirá que el órgano jurisdiccional cuente con dictámenes técnicos especializados, conocimiento médico-veterinario, y valoración científica suficiente para evitar que una sentencia resulte materialmente lesiva en lo ambiental. Por ello, resulta jurídicamente indispensable que la AUTORIDAD AMBIENTAL FEDERAL COMPETENTE, en este caso la SECRETARÍA DE MEDIO AMBIENTE Y RECURSOS NATURALES (SEMARNAT), comparezca para ejercer su defensa técnica, jurídica y administrativa dentro del juicio constitucional.</w:t>
      </w:r>
      <w:r w:rsidDel="00000000" w:rsidR="00000000" w:rsidRPr="00000000">
        <w:rPr>
          <w:rtl w:val="0"/>
        </w:rPr>
      </w:r>
    </w:p>
    <w:p w:rsidR="00000000" w:rsidDel="00000000" w:rsidP="00000000" w:rsidRDefault="00000000" w:rsidRPr="00000000" w14:paraId="0000002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lo anteriormente expuesto y fundado ante su señoría, solicito lo siguiente:</w:t>
      </w:r>
    </w:p>
    <w:p w:rsidR="00000000" w:rsidDel="00000000" w:rsidP="00000000" w:rsidRDefault="00000000" w:rsidRPr="00000000" w14:paraId="0000002C">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spacing w:line="36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PRIMERO.-</w:t>
      </w:r>
      <w:r w:rsidDel="00000000" w:rsidR="00000000" w:rsidRPr="00000000">
        <w:rPr>
          <w:rFonts w:ascii="Arial" w:cs="Arial" w:eastAsia="Arial" w:hAnsi="Arial"/>
          <w:sz w:val="22"/>
          <w:szCs w:val="22"/>
          <w:rtl w:val="0"/>
        </w:rPr>
        <w:t xml:space="preserve">  Se tenga como NUEVO TERCERO INTERESADO en el presente juicio de amparo a la Secretaría de Medio Ambiente y Recursos Naturales (SEMARNAT), ordenando su notificación personal para que ejerza sus derechos dentro del juicio y manifieste lo que a su interés jurídico convenga.</w:t>
      </w:r>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p w:rsidR="00000000" w:rsidDel="00000000" w:rsidP="00000000" w:rsidRDefault="00000000" w:rsidRPr="00000000" w14:paraId="0000002F">
      <w:pPr>
        <w:jc w:val="both"/>
        <w:rPr>
          <w:rFonts w:ascii="Arial" w:cs="Arial" w:eastAsia="Arial" w:hAnsi="Arial"/>
        </w:rPr>
      </w:pPr>
      <w:r w:rsidDel="00000000" w:rsidR="00000000" w:rsidRPr="00000000">
        <w:rPr>
          <w:rtl w:val="0"/>
        </w:rPr>
      </w:r>
    </w:p>
    <w:p w:rsidR="00000000" w:rsidDel="00000000" w:rsidP="00000000" w:rsidRDefault="00000000" w:rsidRPr="00000000" w14:paraId="00000030">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PROTESTO LO NECESARIO</w:t>
      </w:r>
    </w:p>
    <w:p w:rsidR="00000000" w:rsidDel="00000000" w:rsidP="00000000" w:rsidRDefault="00000000" w:rsidRPr="00000000" w14:paraId="00000032">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3">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5">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w:t>
      </w:r>
    </w:p>
    <w:p w:rsidR="00000000" w:rsidDel="00000000" w:rsidP="00000000" w:rsidRDefault="00000000" w:rsidRPr="00000000" w14:paraId="00000036">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FIDEL ARTURO LADRON DE GUEVARA BRAVO</w:t>
      </w:r>
    </w:p>
    <w:p w:rsidR="00000000" w:rsidDel="00000000" w:rsidP="00000000" w:rsidRDefault="00000000" w:rsidRPr="00000000" w14:paraId="00000038">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08 DE DICIEMBRE DE 2025, CANCÚN, QUINTANA ROO.</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5C053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iOCWqYFmXarxVTEk0kqXRjopw==">CgMxLjA4AHIhMWZnVGFwTXRTY2loLUJVWjBDVzY2aUtJRTVNbUZNVzZi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2025-09-25T23:07:00Z</dcterms:created>
  <dc:creator>Microsoft Office User</dc:creator>
</cp:coreProperties>
</file>