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1172/2025</w:t>
      </w:r>
    </w:p>
    <w:p w:rsidR="00000000" w:rsidDel="00000000" w:rsidP="00000000" w:rsidRDefault="00000000" w:rsidRPr="00000000" w14:paraId="00000002">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04">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M.D. CÉSAR ENRIQUE MORALES HERNÁNDEZ,  JUEZ DE CONTROL CON ESPECIALIZACIÓN ADICIONAL EN JUSTICIA PARA ADOLESCENTES ACTUANDO DENTRO DE LOS JUZGADOS DE CONTROL Y TRIBUNAL DE JUICIO ORAL DE PRIMERA INSTANCIA DEL DISTRITO JUDICIAL DE CANCÚN, QUINTANA ROO. </w:t>
      </w:r>
    </w:p>
    <w:p w:rsidR="00000000" w:rsidDel="00000000" w:rsidP="00000000" w:rsidRDefault="00000000" w:rsidRPr="00000000" w14:paraId="00000005">
      <w:pPr>
        <w:spacing w:line="276"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76" w:lineRule="auto"/>
        <w:ind w:left="453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15 de diciembre del año 2025, en en el cual se desechó de plano la demanda de amparo.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7">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SEGUNDO DE DISTRITO EN EL ESTADO DE QUINTANA ROO, CON RESIDENCIA EN CANCÚN.</w:t>
      </w:r>
    </w:p>
    <w:p w:rsidR="00000000" w:rsidDel="00000000" w:rsidP="00000000" w:rsidRDefault="00000000" w:rsidRPr="00000000" w14:paraId="00000009">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B">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EDUARDO DE MARTIN ALBOR VILLANUEVA,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97, fracción I, inciso a) de la Ley de Amparo contra EL ACUERDO de fecha 15 DE DICIEMBRE DE 2025 en la cual se DESECHÓ DE PLANO LA DEMANDA DE AMPARO, solicitando lo siguiente:</w:t>
      </w:r>
    </w:p>
    <w:p w:rsidR="00000000" w:rsidDel="00000000" w:rsidP="00000000" w:rsidRDefault="00000000" w:rsidRPr="00000000" w14:paraId="0000000F">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0">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1">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101 de la Ley de Amparo.</w:t>
      </w:r>
    </w:p>
    <w:p w:rsidR="00000000" w:rsidDel="00000000" w:rsidP="00000000" w:rsidRDefault="00000000" w:rsidRPr="00000000" w14:paraId="00000012">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resolución de fecha 15 de diciembre del año 2025, en el plazo máximo que para estos casos se encuentra establecido en el artículo 102 de la Ley de Amparo.</w:t>
      </w:r>
    </w:p>
    <w:p w:rsidR="00000000" w:rsidDel="00000000" w:rsidP="00000000" w:rsidRDefault="00000000" w:rsidRPr="00000000" w14:paraId="00000013">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5">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mediante </w:t>
      </w:r>
      <w:r w:rsidDel="00000000" w:rsidR="00000000" w:rsidRPr="00000000">
        <w:rPr>
          <w:rFonts w:ascii="Arial" w:cs="Arial" w:eastAsia="Arial" w:hAnsi="Arial"/>
          <w:highlight w:val="white"/>
          <w:rtl w:val="0"/>
        </w:rPr>
        <w:t xml:space="preserve">notificación electrónica e</w:t>
      </w:r>
      <w:r w:rsidDel="00000000" w:rsidR="00000000" w:rsidRPr="00000000">
        <w:rPr>
          <w:rFonts w:ascii="Arial" w:cs="Arial" w:eastAsia="Arial" w:hAnsi="Arial"/>
          <w:rtl w:val="0"/>
        </w:rPr>
        <w:t xml:space="preserve">l miercoles 07 de enero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6">
      <w:pPr>
        <w:shd w:fill="ffffff" w:val="clear"/>
        <w:spacing w:line="36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7">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07 de enero de 2026</w:t>
            </w:r>
          </w:p>
        </w:tc>
      </w:tr>
      <w:tr>
        <w:trPr>
          <w:cantSplit w:val="0"/>
          <w:tblHeader w:val="0"/>
        </w:trPr>
        <w:tc>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07 de enero de 2026</w:t>
            </w:r>
          </w:p>
        </w:tc>
      </w:tr>
      <w:tr>
        <w:trPr>
          <w:cantSplit w:val="0"/>
          <w:tblHeader w:val="0"/>
        </w:trPr>
        <w:tc>
          <w:tcPr/>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08 de enero de 2026</w:t>
            </w:r>
          </w:p>
          <w:p w:rsidR="00000000" w:rsidDel="00000000" w:rsidP="00000000" w:rsidRDefault="00000000" w:rsidRPr="00000000" w14:paraId="0000001D">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14 de enero de 2026</w:t>
            </w:r>
          </w:p>
          <w:p w:rsidR="00000000" w:rsidDel="00000000" w:rsidP="00000000" w:rsidRDefault="00000000" w:rsidRPr="00000000" w14:paraId="00000020">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14 de enero de 2026</w:t>
            </w:r>
          </w:p>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4">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6">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Cuarto de Distrito del Estado de Quintana Roo, de la manera más atenta se le solicita:</w:t>
      </w:r>
    </w:p>
    <w:p w:rsidR="00000000" w:rsidDel="00000000" w:rsidP="00000000" w:rsidRDefault="00000000" w:rsidRPr="00000000" w14:paraId="00000028">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la resolución de fecha 15 de diciembre del año 2025.</w:t>
      </w:r>
    </w:p>
    <w:p w:rsidR="00000000" w:rsidDel="00000000" w:rsidP="00000000" w:rsidRDefault="00000000" w:rsidRPr="00000000" w14:paraId="00000029">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101 de la ley de amparo</w:t>
      </w:r>
    </w:p>
    <w:p w:rsidR="00000000" w:rsidDel="00000000" w:rsidP="00000000" w:rsidRDefault="00000000" w:rsidRPr="00000000" w14:paraId="0000002A">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B">
      <w:pPr>
        <w:spacing w:after="160"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C">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D">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2F">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30">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12 DE ENERO DEL AÑO 2026, CANCÚN, QUINTANA ROO.</w:t>
      </w:r>
      <w:r w:rsidDel="00000000" w:rsidR="00000000" w:rsidRPr="00000000">
        <w:rPr>
          <w:rtl w:val="0"/>
        </w:rPr>
      </w:r>
    </w:p>
    <w:p w:rsidR="00000000" w:rsidDel="00000000" w:rsidP="00000000" w:rsidRDefault="00000000" w:rsidRPr="00000000" w14:paraId="00000031">
      <w:pPr>
        <w:tabs>
          <w:tab w:val="left" w:leader="none" w:pos="2972"/>
        </w:tabs>
        <w:spacing w:line="36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2">
      <w:pPr>
        <w:spacing w:after="16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3">
      <w:pPr>
        <w:spacing w:after="160" w:line="256.7994545454545"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tab/>
        <w:tab/>
        <w:tab/>
        <w:tab/>
        <w:tab/>
        <w:tab/>
      </w:r>
    </w:p>
    <w:p w:rsidR="00000000" w:rsidDel="00000000" w:rsidP="00000000" w:rsidRDefault="00000000" w:rsidRPr="00000000" w14:paraId="00000034">
      <w:pPr>
        <w:spacing w:after="160" w:line="256.7994545454545"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160" w:line="256.7994545454545"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160" w:line="256.7994545454545"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3A">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1172/2025</w:t>
      </w:r>
    </w:p>
    <w:p w:rsidR="00000000" w:rsidDel="00000000" w:rsidP="00000000" w:rsidRDefault="00000000" w:rsidRPr="00000000" w14:paraId="0000003B">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C">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3D">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M.D. CÉSAR ENRIQUE MORALES HERNÁNDEZ,  JUEZ DE CONTROL CON ESPECIALIZACIÓN ADICIONAL EN JUSTICIA PARA ADOLESCENTES ACTUANDO DENTRO DE LOS JUZGADOS DE CONTROL Y TRIBUNAL DE JUICIO ORAL DE PRIMERA INSTANCIA DEL DISTRITO JUDICIAL DE CANCÚN, QUINTANA ROO. </w:t>
      </w:r>
    </w:p>
    <w:p w:rsidR="00000000" w:rsidDel="00000000" w:rsidP="00000000" w:rsidRDefault="00000000" w:rsidRPr="00000000" w14:paraId="0000003E">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w:t>
      </w:r>
    </w:p>
    <w:p w:rsidR="00000000" w:rsidDel="00000000" w:rsidP="00000000" w:rsidRDefault="00000000" w:rsidRPr="00000000" w14:paraId="0000003F">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DEL VIGÉSIMO SÉPTIMO CIRCUITO, CON RESIDENCIA EN EL ESTADO DE QUINTANA ROO.</w:t>
      </w:r>
    </w:p>
    <w:p w:rsidR="00000000" w:rsidDel="00000000" w:rsidP="00000000" w:rsidRDefault="00000000" w:rsidRPr="00000000" w14:paraId="0000004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43">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EDUARDO DE MARTIN ALBOR VILLANUEVA,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en el ubicado las oficinas administrativas del Delfinario Dolphin Discovery Cancún, en Boulevard Kukulkán KM 25, Manzana 60, Lote 5-02, Sección D Tercera Etapa, en la Zona Hotelera,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w:t>
      </w:r>
      <w:r w:rsidDel="00000000" w:rsidR="00000000" w:rsidRPr="00000000">
        <w:rPr>
          <w:rFonts w:ascii="Arial" w:cs="Arial" w:eastAsia="Arial" w:hAnsi="Arial"/>
          <w:rtl w:val="0"/>
        </w:rPr>
        <w:t xml:space="preserve">, licenciada en derecho Amairanny Amissadai Villalta Peralta con número de cédula profesional 14323013,</w:t>
      </w:r>
      <w:r w:rsidDel="00000000" w:rsidR="00000000" w:rsidRPr="00000000">
        <w:rPr>
          <w:rFonts w:ascii="Arial" w:cs="Arial" w:eastAsia="Arial" w:hAnsi="Arial"/>
          <w:rtl w:val="0"/>
        </w:rPr>
        <w:t xml:space="preserve">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rmartin_arjona”, </w:t>
      </w:r>
      <w:r w:rsidDel="00000000" w:rsidR="00000000" w:rsidRPr="00000000">
        <w:rPr>
          <w:rFonts w:ascii="Arial" w:cs="Arial" w:eastAsia="Arial" w:hAnsi="Arial"/>
          <w:rtl w:val="0"/>
        </w:rPr>
        <w:t xml:space="preserve">con correo electrónico registrado como </w:t>
      </w:r>
      <w:r w:rsidDel="00000000" w:rsidR="00000000" w:rsidRPr="00000000">
        <w:rPr>
          <w:rFonts w:ascii="Arial" w:cs="Arial" w:eastAsia="Arial" w:hAnsi="Arial"/>
          <w:b w:val="1"/>
          <w:bCs w:val="1"/>
          <w:rtl w:val="0"/>
        </w:rPr>
        <w:t xml:space="preserve">“</w:t>
      </w:r>
      <w:hyperlink r:id="rId7">
        <w:r w:rsidDel="00000000" w:rsidR="00000000" w:rsidRPr="00000000">
          <w:rPr>
            <w:rFonts w:ascii="Arial" w:cs="Arial" w:eastAsia="Arial" w:hAnsi="Arial"/>
            <w:b w:val="1"/>
            <w:bCs w:val="1"/>
            <w:u w:val="single"/>
            <w:rtl w:val="0"/>
          </w:rPr>
          <w:t xml:space="preserve">rmartin_arjona@hotmail.com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8">
        <w:r w:rsidDel="00000000" w:rsidR="00000000" w:rsidRPr="00000000">
          <w:rPr>
            <w:rFonts w:ascii="Arial" w:cs="Arial" w:eastAsia="Arial" w:hAnsi="Arial"/>
            <w:b w:val="1"/>
            <w:bCs w:val="1"/>
            <w:u w:val="single"/>
            <w:rtl w:val="0"/>
          </w:rPr>
          <w:t xml:space="preserve">mai</w:t>
        </w:r>
      </w:hyperlink>
      <w:hyperlink r:id="rId9">
        <w:r w:rsidDel="00000000" w:rsidR="00000000" w:rsidRPr="00000000">
          <w:rPr>
            <w:rFonts w:ascii="Arial" w:cs="Arial" w:eastAsia="Arial" w:hAnsi="Arial"/>
            <w:b w:val="1"/>
            <w:bCs w:val="1"/>
            <w:u w:val="single"/>
            <w:rtl w:val="0"/>
          </w:rPr>
          <w:t xml:space="preserve">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10">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”,y </w:t>
      </w:r>
      <w:r w:rsidDel="00000000" w:rsidR="00000000" w:rsidRPr="00000000">
        <w:rPr>
          <w:rFonts w:ascii="Arial" w:cs="Arial" w:eastAsia="Arial" w:hAnsi="Arial"/>
          <w:b w:val="1"/>
          <w:bCs w:val="1"/>
          <w:rtl w:val="0"/>
        </w:rPr>
        <w:t xml:space="preserve">“fidelvillanueva”</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hyperlink r:id="rId11">
        <w:r w:rsidDel="00000000" w:rsidR="00000000" w:rsidRPr="00000000">
          <w:rPr>
            <w:rFonts w:ascii="Arial" w:cs="Arial" w:eastAsia="Arial" w:hAnsi="Arial"/>
            <w:b w:val="1"/>
            <w:bCs w:val="1"/>
            <w:u w:val="single"/>
            <w:rtl w:val="0"/>
          </w:rPr>
          <w:t xml:space="preserve">notificaciones@cejum.com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44">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a)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15 de diciembre del año 2025</w:t>
      </w:r>
      <w:r w:rsidDel="00000000" w:rsidR="00000000" w:rsidRPr="00000000">
        <w:rPr>
          <w:rFonts w:ascii="Arial" w:cs="Arial" w:eastAsia="Arial" w:hAnsi="Arial"/>
          <w:rtl w:val="0"/>
        </w:rPr>
        <w:t xml:space="preserve">, emitido por el Juez Segundo de Distrito en el Estado de Quintana Roo dictado en el expediente del amparo indirecto 1172/2025, acuerdo en el cual SE DESECHO DE PLANO LA DEMANDA DE AMPARO.</w:t>
      </w:r>
    </w:p>
    <w:p w:rsidR="00000000" w:rsidDel="00000000" w:rsidP="00000000" w:rsidRDefault="00000000" w:rsidRPr="00000000" w14:paraId="00000045">
      <w:pPr>
        <w:shd w:fill="ffffff" w:val="clear"/>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46">
      <w:pPr>
        <w:shd w:fill="ffffff" w:val="clear"/>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7">
      <w:pPr>
        <w:shd w:fill="ffffff" w:val="clea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8">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mediante </w:t>
      </w:r>
      <w:r w:rsidDel="00000000" w:rsidR="00000000" w:rsidRPr="00000000">
        <w:rPr>
          <w:rFonts w:ascii="Arial" w:cs="Arial" w:eastAsia="Arial" w:hAnsi="Arial"/>
          <w:highlight w:val="white"/>
          <w:rtl w:val="0"/>
        </w:rPr>
        <w:t xml:space="preserve">notificación electrónica </w:t>
      </w:r>
      <w:r w:rsidDel="00000000" w:rsidR="00000000" w:rsidRPr="00000000">
        <w:rPr>
          <w:rFonts w:ascii="Arial" w:cs="Arial" w:eastAsia="Arial" w:hAnsi="Arial"/>
          <w:rtl w:val="0"/>
        </w:rPr>
        <w:t xml:space="preserve">el viernes 2 de enero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49">
      <w:pPr>
        <w:shd w:fill="ffffff" w:val="clear"/>
        <w:spacing w:line="360" w:lineRule="auto"/>
        <w:jc w:val="both"/>
        <w:rPr>
          <w:rFonts w:ascii="Arial" w:cs="Arial" w:eastAsia="Arial" w:hAnsi="Arial"/>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4B">
            <w:pPr>
              <w:spacing w:line="360" w:lineRule="auto"/>
              <w:rPr>
                <w:rFonts w:ascii="Arial" w:cs="Arial" w:eastAsia="Arial" w:hAnsi="Arial"/>
              </w:rPr>
            </w:pPr>
            <w:r w:rsidDel="00000000" w:rsidR="00000000" w:rsidRPr="00000000">
              <w:rPr>
                <w:rFonts w:ascii="Arial" w:cs="Arial" w:eastAsia="Arial" w:hAnsi="Arial"/>
                <w:rtl w:val="0"/>
              </w:rPr>
              <w:t xml:space="preserve">07 de enero de 2026</w:t>
            </w:r>
          </w:p>
        </w:tc>
      </w:tr>
      <w:tr>
        <w:trPr>
          <w:cantSplit w:val="0"/>
          <w:tblHeader w:val="0"/>
        </w:trPr>
        <w:tc>
          <w:tcPr/>
          <w:p w:rsidR="00000000" w:rsidDel="00000000" w:rsidP="00000000" w:rsidRDefault="00000000" w:rsidRPr="00000000" w14:paraId="0000004C">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07 de enero de 2026</w:t>
            </w:r>
          </w:p>
        </w:tc>
      </w:tr>
      <w:tr>
        <w:trPr>
          <w:cantSplit w:val="0"/>
          <w:tblHeader w:val="0"/>
        </w:trPr>
        <w:tc>
          <w:tcPr/>
          <w:p w:rsidR="00000000" w:rsidDel="00000000" w:rsidP="00000000" w:rsidRDefault="00000000" w:rsidRPr="00000000" w14:paraId="0000004E">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08 de enero de 2026</w:t>
            </w:r>
          </w:p>
          <w:p w:rsidR="00000000" w:rsidDel="00000000" w:rsidP="00000000" w:rsidRDefault="00000000" w:rsidRPr="00000000" w14:paraId="00000050">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14  de enero de 2026</w:t>
            </w:r>
          </w:p>
          <w:p w:rsidR="00000000" w:rsidDel="00000000" w:rsidP="00000000" w:rsidRDefault="00000000" w:rsidRPr="00000000" w14:paraId="00000053">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55">
            <w:pPr>
              <w:spacing w:line="360" w:lineRule="auto"/>
              <w:rPr>
                <w:rFonts w:ascii="Arial" w:cs="Arial" w:eastAsia="Arial" w:hAnsi="Arial"/>
              </w:rPr>
            </w:pPr>
            <w:r w:rsidDel="00000000" w:rsidR="00000000" w:rsidRPr="00000000">
              <w:rPr>
                <w:rFonts w:ascii="Arial" w:cs="Arial" w:eastAsia="Arial" w:hAnsi="Arial"/>
                <w:rtl w:val="0"/>
              </w:rPr>
              <w:t xml:space="preserve">14 de enero de 2026</w:t>
            </w:r>
          </w:p>
          <w:p w:rsidR="00000000" w:rsidDel="00000000" w:rsidP="00000000" w:rsidRDefault="00000000" w:rsidRPr="00000000" w14:paraId="00000056">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7">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shd w:fill="ffffff" w:val="clea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5A">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PROCEDENCIA</w:t>
      </w:r>
    </w:p>
    <w:p w:rsidR="00000000" w:rsidDel="00000000" w:rsidP="00000000" w:rsidRDefault="00000000" w:rsidRPr="00000000" w14:paraId="0000005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rPr>
      </w:pPr>
      <w:r w:rsidDel="00000000" w:rsidR="00000000" w:rsidRPr="00000000">
        <w:rPr>
          <w:rFonts w:ascii="Arial" w:cs="Arial" w:eastAsia="Arial" w:hAnsi="Arial"/>
          <w:rtl w:val="0"/>
        </w:rPr>
        <w:t xml:space="preserve">Es procedente el recurso de queja toda vez que se interpone contra la resolución dictada en amparo indirecto por Juez de Distrito en donde desecho de plano la demanda de amparo promovido por la parte quejosa, lo que actualiza las hipótesis previstas por el inciso a) de la fracción I, del artículo 97 de la Ley de Amparo en vigor.</w:t>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 </w:t>
      </w:r>
    </w:p>
    <w:p w:rsidR="00000000" w:rsidDel="00000000" w:rsidP="00000000" w:rsidRDefault="00000000" w:rsidRPr="00000000" w14:paraId="00000060">
      <w:pPr>
        <w:tabs>
          <w:tab w:val="left" w:leader="none" w:pos="2972"/>
        </w:tabs>
        <w:spacing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61">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EN LA RESOLUCIÓN DE FECHA 15 DE DICIEMBRE DEL AÑO 2025, QUE SE RECURRE SE PRECISA LO QUE CAUSA EL AGRAVIO GENERAL EN LA FOJA </w:t>
      </w:r>
      <w:r w:rsidDel="00000000" w:rsidR="00000000" w:rsidRPr="00000000">
        <w:rPr>
          <w:rFonts w:ascii="Arial" w:cs="Arial" w:eastAsia="Arial" w:hAnsi="Arial"/>
          <w:b w:val="1"/>
          <w:bCs w:val="1"/>
          <w:rtl w:val="0"/>
        </w:rPr>
        <w:t xml:space="preserve">10</w:t>
      </w:r>
      <w:r w:rsidDel="00000000" w:rsidR="00000000" w:rsidRPr="00000000">
        <w:rPr>
          <w:rFonts w:ascii="Arial" w:cs="Arial" w:eastAsia="Arial" w:hAnsi="Arial"/>
          <w:b w:val="1"/>
          <w:bCs w:val="1"/>
          <w:rtl w:val="0"/>
        </w:rPr>
        <w:t xml:space="preserve"> DE LA RESOLUCIÓN DICTADA, EN DONDE SE ESTABLECE:</w:t>
      </w:r>
    </w:p>
    <w:p w:rsidR="00000000" w:rsidDel="00000000" w:rsidP="00000000" w:rsidRDefault="00000000" w:rsidRPr="00000000" w14:paraId="00000062">
      <w:pPr>
        <w:tabs>
          <w:tab w:val="left" w:leader="none" w:pos="2972"/>
        </w:tabs>
        <w:spacing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3">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(...)la causa de improcedencia prevista en el fracción XXIII del artículo 61, en relación con el diverso 107, fracción V, interpretado a contrario sensu, procede desechar de plano la demanda de amparo promovida por Eduardo de Martín Albor Villanueva, con fundamento en el artículo 113 del aludido ordenamiento legal.  ” </w:t>
      </w:r>
    </w:p>
    <w:p w:rsidR="00000000" w:rsidDel="00000000" w:rsidP="00000000" w:rsidRDefault="00000000" w:rsidRPr="00000000" w14:paraId="00000064">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tabs>
          <w:tab w:val="left" w:leader="none" w:pos="2972"/>
        </w:tabs>
        <w:spacing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AGRAVIO. EQUIVOCADA APLICACIÓN DEL ARTÍCULO 107 LA LEY DE AMPARO.</w:t>
      </w:r>
    </w:p>
    <w:p w:rsidR="00000000" w:rsidDel="00000000" w:rsidP="00000000" w:rsidRDefault="00000000" w:rsidRPr="00000000" w14:paraId="00000066">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PRIMERA REFUTATIO: </w:t>
      </w:r>
      <w:r w:rsidDel="00000000" w:rsidR="00000000" w:rsidRPr="00000000">
        <w:rPr>
          <w:rFonts w:ascii="Arial" w:cs="Arial" w:eastAsia="Arial" w:hAnsi="Arial"/>
          <w:rtl w:val="0"/>
        </w:rPr>
        <w:t xml:space="preserve">El Juez de distrito manifiesta en lo medular de su desechamiento, que interpreta a contrario sensu del articulo 107 en su fracción V, sin embargo, el juez de distrito interpretó de manera incorrecta el artículo 107, fracción V, de la Ley de Amparo, al considerar que el acto reclamado es de posible reparación únicamente por tratarse de un acto intraprocesal emitido por una autoridad judicial. Dicho precepto no excluye los actos provenientes de tribunales judiciales, ya que el mismo articulo 107 en su fracción IV de la Ley de Amparo es claro que permite la procedencia del amparo indirecto cuando tales actos de autoridades judiciales violen derechos humanos y no exista un medio ordinario de defensa eficaz para reparar la afectación, lo cual no fue analizado de manera material, sino formal. El acto reclamado no es de posible reparación, ya que la validación de una notificación practicada en un correo electrónico no proporcionado por la víctima produjo efectos jurídicos inmediatos y consumados, consistentes en la preclusión del derecho a impugnar el acuerdo notificado. La pérdida del plazo legal para recurrir constituye una afectación definitiva que no puede ser restituida con posterioridad, aun cuando se dicte una resolución favorable dentro del proceso penal, por lo que el daño es irreparable. Si bien el juez de distrito reconoce la existencia de una violación intraprocesal, es incorrecto que concluya que dicha violación no justifica la procedencia del amparo, toda vez que la notificación defectuosa trasciende el ámbito meramente procesal, pues genera un estado de indefensión que impacta directamente en derechos humanos como el acceso a la justicia, el derecho a un recurso judicial. Asimismo, no existe medio ordinario de defensa eficaz que permita reparar la violación reclamada, ya que una vez validada la notificación y precluido el término para impugnar, no hay recurso que permita reabrir el plazo, en consecuencia, se actualiza plenamente el supuesto de procedencia del amparo indirecto previsto en el artículo 107, fracción V, de la Ley de Amparo, por ello, el desechamiento de la demanda se sustenta en una aplicación errónea y restrictiva del citado precepto legal, al no atender a los efectos reales del acto reclamado ni a la afectación constitucional producida.</w:t>
      </w:r>
    </w:p>
    <w:p w:rsidR="00000000" w:rsidDel="00000000" w:rsidP="00000000" w:rsidRDefault="00000000" w:rsidRPr="00000000" w14:paraId="00000068">
      <w:pPr>
        <w:spacing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Se señala, no hay razón para que la autoridad, determiné encuadrar la procedencia solamente a una hipotesis para la procedencia del juicio, si también coexiste con una hipotesis como lo es el ser un acto de autoridad judicial, y que como se ha señalado trasciende a derechos sustanciales, porque es un hecho juridico, que los derechos procesales pueden aln ser inaplicados pueden transgredir derechos humanos, no es una novedad dicha situación, pero si resulta un absurdo jurídico que la autoridad federal determine no tutelar al quejoso contra actos que cometió el Juez de Control, ya que al tratarse de un acto de él que no tiene recurso alguno como lo es impugnar el acuerdo que resuelve el saneamiento, razón por la cual nace la necesidad de acudir al juicio de amparo.</w:t>
      </w:r>
    </w:p>
    <w:p w:rsidR="00000000" w:rsidDel="00000000" w:rsidP="00000000" w:rsidRDefault="00000000" w:rsidRPr="00000000" w14:paraId="00000069">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SEGUNDA REFUTATIO:</w:t>
      </w:r>
      <w:r w:rsidDel="00000000" w:rsidR="00000000" w:rsidRPr="00000000">
        <w:rPr>
          <w:rFonts w:ascii="Arial" w:cs="Arial" w:eastAsia="Arial" w:hAnsi="Arial"/>
          <w:rtl w:val="0"/>
        </w:rPr>
        <w:t xml:space="preserve"> El juez de distrito aplicó de manera incorrecta el argumento a contrario sensu al interpretar el artículo 107, fracción V, de la Ley de Amparo, pues partió de la premisa errónea de que dicho precepto excluye la procedencia del amparo indirecto contra actos de autoridades judiciales cuando se trata de violaciones intraprocesales de posible reparación, sin embargo, el uso del contrario sensu solo es válido cuando la norma establece una distinción clara, expresa y excluyente, lo cual no ocurre en el citado precepto, que no contiene una prohibición ni una exclusión normativa, sino un supuesto de procedencia que exige analizar los efectos materiales del acto reclamado, el articulo 107 de la ley en materia también prevé expresamente la procedencia del amparo contra actos dentro del juicio cuando estos no admitan recurso ordinario o cuando el medio de defensa existente no sea eficaz, lo que obliga a un análisis concreto de la afectación producida, imponer una regla de improcedencia mediante un razonamiento a contrario sensu implica crear una excepción no prevista por el legislador, lo cual resulta jurídicamente inadmisible, la aplicación del contrario sensu resulta incorrecta toda vez que desnaturaliza la finalidad del juicio de amparo, que es la proteccón inmediata de los derechos humanos frente a actos de autoridad que generan una afectación actual y consumada, interpretar que toda violación intraprocesal es de posible reparación implica vaciar de contenido el artículo 107, fracción V, y convertirlo en una norma meramente declarativa, cuando su objeto es precisamente permitir el control constitucional anticipado de actos procesales que producen efectos irreversibles.</w:t>
      </w:r>
    </w:p>
    <w:p w:rsidR="00000000" w:rsidDel="00000000" w:rsidP="00000000" w:rsidRDefault="00000000" w:rsidRPr="00000000" w14:paraId="0000006B">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Además, el razonamiento a contrario sensu empleado por el juez de distrito sustituye el análisis de los efectos reales del acto reclamado por una clasificación formal del mismo, la procedencia del amparo indirecto no depende de la naturaleza procesal del acto, sino de si la violación genera un daño irreparable, en el caso en particular, la validación de una notificación ilegal produjo la preclusión definitiva del derecho a impugnar, lo cual demuestra que el acto no es de posible reparación y que el uso del contrario sensu condujo a una conclusión contraria al texto y espíritu de la Ley de Amparo, en consecuencia, la resolución impugnada se sustenta en un razonamiento interpretativo incorrecto, al aplicar el contrario sensu donde la norma no lo permite, ampliando indebidamente una causal de improcedencia no prevista en la ley y restringiendo injustificadamente el derecho fundamental de acceso al juicio de amparo.</w:t>
      </w:r>
    </w:p>
    <w:p w:rsidR="00000000" w:rsidDel="00000000" w:rsidP="00000000" w:rsidRDefault="00000000" w:rsidRPr="00000000" w14:paraId="0000006C">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tabs>
          <w:tab w:val="left" w:leader="none" w:pos="2972"/>
        </w:tabs>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E">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F">
      <w:pPr>
        <w:tabs>
          <w:tab w:val="left" w:leader="none" w:pos="2972"/>
        </w:tabs>
        <w:spacing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AGRAVIO. ERRÓNEA INTERPRETACIÓN DEL CONCEPTO DE “DERECHO SUSTANTIVO” AL EXCLUIR EL DERECHO DE ACCESO A LA JUSTICIA Y AL RECURSO EFECTIVO</w:t>
      </w:r>
    </w:p>
    <w:p w:rsidR="00000000" w:rsidDel="00000000" w:rsidP="00000000" w:rsidRDefault="00000000" w:rsidRPr="00000000" w14:paraId="00000070">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1">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“el acto aquí reclamado no pueda considerarse como de imposible reparación para los efectos de procedencia del juicio de amparo indirecto, habida cuenta que el mismo no genera una afectación actual a los derechos sustantivos del quejoso. </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72">
      <w:pPr>
        <w:tabs>
          <w:tab w:val="left" w:leader="none" w:pos="2972"/>
        </w:tabs>
        <w:spacing w:line="360"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3">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w:t>
      </w:r>
      <w:hyperlink r:id="rId12">
        <w:r w:rsidDel="00000000" w:rsidR="00000000" w:rsidRPr="00000000">
          <w:rPr>
            <w:rFonts w:ascii="Arial" w:cs="Arial" w:eastAsia="Arial" w:hAnsi="Arial"/>
            <w:b w:val="1"/>
            <w:bCs w:val="1"/>
            <w:rtl w:val="0"/>
          </w:rPr>
          <w:t xml:space="preserve">REFUTATIO</w:t>
        </w:r>
      </w:hyperlink>
      <w:hyperlink r:id="rId13">
        <w:r w:rsidDel="00000000" w:rsidR="00000000" w:rsidRPr="00000000">
          <w:rPr>
            <w:rFonts w:ascii="Arial" w:cs="Arial" w:eastAsia="Arial" w:hAnsi="Arial"/>
            <w:rtl w:val="0"/>
          </w:rPr>
          <w:t xml:space="preserve">. Es</w:t>
        </w:r>
      </w:hyperlink>
      <w:r w:rsidDel="00000000" w:rsidR="00000000" w:rsidRPr="00000000">
        <w:rPr>
          <w:rFonts w:ascii="Arial" w:cs="Arial" w:eastAsia="Arial" w:hAnsi="Arial"/>
          <w:rtl w:val="0"/>
        </w:rPr>
        <w:t xml:space="preserve"> importante precisar que el Juez de Distrito me causa agravio al reducir</w:t>
      </w:r>
      <w:r w:rsidDel="00000000" w:rsidR="00000000" w:rsidRPr="00000000">
        <w:rPr>
          <w:rFonts w:ascii="Arial" w:cs="Arial" w:eastAsia="Arial" w:hAnsi="Arial"/>
          <w:b w:val="1"/>
          <w:bCs w:val="1"/>
          <w:rtl w:val="0"/>
        </w:rPr>
        <w:t xml:space="preserve"> indebidamente el concepto de derecho sustantivo</w:t>
      </w:r>
      <w:r w:rsidDel="00000000" w:rsidR="00000000" w:rsidRPr="00000000">
        <w:rPr>
          <w:rFonts w:ascii="Arial" w:cs="Arial" w:eastAsia="Arial" w:hAnsi="Arial"/>
          <w:rtl w:val="0"/>
        </w:rPr>
        <w:t xml:space="preserve">, limitándose a bienes como la libertad personal, la integridad física o la propiedad, </w:t>
      </w:r>
      <w:r w:rsidDel="00000000" w:rsidR="00000000" w:rsidRPr="00000000">
        <w:rPr>
          <w:rFonts w:ascii="Arial" w:cs="Arial" w:eastAsia="Arial" w:hAnsi="Arial"/>
          <w:b w:val="1"/>
          <w:bCs w:val="1"/>
          <w:rtl w:val="0"/>
        </w:rPr>
        <w:t xml:space="preserve">excluyendo injustificadamente el derecho de acceso a la justicia y a un recurso efectivo</w:t>
      </w:r>
      <w:r w:rsidDel="00000000" w:rsidR="00000000" w:rsidRPr="00000000">
        <w:rPr>
          <w:rFonts w:ascii="Arial" w:cs="Arial" w:eastAsia="Arial" w:hAnsi="Arial"/>
          <w:rtl w:val="0"/>
        </w:rPr>
        <w:t xml:space="preserve">, cuando estos constituyen </w:t>
      </w:r>
      <w:r w:rsidDel="00000000" w:rsidR="00000000" w:rsidRPr="00000000">
        <w:rPr>
          <w:rFonts w:ascii="Arial" w:cs="Arial" w:eastAsia="Arial" w:hAnsi="Arial"/>
          <w:b w:val="1"/>
          <w:bCs w:val="1"/>
          <w:rtl w:val="0"/>
        </w:rPr>
        <w:t xml:space="preserve">derechos humanos autónomos y sustantivos</w:t>
      </w:r>
      <w:r w:rsidDel="00000000" w:rsidR="00000000" w:rsidRPr="00000000">
        <w:rPr>
          <w:rFonts w:ascii="Arial" w:cs="Arial" w:eastAsia="Arial" w:hAnsi="Arial"/>
          <w:rtl w:val="0"/>
        </w:rPr>
        <w:t xml:space="preserve">.</w:t>
      </w:r>
    </w:p>
    <w:p w:rsidR="00000000" w:rsidDel="00000000" w:rsidP="00000000" w:rsidRDefault="00000000" w:rsidRPr="00000000" w14:paraId="00000074">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La Suprema Corte de Justicia de la Nación y la Corte Interamericana de Derechos Humanos han sostenido que </w:t>
      </w:r>
      <w:r w:rsidDel="00000000" w:rsidR="00000000" w:rsidRPr="00000000">
        <w:rPr>
          <w:rFonts w:ascii="Arial" w:cs="Arial" w:eastAsia="Arial" w:hAnsi="Arial"/>
          <w:b w:val="1"/>
          <w:bCs w:val="1"/>
          <w:rtl w:val="0"/>
        </w:rPr>
        <w:t xml:space="preserve">el derecho a recurrir resoluciones judiciales en condiciones de igualdad y oportunidad forma parte del núcleo esencial del debido proceso</w:t>
      </w:r>
      <w:r w:rsidDel="00000000" w:rsidR="00000000" w:rsidRPr="00000000">
        <w:rPr>
          <w:rFonts w:ascii="Arial" w:cs="Arial" w:eastAsia="Arial" w:hAnsi="Arial"/>
          <w:rtl w:val="0"/>
        </w:rPr>
        <w:t xml:space="preserve">.</w:t>
      </w:r>
    </w:p>
    <w:p w:rsidR="00000000" w:rsidDel="00000000" w:rsidP="00000000" w:rsidRDefault="00000000" w:rsidRPr="00000000" w14:paraId="00000075">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ende, cuando una autoridad judicial:</w:t>
      </w:r>
    </w:p>
    <w:p w:rsidR="00000000" w:rsidDel="00000000" w:rsidP="00000000" w:rsidRDefault="00000000" w:rsidRPr="00000000" w14:paraId="00000076">
      <w:pPr>
        <w:numPr>
          <w:ilvl w:val="0"/>
          <w:numId w:val="2"/>
        </w:numPr>
        <w:tabs>
          <w:tab w:val="left" w:leader="none" w:pos="1119.0000000000002"/>
        </w:tabs>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notifica irregularmente una resolución,</w:t>
      </w:r>
    </w:p>
    <w:p w:rsidR="00000000" w:rsidDel="00000000" w:rsidP="00000000" w:rsidRDefault="00000000" w:rsidRPr="00000000" w14:paraId="00000077">
      <w:pPr>
        <w:numPr>
          <w:ilvl w:val="0"/>
          <w:numId w:val="2"/>
        </w:numPr>
        <w:tabs>
          <w:tab w:val="left" w:leader="none" w:pos="1119.0000000000002"/>
        </w:tabs>
        <w:spacing w:after="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y posteriormente se niega a declarar la nulidad de dicha notificación,</w:t>
      </w:r>
    </w:p>
    <w:p w:rsidR="00000000" w:rsidDel="00000000" w:rsidP="00000000" w:rsidRDefault="00000000" w:rsidRPr="00000000" w14:paraId="00000078">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Este lesiona directamente</w:t>
      </w:r>
      <w:r w:rsidDel="00000000" w:rsidR="00000000" w:rsidRPr="00000000">
        <w:rPr>
          <w:rFonts w:ascii="Arial" w:cs="Arial" w:eastAsia="Arial" w:hAnsi="Arial"/>
          <w:b w:val="1"/>
          <w:bCs w:val="1"/>
          <w:rtl w:val="0"/>
        </w:rPr>
        <w:t xml:space="preserve"> un derecho sustantivo</w:t>
      </w:r>
      <w:r w:rsidDel="00000000" w:rsidR="00000000" w:rsidRPr="00000000">
        <w:rPr>
          <w:rFonts w:ascii="Arial" w:cs="Arial" w:eastAsia="Arial" w:hAnsi="Arial"/>
          <w:rtl w:val="0"/>
        </w:rPr>
        <w:t xml:space="preserve">, pues impide el ejercicio real del derecho de defensa, afectación que no depende del resultado final del proceso, sino que se consuma en el momento mismo en que se priva al gobernado del acceso a un medio de impugnación.</w:t>
      </w:r>
    </w:p>
    <w:p w:rsidR="00000000" w:rsidDel="00000000" w:rsidP="00000000" w:rsidRDefault="00000000" w:rsidRPr="00000000" w14:paraId="00000079">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El Juez de Distrito interpreta de manera restrictiva e indebida el concepto de actos de imposible reparación previsto en el artículo 107, fracción V, de la Ley de Amparo, al limitarlo únicamente a supuestos que involucren afectaciones a derechos como la libertad personal o la integridad física.</w:t>
      </w:r>
    </w:p>
    <w:p w:rsidR="00000000" w:rsidDel="00000000" w:rsidP="00000000" w:rsidRDefault="00000000" w:rsidRPr="00000000" w14:paraId="0000007A">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Contrario a lo sostenido en la resolución reclamada, </w:t>
      </w:r>
      <w:r w:rsidDel="00000000" w:rsidR="00000000" w:rsidRPr="00000000">
        <w:rPr>
          <w:rFonts w:ascii="Arial" w:cs="Arial" w:eastAsia="Arial" w:hAnsi="Arial"/>
          <w:b w:val="1"/>
          <w:bCs w:val="1"/>
          <w:rtl w:val="0"/>
        </w:rPr>
        <w:t xml:space="preserve">el derecho de defensa adecuada y el derecho a un recurso efectivo son derechos sustantivos</w:t>
      </w:r>
      <w:r w:rsidDel="00000000" w:rsidR="00000000" w:rsidRPr="00000000">
        <w:rPr>
          <w:rFonts w:ascii="Arial" w:cs="Arial" w:eastAsia="Arial" w:hAnsi="Arial"/>
          <w:rtl w:val="0"/>
        </w:rPr>
        <w:t xml:space="preserve">, cuya afectación se actualiza de manera inmediata cuando el gobernado es privado del conocimiento oportuno de una resolución judicial. La negativa de nulidad de notificación </w:t>
      </w:r>
      <w:r w:rsidDel="00000000" w:rsidR="00000000" w:rsidRPr="00000000">
        <w:rPr>
          <w:rFonts w:ascii="Arial" w:cs="Arial" w:eastAsia="Arial" w:hAnsi="Arial"/>
          <w:b w:val="1"/>
          <w:bCs w:val="1"/>
          <w:rtl w:val="0"/>
        </w:rPr>
        <w:t xml:space="preserve">produce una afectación material</w:t>
      </w:r>
      <w:r w:rsidDel="00000000" w:rsidR="00000000" w:rsidRPr="00000000">
        <w:rPr>
          <w:rFonts w:ascii="Arial" w:cs="Arial" w:eastAsia="Arial" w:hAnsi="Arial"/>
          <w:rtl w:val="0"/>
        </w:rPr>
        <w:t xml:space="preserve">, en tanto impide el ejercicio presente del derecho a impugnar, lo que satisface plenamente el estándar jurisprudencial de acto de imposible reparación, pues </w:t>
      </w:r>
      <w:r w:rsidDel="00000000" w:rsidR="00000000" w:rsidRPr="00000000">
        <w:rPr>
          <w:rFonts w:ascii="Arial" w:cs="Arial" w:eastAsia="Arial" w:hAnsi="Arial"/>
          <w:b w:val="1"/>
          <w:bCs w:val="1"/>
          <w:rtl w:val="0"/>
        </w:rPr>
        <w:t xml:space="preserve">el daño ya se consumó al transcurrir los plazos legales sin posibilidad de defensa</w:t>
      </w:r>
      <w:r w:rsidDel="00000000" w:rsidR="00000000" w:rsidRPr="00000000">
        <w:rPr>
          <w:rFonts w:ascii="Arial" w:cs="Arial" w:eastAsia="Arial" w:hAnsi="Arial"/>
          <w:rtl w:val="0"/>
        </w:rPr>
        <w:t xml:space="preserve">. En ese sentido, no se trata de una violación condicionada al resultado final del proceso penal, sino de una lesión autónoma que incide directamente en la esfera jurídica del quejoso.</w:t>
      </w:r>
    </w:p>
    <w:p w:rsidR="00000000" w:rsidDel="00000000" w:rsidP="00000000" w:rsidRDefault="00000000" w:rsidRPr="00000000" w14:paraId="0000007B">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w:t>
      </w:r>
      <w:r w:rsidDel="00000000" w:rsidR="00000000" w:rsidRPr="00000000">
        <w:rPr>
          <w:rFonts w:ascii="Arial" w:cs="Arial" w:eastAsia="Arial" w:hAnsi="Arial"/>
          <w:rtl w:val="0"/>
        </w:rPr>
        <w:t xml:space="preserve"> Es preciso señalar que el Juez de Distrito omite aplicar correctamente lo dispuesto por el artículo 107, fracción III, inciso a), de la Ley de Amparo, el cual establece expresamente la procedencia del amparo indirecto contra resoluciones dictadas durante el procedimiento cuando, por virtud de éstas, la persona quejosa haya quedado sin defensa y dicha violación trascienda al resultado de la resolución. En el caso concreto, la negativa de declarar la nulidad de la notificación </w:t>
      </w:r>
      <w:r w:rsidDel="00000000" w:rsidR="00000000" w:rsidRPr="00000000">
        <w:rPr>
          <w:rFonts w:ascii="Arial" w:cs="Arial" w:eastAsia="Arial" w:hAnsi="Arial"/>
          <w:b w:val="1"/>
          <w:bCs w:val="1"/>
          <w:rtl w:val="0"/>
        </w:rPr>
        <w:t xml:space="preserve">dejó al quejoso sin posibilidad real de controvertir el acuerdo de 29 de octubre</w:t>
      </w:r>
      <w:r w:rsidDel="00000000" w:rsidR="00000000" w:rsidRPr="00000000">
        <w:rPr>
          <w:rFonts w:ascii="Arial" w:cs="Arial" w:eastAsia="Arial" w:hAnsi="Arial"/>
          <w:rtl w:val="0"/>
        </w:rPr>
        <w:t xml:space="preserve">, lo que incide directamente en el desarrollo y resultado del procedimiento penal, particularmente en lo relativo a la determinación de competencia.</w:t>
      </w:r>
    </w:p>
    <w:p w:rsidR="00000000" w:rsidDel="00000000" w:rsidP="00000000" w:rsidRDefault="00000000" w:rsidRPr="00000000" w14:paraId="0000007C">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La procedencia del amparo indirecto </w:t>
      </w:r>
      <w:r w:rsidDel="00000000" w:rsidR="00000000" w:rsidRPr="00000000">
        <w:rPr>
          <w:rFonts w:ascii="Arial" w:cs="Arial" w:eastAsia="Arial" w:hAnsi="Arial"/>
          <w:b w:val="1"/>
          <w:bCs w:val="1"/>
          <w:rtl w:val="0"/>
        </w:rPr>
        <w:t xml:space="preserve">no exige que ya exista sentencia definitiva</w:t>
      </w:r>
      <w:r w:rsidDel="00000000" w:rsidR="00000000" w:rsidRPr="00000000">
        <w:rPr>
          <w:rFonts w:ascii="Arial" w:cs="Arial" w:eastAsia="Arial" w:hAnsi="Arial"/>
          <w:rtl w:val="0"/>
        </w:rPr>
        <w:t xml:space="preserve">, sino únicamente que la violación procesal haya dejado al quejoso sin defensa, como ocurre en el presente caso, razón por la cual el desechamiento de plano resulta contrario a derecho.</w:t>
      </w:r>
    </w:p>
    <w:p w:rsidR="00000000" w:rsidDel="00000000" w:rsidP="00000000" w:rsidRDefault="00000000" w:rsidRPr="00000000" w14:paraId="0000007D">
      <w:pPr>
        <w:tabs>
          <w:tab w:val="left" w:leader="none" w:pos="1119.0000000000002"/>
        </w:tabs>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AGRAVIO.- VIOLACIÓN AL DERECHO A UN RECURSO EFECTIVO Y A LA TUTELA JUDICIAL EFECTIVA, AL NO ADVERTIR QUE LA FALTA DE NOTIFICACIÓN VÁLIDA IMPIDE EL ACCESO REAL A LOS MEDIOS DE DEFENSA.</w:t>
      </w:r>
    </w:p>
    <w:p w:rsidR="00000000" w:rsidDel="00000000" w:rsidP="00000000" w:rsidRDefault="00000000" w:rsidRPr="00000000" w14:paraId="0000007E">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w:t>
      </w:r>
      <w:r w:rsidDel="00000000" w:rsidR="00000000" w:rsidRPr="00000000">
        <w:rPr>
          <w:rFonts w:ascii="Arial" w:cs="Arial" w:eastAsia="Arial" w:hAnsi="Arial"/>
          <w:rtl w:val="0"/>
        </w:rPr>
        <w:t xml:space="preserve"> La resolución combatida omite analizar que la negativa de declarar la nulidad de la notificación del acuerdo de 29 de octubre de 2025 impide al quejoso acceder a </w:t>
      </w:r>
      <w:r w:rsidDel="00000000" w:rsidR="00000000" w:rsidRPr="00000000">
        <w:rPr>
          <w:rFonts w:ascii="Arial" w:cs="Arial" w:eastAsia="Arial" w:hAnsi="Arial"/>
          <w:b w:val="1"/>
          <w:bCs w:val="1"/>
          <w:rtl w:val="0"/>
        </w:rPr>
        <w:t xml:space="preserve">un recurso efectivo</w:t>
      </w:r>
      <w:r w:rsidDel="00000000" w:rsidR="00000000" w:rsidRPr="00000000">
        <w:rPr>
          <w:rFonts w:ascii="Arial" w:cs="Arial" w:eastAsia="Arial" w:hAnsi="Arial"/>
          <w:rtl w:val="0"/>
        </w:rPr>
        <w:t xml:space="preserve">, en términos del artículo 17 constitucional y del artículo 25 de la Convención Americana sobre Derechos Humanos. Al no haberse practicado una notificación conforme a derecho, por lo que, el quejoso quedó materialmente impedido para interponer en tiempo y forma los medios de impugnación procedentes contra dicho acuerdo, lo cual lo dejó en </w:t>
      </w:r>
      <w:r w:rsidDel="00000000" w:rsidR="00000000" w:rsidRPr="00000000">
        <w:rPr>
          <w:rFonts w:ascii="Arial" w:cs="Arial" w:eastAsia="Arial" w:hAnsi="Arial"/>
          <w:b w:val="1"/>
          <w:bCs w:val="1"/>
          <w:rtl w:val="0"/>
        </w:rPr>
        <w:t xml:space="preserve">estado de indefensión real y no meramente hipotética</w:t>
      </w:r>
      <w:r w:rsidDel="00000000" w:rsidR="00000000" w:rsidRPr="00000000">
        <w:rPr>
          <w:rFonts w:ascii="Arial" w:cs="Arial" w:eastAsia="Arial" w:hAnsi="Arial"/>
          <w:rtl w:val="0"/>
        </w:rPr>
        <w:t xml:space="preserve">.</w:t>
      </w:r>
    </w:p>
    <w:p w:rsidR="00000000" w:rsidDel="00000000" w:rsidP="00000000" w:rsidRDefault="00000000" w:rsidRPr="00000000" w14:paraId="0000007F">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El Juez de Distrito incurre en un razonamiento incorrecto al afirmar que dicha violación puede repararse en un eventual amparo directo, pues </w:t>
      </w:r>
      <w:r w:rsidDel="00000000" w:rsidR="00000000" w:rsidRPr="00000000">
        <w:rPr>
          <w:rFonts w:ascii="Arial" w:cs="Arial" w:eastAsia="Arial" w:hAnsi="Arial"/>
          <w:b w:val="1"/>
          <w:bCs w:val="1"/>
          <w:rtl w:val="0"/>
        </w:rPr>
        <w:t xml:space="preserve">el derecho a recurrir debe ser oportuno y efectivo</w:t>
      </w:r>
      <w:r w:rsidDel="00000000" w:rsidR="00000000" w:rsidRPr="00000000">
        <w:rPr>
          <w:rFonts w:ascii="Arial" w:cs="Arial" w:eastAsia="Arial" w:hAnsi="Arial"/>
          <w:rtl w:val="0"/>
        </w:rPr>
        <w:t xml:space="preserve">, no diferido ni condicionado al dictado de una sentencia definitiva. La privación del acceso a los recursos ordinarios </w:t>
      </w:r>
      <w:r w:rsidDel="00000000" w:rsidR="00000000" w:rsidRPr="00000000">
        <w:rPr>
          <w:rFonts w:ascii="Arial" w:cs="Arial" w:eastAsia="Arial" w:hAnsi="Arial"/>
          <w:b w:val="1"/>
          <w:bCs w:val="1"/>
          <w:rtl w:val="0"/>
        </w:rPr>
        <w:t xml:space="preserve">produce una afectación actual y consumada</w:t>
      </w:r>
      <w:r w:rsidDel="00000000" w:rsidR="00000000" w:rsidRPr="00000000">
        <w:rPr>
          <w:rFonts w:ascii="Arial" w:cs="Arial" w:eastAsia="Arial" w:hAnsi="Arial"/>
          <w:rtl w:val="0"/>
        </w:rPr>
        <w:t xml:space="preserve">, que no puede considerarse reparable con posterioridad, ya que los plazos procesales transcurrieron sin posibilidad real de actuación del quejoso.</w:t>
      </w:r>
    </w:p>
    <w:p w:rsidR="00000000" w:rsidDel="00000000" w:rsidP="00000000" w:rsidRDefault="00000000" w:rsidRPr="00000000" w14:paraId="00000080">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w:t>
      </w:r>
      <w:r w:rsidDel="00000000" w:rsidR="00000000" w:rsidRPr="00000000">
        <w:rPr>
          <w:rFonts w:ascii="Arial" w:cs="Arial" w:eastAsia="Arial" w:hAnsi="Arial"/>
          <w:rtl w:val="0"/>
        </w:rPr>
        <w:t xml:space="preserve"> Por lo que, el Juez de Distrito al concluir que, la negativa de declarar la nulidad de la notificación del acuerdo de 29 de octubre de 2025 constituye un acto meramente intraprocesal que no afecta derechos sustantivos del quejoso, es jurídicamente incorrecta, toda vez que </w:t>
      </w:r>
      <w:r w:rsidDel="00000000" w:rsidR="00000000" w:rsidRPr="00000000">
        <w:rPr>
          <w:rFonts w:ascii="Arial" w:cs="Arial" w:eastAsia="Arial" w:hAnsi="Arial"/>
          <w:b w:val="1"/>
          <w:bCs w:val="1"/>
          <w:rtl w:val="0"/>
        </w:rPr>
        <w:t xml:space="preserve">la notificación válida de las resoluciones judiciales no es una formalidad adjetiva aislada</w:t>
      </w:r>
      <w:r w:rsidDel="00000000" w:rsidR="00000000" w:rsidRPr="00000000">
        <w:rPr>
          <w:rFonts w:ascii="Arial" w:cs="Arial" w:eastAsia="Arial" w:hAnsi="Arial"/>
          <w:rtl w:val="0"/>
        </w:rPr>
        <w:t xml:space="preserve">, sino un </w:t>
      </w:r>
      <w:r w:rsidDel="00000000" w:rsidR="00000000" w:rsidRPr="00000000">
        <w:rPr>
          <w:rFonts w:ascii="Arial" w:cs="Arial" w:eastAsia="Arial" w:hAnsi="Arial"/>
          <w:b w:val="1"/>
          <w:bCs w:val="1"/>
          <w:rtl w:val="0"/>
        </w:rPr>
        <w:t xml:space="preserve">presupuesto indispensable para el ejercicio efectivo del derecho de defensa</w:t>
      </w:r>
      <w:r w:rsidDel="00000000" w:rsidR="00000000" w:rsidRPr="00000000">
        <w:rPr>
          <w:rFonts w:ascii="Arial" w:cs="Arial" w:eastAsia="Arial" w:hAnsi="Arial"/>
          <w:rtl w:val="0"/>
        </w:rPr>
        <w:t xml:space="preserve">, del derecho de acceso a la justicia y del derecho a un recurso efectivo, todos ellos con jerarquía constitucional y convencional.</w:t>
      </w:r>
    </w:p>
    <w:p w:rsidR="00000000" w:rsidDel="00000000" w:rsidP="00000000" w:rsidRDefault="00000000" w:rsidRPr="00000000" w14:paraId="00000081">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La omisión o irregularidad en la notificación </w:t>
      </w:r>
      <w:r w:rsidDel="00000000" w:rsidR="00000000" w:rsidRPr="00000000">
        <w:rPr>
          <w:rFonts w:ascii="Arial" w:cs="Arial" w:eastAsia="Arial" w:hAnsi="Arial"/>
          <w:b w:val="1"/>
          <w:bCs w:val="1"/>
          <w:rtl w:val="0"/>
        </w:rPr>
        <w:t xml:space="preserve">no se agota en el ámbito procedimental</w:t>
      </w:r>
      <w:r w:rsidDel="00000000" w:rsidR="00000000" w:rsidRPr="00000000">
        <w:rPr>
          <w:rFonts w:ascii="Arial" w:cs="Arial" w:eastAsia="Arial" w:hAnsi="Arial"/>
          <w:rtl w:val="0"/>
        </w:rPr>
        <w:t xml:space="preserve">, sino que </w:t>
      </w:r>
      <w:r w:rsidDel="00000000" w:rsidR="00000000" w:rsidRPr="00000000">
        <w:rPr>
          <w:rFonts w:ascii="Arial" w:cs="Arial" w:eastAsia="Arial" w:hAnsi="Arial"/>
          <w:b w:val="1"/>
          <w:bCs w:val="1"/>
          <w:rtl w:val="0"/>
        </w:rPr>
        <w:t xml:space="preserve">produce una afectación directa, actual y material al derecho sustantivo de defensa adecuada</w:t>
      </w:r>
      <w:r w:rsidDel="00000000" w:rsidR="00000000" w:rsidRPr="00000000">
        <w:rPr>
          <w:rFonts w:ascii="Arial" w:cs="Arial" w:eastAsia="Arial" w:hAnsi="Arial"/>
          <w:rtl w:val="0"/>
        </w:rPr>
        <w:t xml:space="preserve">, al impedir que el gobernado tenga conocimiento oportuno del acto de autoridad y, por ende, pueda controvertirlo por los medios legales idóneos dentro de los plazos correspondientes.</w:t>
      </w:r>
    </w:p>
    <w:p w:rsidR="00000000" w:rsidDel="00000000" w:rsidP="00000000" w:rsidRDefault="00000000" w:rsidRPr="00000000" w14:paraId="00000082">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ab/>
        <w:t xml:space="preserve">Al sostener lo contrario, el Juez de Distrito reduce indebidamente el derecho de defensa a una expectativa futura, ignorando que su ejercicio es inmediato y actual, y que su afectación se consuma desde el momento en que se priva al quejoso de la posibilidad real de impugnar una determinación judicial, finalmente, la resolución reclamada carece de una debida motivación, al limitarse a calificar la violación como intraprocesal sin analizar </w:t>
      </w:r>
      <w:r w:rsidDel="00000000" w:rsidR="00000000" w:rsidRPr="00000000">
        <w:rPr>
          <w:rFonts w:ascii="Arial" w:cs="Arial" w:eastAsia="Arial" w:hAnsi="Arial"/>
          <w:b w:val="1"/>
          <w:bCs w:val="1"/>
          <w:rtl w:val="0"/>
        </w:rPr>
        <w:t xml:space="preserve">el impacto concreto, real y actual</w:t>
      </w:r>
      <w:r w:rsidDel="00000000" w:rsidR="00000000" w:rsidRPr="00000000">
        <w:rPr>
          <w:rFonts w:ascii="Arial" w:cs="Arial" w:eastAsia="Arial" w:hAnsi="Arial"/>
          <w:rtl w:val="0"/>
        </w:rPr>
        <w:t xml:space="preserve"> que la falta de notificación válida produjo en el ejercicio de los derechos fundamentales del quejoso. El Juez de Distrito no realiza un análisis individualizado del caso, ni pondera los derechos en juego, incurriendo en una argumentación genérica que desconoce la función del juicio de amparo como mecanismo de control constitucional frente a actos que generan indefensión material.</w:t>
      </w:r>
    </w:p>
    <w:p w:rsidR="00000000" w:rsidDel="00000000" w:rsidP="00000000" w:rsidRDefault="00000000" w:rsidRPr="00000000" w14:paraId="00000083">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84">
      <w:pPr>
        <w:tabs>
          <w:tab w:val="left" w:leader="none" w:pos="1119.000000000000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Tener por presentada la parte quejosa en los términos del presente ocurso interponiendo recurso de queja contra del acuerdo de fecha 15 de diciembre del año 2025, donde SE DESECHÓ DE PLANO la demanda de amparo indirecto dentro de juicio número 1172/2025, y en su momento oportuno obtener resolución favorable.</w:t>
      </w:r>
    </w:p>
    <w:p w:rsidR="00000000" w:rsidDel="00000000" w:rsidP="00000000" w:rsidRDefault="00000000" w:rsidRPr="00000000" w14:paraId="00000086">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SE PROTESTA LO NECESARIO </w:t>
      </w:r>
      <w:r w:rsidDel="00000000" w:rsidR="00000000" w:rsidRPr="00000000">
        <w:rPr>
          <w:rtl w:val="0"/>
        </w:rPr>
      </w:r>
    </w:p>
    <w:p w:rsidR="00000000" w:rsidDel="00000000" w:rsidP="00000000" w:rsidRDefault="00000000" w:rsidRPr="00000000" w14:paraId="00000088">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9">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A">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8B">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 DE ENERO DEL 2026, CANCÚN, QUINTANA ROO.</w:t>
      </w:r>
    </w:p>
    <w:sectPr>
      <w:headerReference r:id="rId14" w:type="default"/>
      <w:footerReference r:id="rId15"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A6C12"/>
    <w:pPr>
      <w:ind w:left="720"/>
      <w:contextualSpacing w:val="1"/>
    </w:pPr>
  </w:style>
  <w:style w:type="paragraph" w:styleId="Textonotapie">
    <w:name w:val="footnote text"/>
    <w:basedOn w:val="Normal"/>
    <w:link w:val="TextonotapieCar"/>
    <w:uiPriority w:val="99"/>
    <w:semiHidden w:val="1"/>
    <w:unhideWhenUsed w:val="1"/>
    <w:rsid w:val="00C16B6B"/>
    <w:rPr>
      <w:sz w:val="20"/>
      <w:szCs w:val="20"/>
    </w:rPr>
  </w:style>
  <w:style w:type="character" w:styleId="TextonotapieCar" w:customStyle="1">
    <w:name w:val="Texto nota pie Car"/>
    <w:basedOn w:val="Fuentedeprrafopredeter"/>
    <w:link w:val="Textonotapie"/>
    <w:uiPriority w:val="99"/>
    <w:semiHidden w:val="1"/>
    <w:rsid w:val="00C16B6B"/>
    <w:rPr>
      <w:sz w:val="20"/>
      <w:szCs w:val="20"/>
    </w:rPr>
  </w:style>
  <w:style w:type="character" w:styleId="Refdenotaalpie">
    <w:name w:val="footnote reference"/>
    <w:basedOn w:val="Fuentedeprrafopredeter"/>
    <w:uiPriority w:val="99"/>
    <w:semiHidden w:val="1"/>
    <w:unhideWhenUsed w:val="1"/>
    <w:rsid w:val="00C16B6B"/>
    <w:rPr>
      <w:vertAlign w:val="superscript"/>
    </w:rPr>
  </w:style>
  <w:style w:type="paragraph" w:styleId="Citadestacada">
    <w:name w:val="Intense Quote"/>
    <w:basedOn w:val="Normal"/>
    <w:next w:val="Normal"/>
    <w:link w:val="CitadestacadaCar"/>
    <w:uiPriority w:val="30"/>
    <w:qFormat w:val="1"/>
    <w:rsid w:val="008060D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8060D2"/>
    <w:rPr>
      <w:i w:val="1"/>
      <w:iCs w:val="1"/>
      <w:color w:val="4472c4" w:themeColor="accent1"/>
    </w:rPr>
  </w:style>
  <w:style w:type="paragraph" w:styleId="Encabezado">
    <w:name w:val="header"/>
    <w:basedOn w:val="Normal"/>
    <w:link w:val="EncabezadoCar"/>
    <w:uiPriority w:val="99"/>
    <w:unhideWhenUsed w:val="1"/>
    <w:rsid w:val="0058130C"/>
    <w:pPr>
      <w:tabs>
        <w:tab w:val="center" w:pos="4419"/>
        <w:tab w:val="right" w:pos="8838"/>
      </w:tabs>
    </w:pPr>
  </w:style>
  <w:style w:type="character" w:styleId="EncabezadoCar" w:customStyle="1">
    <w:name w:val="Encabezado Car"/>
    <w:basedOn w:val="Fuentedeprrafopredeter"/>
    <w:link w:val="Encabezado"/>
    <w:uiPriority w:val="99"/>
    <w:rsid w:val="0058130C"/>
  </w:style>
  <w:style w:type="paragraph" w:styleId="Piedepgina">
    <w:name w:val="footer"/>
    <w:basedOn w:val="Normal"/>
    <w:link w:val="PiedepginaCar"/>
    <w:uiPriority w:val="99"/>
    <w:unhideWhenUsed w:val="1"/>
    <w:rsid w:val="0058130C"/>
    <w:pPr>
      <w:tabs>
        <w:tab w:val="center" w:pos="4419"/>
        <w:tab w:val="right" w:pos="8838"/>
      </w:tabs>
    </w:pPr>
  </w:style>
  <w:style w:type="character" w:styleId="PiedepginaCar" w:customStyle="1">
    <w:name w:val="Pie de página Car"/>
    <w:basedOn w:val="Fuentedeprrafopredeter"/>
    <w:link w:val="Piedepgina"/>
    <w:uiPriority w:val="99"/>
    <w:rsid w:val="0058130C"/>
  </w:style>
  <w:style w:type="character" w:styleId="Ttulo2Car" w:customStyle="1">
    <w:name w:val="Título 2 Car"/>
    <w:basedOn w:val="Fuentedeprrafopredeter"/>
    <w:link w:val="Ttulo2"/>
    <w:uiPriority w:val="9"/>
    <w:rsid w:val="00463584"/>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uiPriority w:val="99"/>
    <w:unhideWhenUsed w:val="1"/>
    <w:rsid w:val="00A62445"/>
    <w:rPr>
      <w:color w:val="0563c1" w:themeColor="hyperlink"/>
      <w:u w:val="single"/>
    </w:rPr>
  </w:style>
  <w:style w:type="character" w:styleId="Mencinsinresolver">
    <w:name w:val="Unresolved Mention"/>
    <w:basedOn w:val="Fuentedeprrafopredeter"/>
    <w:uiPriority w:val="99"/>
    <w:semiHidden w:val="1"/>
    <w:unhideWhenUsed w:val="1"/>
    <w:rsid w:val="00A62445"/>
    <w:rPr>
      <w:color w:val="605e5c"/>
      <w:shd w:color="auto" w:fill="e1dfdd" w:val="clear"/>
    </w:rPr>
  </w:style>
  <w:style w:type="paragraph" w:styleId="NormalWeb">
    <w:name w:val="Normal (Web)"/>
    <w:basedOn w:val="Normal"/>
    <w:uiPriority w:val="99"/>
    <w:unhideWhenUsed w:val="1"/>
    <w:rsid w:val="00A62445"/>
    <w:pPr>
      <w:spacing w:after="100" w:afterAutospacing="1" w:before="100" w:beforeAutospacing="1"/>
    </w:pPr>
  </w:style>
  <w:style w:type="table" w:styleId="Tablaconcuadrcula">
    <w:name w:val="Table Grid"/>
    <w:basedOn w:val="Tablanormal"/>
    <w:uiPriority w:val="39"/>
    <w:rsid w:val="00A624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A62445"/>
    <w:rPr>
      <w:i w:val="1"/>
      <w:iCs w:val="1"/>
    </w:rPr>
  </w:style>
  <w:style w:type="character" w:styleId="Textoennegrita">
    <w:name w:val="Strong"/>
    <w:basedOn w:val="Fuentedeprrafopredeter"/>
    <w:uiPriority w:val="22"/>
    <w:qFormat w:val="1"/>
    <w:rsid w:val="00A62445"/>
    <w:rPr>
      <w:b w:val="1"/>
      <w:bCs w:val="1"/>
    </w:rPr>
  </w:style>
  <w:style w:type="paragraph" w:styleId="temp" w:customStyle="1">
    <w:name w:val="temp"/>
    <w:basedOn w:val="Normal"/>
    <w:rsid w:val="00A62445"/>
    <w:pPr>
      <w:spacing w:after="100" w:afterAutospacing="1" w:before="100" w:beforeAutospacing="1"/>
    </w:pPr>
  </w:style>
  <w:style w:type="character" w:styleId="bold" w:customStyle="1">
    <w:name w:val="bold"/>
    <w:basedOn w:val="Fuentedeprrafopredeter"/>
    <w:rsid w:val="00A62445"/>
  </w:style>
  <w:style w:type="character" w:styleId="ng-star-inserted" w:customStyle="1">
    <w:name w:val="ng-star-inserted"/>
    <w:basedOn w:val="Fuentedeprrafopredeter"/>
    <w:rsid w:val="00A6244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otificaciones@cejum.com" TargetMode="External"/><Relationship Id="rId10" Type="http://schemas.openxmlformats.org/officeDocument/2006/relationships/hyperlink" Target="mailto:alvaro_pegueros@hotmail.com" TargetMode="External"/><Relationship Id="rId13" Type="http://schemas.openxmlformats.org/officeDocument/2006/relationships/hyperlink" Target="http://refutatio.es" TargetMode="External"/><Relationship Id="rId12" Type="http://schemas.openxmlformats.org/officeDocument/2006/relationships/hyperlink" Target="http://refutatio.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martin_arjona@hotmail.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artin_arjona@hotmail.com" TargetMode="Externa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w55TCXUjKkesunToXXv1EnHyg==">CgMxLjA4AHIhMTBYMVk5T1RmdmVkbjd2RnpWWWEyTkJzWFphOHgwcklm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2024-01-16T21:02:00Z</dcterms:created>
  <dc:creator>Alvaro Pegueros Castillo</dc:creator>
</cp:coreProperties>
</file>