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ind w:left="454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AMPARO INDIRECTO 524/2025</w:t>
      </w:r>
    </w:p>
    <w:p w:rsidR="00000000" w:rsidDel="00000000" w:rsidP="00000000" w:rsidRDefault="00000000" w:rsidRPr="00000000" w14:paraId="00000002">
      <w:pPr>
        <w:spacing w:after="0" w:line="276" w:lineRule="auto"/>
        <w:ind w:left="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3">
      <w:pPr>
        <w:spacing w:after="0" w:line="360" w:lineRule="auto"/>
        <w:ind w:left="454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TERCERO INTERESADO: EDUARDO DE MARTIN ALBOR VILLANUEVA.</w:t>
      </w:r>
    </w:p>
    <w:p w:rsidR="00000000" w:rsidDel="00000000" w:rsidP="00000000" w:rsidRDefault="00000000" w:rsidRPr="00000000" w14:paraId="00000004">
      <w:pPr>
        <w:spacing w:after="0" w:line="276" w:lineRule="auto"/>
        <w:ind w:left="4540" w:firstLine="0"/>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5">
      <w:pPr>
        <w:spacing w:after="0" w:line="360" w:lineRule="auto"/>
        <w:ind w:left="4540" w:firstLine="0"/>
        <w:jc w:val="both"/>
        <w:rPr>
          <w:rFonts w:ascii="Arial" w:cs="Arial" w:eastAsia="Arial" w:hAnsi="Arial"/>
          <w:b w:val="1"/>
          <w:bCs w:val="1"/>
        </w:rPr>
      </w:pPr>
      <w:r w:rsidDel="00000000" w:rsidR="00000000" w:rsidRPr="00000000">
        <w:rPr>
          <w:rFonts w:ascii="Arial" w:cs="Arial" w:eastAsia="Arial" w:hAnsi="Arial"/>
          <w:b w:val="1"/>
          <w:bCs w:val="1"/>
          <w:sz w:val="24"/>
          <w:szCs w:val="24"/>
          <w:rtl w:val="0"/>
        </w:rPr>
        <w:t xml:space="preserve">QUEJOSO: </w:t>
      </w:r>
      <w:r w:rsidDel="00000000" w:rsidR="00000000" w:rsidRPr="00000000">
        <w:rPr>
          <w:rFonts w:ascii="Arial" w:cs="Arial" w:eastAsia="Arial" w:hAnsi="Arial"/>
          <w:b w:val="1"/>
          <w:bCs w:val="1"/>
          <w:rtl w:val="0"/>
        </w:rPr>
        <w:t xml:space="preserve">EMILIO GARCÍA NARANJO TOLEDO, APODERADO LEGAL DE LA MORA “CONTROLADORA DOLPHIN”</w:t>
      </w:r>
    </w:p>
    <w:p w:rsidR="00000000" w:rsidDel="00000000" w:rsidP="00000000" w:rsidRDefault="00000000" w:rsidRPr="00000000" w14:paraId="00000006">
      <w:pPr>
        <w:spacing w:after="0" w:line="276" w:lineRule="auto"/>
        <w:ind w:left="454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07">
      <w:pPr>
        <w:spacing w:after="0" w:line="360" w:lineRule="auto"/>
        <w:ind w:left="4540" w:firstLine="0"/>
        <w:jc w:val="both"/>
        <w:rPr>
          <w:rFonts w:ascii="Arial" w:cs="Arial" w:eastAsia="Arial" w:hAnsi="Arial"/>
          <w:b w:val="1"/>
          <w:bCs w:val="1"/>
        </w:rPr>
      </w:pPr>
      <w:r w:rsidDel="00000000" w:rsidR="00000000" w:rsidRPr="00000000">
        <w:rPr>
          <w:rFonts w:ascii="Arial" w:cs="Arial" w:eastAsia="Arial" w:hAnsi="Arial"/>
          <w:b w:val="1"/>
          <w:bCs w:val="1"/>
          <w:sz w:val="24"/>
          <w:szCs w:val="24"/>
          <w:rtl w:val="0"/>
        </w:rPr>
        <w:t xml:space="preserve">AUTORIDADES RESPONSABLES:</w:t>
      </w:r>
      <w:r w:rsidDel="00000000" w:rsidR="00000000" w:rsidRPr="00000000">
        <w:rPr>
          <w:rFonts w:ascii="Arial" w:cs="Arial" w:eastAsia="Arial" w:hAnsi="Arial"/>
          <w:b w:val="1"/>
          <w:bCs w:val="1"/>
          <w:sz w:val="26"/>
          <w:szCs w:val="26"/>
          <w:rtl w:val="0"/>
        </w:rPr>
        <w:t xml:space="preserve">          - </w:t>
      </w:r>
      <w:r w:rsidDel="00000000" w:rsidR="00000000" w:rsidRPr="00000000">
        <w:rPr>
          <w:rFonts w:ascii="Arial" w:cs="Arial" w:eastAsia="Arial" w:hAnsi="Arial"/>
          <w:b w:val="1"/>
          <w:bCs w:val="1"/>
          <w:rtl w:val="0"/>
        </w:rPr>
        <w:t xml:space="preserve">LICENCIADO LUIS ALBERTO DORANTES LÓPEZ, FISCAL DEL MINISTERIO PÚBLICO DEL FUERO COMÚN ADSCRITO A LA FISCALÍA ESPECIALIZADA EN COMBATE A DELITOS PATRIMONIALES, DE LA FISCALÍA GENERAL DEL ESTADO DE QUINTANA ROO. </w:t>
      </w:r>
    </w:p>
    <w:p w:rsidR="00000000" w:rsidDel="00000000" w:rsidP="00000000" w:rsidRDefault="00000000" w:rsidRPr="00000000" w14:paraId="00000008">
      <w:pPr>
        <w:spacing w:after="0" w:line="360" w:lineRule="auto"/>
        <w:ind w:left="4540" w:firstLine="0"/>
        <w:jc w:val="both"/>
        <w:rPr>
          <w:rFonts w:ascii="Arial" w:cs="Arial" w:eastAsia="Arial" w:hAnsi="Arial"/>
          <w:b w:val="1"/>
          <w:bCs w:val="1"/>
          <w:sz w:val="26"/>
          <w:szCs w:val="26"/>
        </w:rPr>
      </w:pPr>
      <w:r w:rsidDel="00000000" w:rsidR="00000000" w:rsidRPr="00000000">
        <w:rPr>
          <w:rFonts w:ascii="Arial" w:cs="Arial" w:eastAsia="Arial" w:hAnsi="Arial"/>
          <w:b w:val="1"/>
          <w:bCs w:val="1"/>
          <w:rtl w:val="0"/>
        </w:rPr>
        <w:t xml:space="preserve">-GUILLERMO DOMÍNGUEZ ESPINOSA, TITULAR DE LA FISCALÍA ESPECIALIZADA EN COMBATE A DELITOS PATRIMONIALES, DE LA FISCALÍA GENERAL DEL ESTADO DE QUINTANA ROO.</w:t>
      </w:r>
      <w:r w:rsidDel="00000000" w:rsidR="00000000" w:rsidRPr="00000000">
        <w:rPr>
          <w:rtl w:val="0"/>
        </w:rPr>
      </w:r>
    </w:p>
    <w:p w:rsidR="00000000" w:rsidDel="00000000" w:rsidP="00000000" w:rsidRDefault="00000000" w:rsidRPr="00000000" w14:paraId="00000009">
      <w:pPr>
        <w:pBdr>
          <w:top w:color="000000" w:space="1" w:sz="4" w:val="single"/>
          <w:left w:color="000000" w:space="4" w:sz="4" w:val="single"/>
          <w:bottom w:color="000000" w:space="1" w:sz="4" w:val="single"/>
          <w:right w:color="000000" w:space="4" w:sz="4" w:val="single"/>
        </w:pBdr>
        <w:spacing w:after="0" w:line="360" w:lineRule="auto"/>
        <w:ind w:left="4536"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ASUNTO. </w:t>
      </w:r>
      <w:r w:rsidDel="00000000" w:rsidR="00000000" w:rsidRPr="00000000">
        <w:rPr>
          <w:rFonts w:ascii="Arial" w:cs="Arial" w:eastAsia="Arial" w:hAnsi="Arial"/>
          <w:sz w:val="24"/>
          <w:szCs w:val="24"/>
          <w:rtl w:val="0"/>
        </w:rPr>
        <w:t xml:space="preserve">Se avisa a este juzgado federal que el quejoso interpone recurso de revisión en contra de la Sentencia de fecha 1</w:t>
      </w:r>
      <w:r w:rsidDel="00000000" w:rsidR="00000000" w:rsidRPr="00000000">
        <w:rPr>
          <w:rFonts w:ascii="Arial" w:cs="Arial" w:eastAsia="Arial" w:hAnsi="Arial"/>
          <w:sz w:val="24"/>
          <w:szCs w:val="24"/>
          <w:rtl w:val="0"/>
        </w:rPr>
        <w:t xml:space="preserve">8 de noviembre del año 2025.</w:t>
      </w:r>
      <w:r w:rsidDel="00000000" w:rsidR="00000000" w:rsidRPr="00000000">
        <w:rPr>
          <w:rtl w:val="0"/>
        </w:rPr>
      </w:r>
    </w:p>
    <w:p w:rsidR="00000000" w:rsidDel="00000000" w:rsidP="00000000" w:rsidRDefault="00000000" w:rsidRPr="00000000" w14:paraId="0000000A">
      <w:pPr>
        <w:spacing w:after="0" w:line="360" w:lineRule="auto"/>
        <w:ind w:right="2317"/>
        <w:jc w:val="both"/>
        <w:rPr>
          <w:rFonts w:ascii="Arial" w:cs="Arial" w:eastAsia="Arial" w:hAnsi="Arial"/>
          <w:sz w:val="26"/>
          <w:szCs w:val="26"/>
        </w:rPr>
      </w:pPr>
      <w:r w:rsidDel="00000000" w:rsidR="00000000" w:rsidRPr="00000000">
        <w:rPr>
          <w:rFonts w:ascii="Arial" w:cs="Arial" w:eastAsia="Arial" w:hAnsi="Arial"/>
          <w:sz w:val="26"/>
          <w:szCs w:val="26"/>
          <w:rtl w:val="0"/>
        </w:rPr>
        <w:t xml:space="preserve"> </w:t>
      </w:r>
    </w:p>
    <w:p w:rsidR="00000000" w:rsidDel="00000000" w:rsidP="00000000" w:rsidRDefault="00000000" w:rsidRPr="00000000" w14:paraId="0000000B">
      <w:pPr>
        <w:spacing w:after="0" w:line="360" w:lineRule="auto"/>
        <w:ind w:right="2317"/>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JUZGADO TERCERO DE DISTRITO EN EL ESTADO DE QUINTANA ROO, CON RESIDENCIA EN CANCÚN.</w:t>
      </w:r>
    </w:p>
    <w:p w:rsidR="00000000" w:rsidDel="00000000" w:rsidP="00000000" w:rsidRDefault="00000000" w:rsidRPr="00000000" w14:paraId="0000000C">
      <w:pPr>
        <w:spacing w:after="0"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PRESENTE </w:t>
      </w:r>
    </w:p>
    <w:p w:rsidR="00000000" w:rsidDel="00000000" w:rsidP="00000000" w:rsidRDefault="00000000" w:rsidRPr="00000000" w14:paraId="0000000D">
      <w:pPr>
        <w:spacing w:after="0"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E">
      <w:pPr>
        <w:spacing w:after="0"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EDUARDO DE MARTIN ALBOR VILLANUEVA, </w:t>
      </w:r>
      <w:r w:rsidDel="00000000" w:rsidR="00000000" w:rsidRPr="00000000">
        <w:rPr>
          <w:rFonts w:ascii="Arial" w:cs="Arial" w:eastAsia="Arial" w:hAnsi="Arial"/>
          <w:sz w:val="24"/>
          <w:szCs w:val="24"/>
          <w:rtl w:val="0"/>
        </w:rPr>
        <w:t xml:space="preserve">con la personalidad que se tiene debidamente reconocida como tercero interesado en el asunto que se cita al rubro, con el debido respeto comparezco para exponer lo siguiente:</w:t>
      </w:r>
    </w:p>
    <w:p w:rsidR="00000000" w:rsidDel="00000000" w:rsidP="00000000" w:rsidRDefault="00000000" w:rsidRPr="00000000" w14:paraId="0000000F">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medio del presente escrito respetuosamente se avisa a este Juzgado Federal que, con esta fecha, se ha interpuesto </w:t>
      </w:r>
      <w:r w:rsidDel="00000000" w:rsidR="00000000" w:rsidRPr="00000000">
        <w:rPr>
          <w:rFonts w:ascii="Arial" w:cs="Arial" w:eastAsia="Arial" w:hAnsi="Arial"/>
          <w:b w:val="1"/>
          <w:bCs w:val="1"/>
          <w:sz w:val="24"/>
          <w:szCs w:val="24"/>
          <w:rtl w:val="0"/>
        </w:rPr>
        <w:t xml:space="preserve">RECURSO DE REVISIÓN </w:t>
      </w:r>
      <w:r w:rsidDel="00000000" w:rsidR="00000000" w:rsidRPr="00000000">
        <w:rPr>
          <w:rFonts w:ascii="Arial" w:cs="Arial" w:eastAsia="Arial" w:hAnsi="Arial"/>
          <w:sz w:val="24"/>
          <w:szCs w:val="24"/>
          <w:rtl w:val="0"/>
        </w:rPr>
        <w:t xml:space="preserve">en términos del artículo 81, fracción I, inciso e) de la Ley de Amparo contra la Sentencia de fecha </w:t>
      </w:r>
      <w:r w:rsidDel="00000000" w:rsidR="00000000" w:rsidRPr="00000000">
        <w:rPr>
          <w:rFonts w:ascii="Arial" w:cs="Arial" w:eastAsia="Arial" w:hAnsi="Arial"/>
          <w:sz w:val="24"/>
          <w:szCs w:val="24"/>
          <w:rtl w:val="0"/>
        </w:rPr>
        <w:t xml:space="preserve">18 de noviembre del año 2025,</w:t>
      </w:r>
      <w:r w:rsidDel="00000000" w:rsidR="00000000" w:rsidRPr="00000000">
        <w:rPr>
          <w:rFonts w:ascii="Arial" w:cs="Arial" w:eastAsia="Arial" w:hAnsi="Arial"/>
          <w:sz w:val="24"/>
          <w:szCs w:val="24"/>
          <w:rtl w:val="0"/>
        </w:rPr>
        <w:t xml:space="preserve"> del asunto citado al rubro en la cual se La JUSTICIA DE LA UNIÓN AMPARA Y PROTEGE; consecuentemente, se solicita a esta autoridad jurisdiccional se sirva realizar lo siguiente:</w:t>
      </w:r>
    </w:p>
    <w:p w:rsidR="00000000" w:rsidDel="00000000" w:rsidP="00000000" w:rsidRDefault="00000000" w:rsidRPr="00000000" w14:paraId="00000011">
      <w:pPr>
        <w:spacing w:after="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Tener por interpuesta la presente revisión.</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Certificar la fecha de notificación de dicha resolución y la fecha de interposición del recurso.</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Con las copias que se acompañan de este escrito y el de expresión de agravios, correr traslado a las demás partes en el juicio, dando cumplimiento a lo dispuesto por el párrafo tercero del artículo 88 de la Ley de Amparo.</w:t>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Remitir los autos del presente recurso de revisión interpuesto en el incidente de suspensión en el plazo máximo que para estos casos se encuentra establecido en el artículo 90 de la Ley de Amparo.</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lo expuesto y fundado, a Usted Señor Secretario en Funciones de Juez Tercero de Distrito en el Estado de Quintana Roo, de la manera más atenta se le solicita:</w:t>
      </w:r>
    </w:p>
    <w:p w:rsidR="00000000" w:rsidDel="00000000" w:rsidP="00000000" w:rsidRDefault="00000000" w:rsidRPr="00000000" w14:paraId="00000018">
      <w:pPr>
        <w:spacing w:after="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PRIMERO. </w:t>
      </w:r>
      <w:r w:rsidDel="00000000" w:rsidR="00000000" w:rsidRPr="00000000">
        <w:rPr>
          <w:rFonts w:ascii="Arial" w:cs="Arial" w:eastAsia="Arial" w:hAnsi="Arial"/>
          <w:sz w:val="24"/>
          <w:szCs w:val="24"/>
          <w:rtl w:val="0"/>
        </w:rPr>
        <w:t xml:space="preserve">Tener por presentada a la parte quejosa en los términos del presente escrito interponiendo la revisión contra la Sentencia que se indica.</w:t>
      </w:r>
    </w:p>
    <w:p w:rsidR="00000000" w:rsidDel="00000000" w:rsidP="00000000" w:rsidRDefault="00000000" w:rsidRPr="00000000" w14:paraId="0000001A">
      <w:pPr>
        <w:spacing w:after="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SEGUNDO</w:t>
      </w:r>
      <w:r w:rsidDel="00000000" w:rsidR="00000000" w:rsidRPr="00000000">
        <w:rPr>
          <w:rFonts w:ascii="Arial" w:cs="Arial" w:eastAsia="Arial" w:hAnsi="Arial"/>
          <w:sz w:val="24"/>
          <w:szCs w:val="24"/>
          <w:rtl w:val="0"/>
        </w:rPr>
        <w:t xml:space="preserve">. Realizar la certificación solicitada y distribución de las copias de traslado entre las partes, procediendo a la remisión del asunto dentro de los plazos y términos establecidos en el artículo 90 de la ley de amparo.</w:t>
      </w:r>
    </w:p>
    <w:p w:rsidR="00000000" w:rsidDel="00000000" w:rsidP="00000000" w:rsidRDefault="00000000" w:rsidRPr="00000000" w14:paraId="0000001C">
      <w:pPr>
        <w:spacing w:after="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TERCERO. </w:t>
      </w:r>
      <w:r w:rsidDel="00000000" w:rsidR="00000000" w:rsidRPr="00000000">
        <w:rPr>
          <w:rFonts w:ascii="Arial" w:cs="Arial" w:eastAsia="Arial" w:hAnsi="Arial"/>
          <w:sz w:val="24"/>
          <w:szCs w:val="24"/>
          <w:rtl w:val="0"/>
        </w:rPr>
        <w:t xml:space="preserve">En su oportunidad, remitir los autos al Tribunal colegiado de circuito que por turno corresponda.</w:t>
      </w:r>
    </w:p>
    <w:p w:rsidR="00000000" w:rsidDel="00000000" w:rsidP="00000000" w:rsidRDefault="00000000" w:rsidRPr="00000000" w14:paraId="0000001E">
      <w:pPr>
        <w:spacing w:after="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spacing w:after="0"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LA PARTE QUEJOSA PROTESTA LO NECESARIO.</w:t>
      </w:r>
    </w:p>
    <w:p w:rsidR="00000000" w:rsidDel="00000000" w:rsidP="00000000" w:rsidRDefault="00000000" w:rsidRPr="00000000" w14:paraId="00000020">
      <w:pPr>
        <w:spacing w:after="0" w:line="36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1">
      <w:pPr>
        <w:spacing w:after="0" w:line="36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2">
      <w:pPr>
        <w:spacing w:after="0" w:line="36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3">
      <w:pPr>
        <w:spacing w:after="0"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______________________________________</w:t>
      </w:r>
    </w:p>
    <w:p w:rsidR="00000000" w:rsidDel="00000000" w:rsidP="00000000" w:rsidRDefault="00000000" w:rsidRPr="00000000" w14:paraId="00000024">
      <w:pPr>
        <w:spacing w:after="0" w:line="360" w:lineRule="auto"/>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EDUARDO DE MARTIN ALBOR VILLANUEVA</w:t>
      </w:r>
      <w:r w:rsidDel="00000000" w:rsidR="00000000" w:rsidRPr="00000000">
        <w:rPr>
          <w:rtl w:val="0"/>
        </w:rPr>
      </w:r>
    </w:p>
    <w:p w:rsidR="00000000" w:rsidDel="00000000" w:rsidP="00000000" w:rsidRDefault="00000000" w:rsidRPr="00000000" w14:paraId="00000025">
      <w:pPr>
        <w:spacing w:after="0" w:line="360" w:lineRule="auto"/>
        <w:jc w:val="cente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09 DE DICIEMBRE DEL 2025, CANCÚN, QUINTANA ROO. </w:t>
      </w:r>
      <w:r w:rsidDel="00000000" w:rsidR="00000000" w:rsidRPr="00000000">
        <w:rPr>
          <w:rtl w:val="0"/>
        </w:rPr>
      </w:r>
    </w:p>
    <w:p w:rsidR="00000000" w:rsidDel="00000000" w:rsidP="00000000" w:rsidRDefault="00000000" w:rsidRPr="00000000" w14:paraId="00000026">
      <w:pPr>
        <w:spacing w:after="0" w:line="36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27">
      <w:pPr>
        <w:spacing w:after="0" w:line="360" w:lineRule="auto"/>
        <w:jc w:val="center"/>
        <w:rPr>
          <w:rFonts w:ascii="Times New Roman" w:cs="Times New Roman" w:eastAsia="Times New Roman" w:hAnsi="Times New Roman"/>
          <w:b w:val="1"/>
          <w:bCs w:val="1"/>
          <w:sz w:val="26"/>
          <w:szCs w:val="26"/>
        </w:rPr>
        <w:sectPr>
          <w:footerReference r:id="rId7" w:type="default"/>
          <w:pgSz w:h="18720" w:w="12240" w:orient="portrait"/>
          <w:pgMar w:bottom="1418" w:top="1418" w:left="1701" w:right="1418" w:header="709" w:footer="709"/>
          <w:pgNumType w:start="1"/>
        </w:sectPr>
      </w:pPr>
      <w:r w:rsidDel="00000000" w:rsidR="00000000" w:rsidRPr="00000000">
        <w:rPr>
          <w:rtl w:val="0"/>
        </w:rPr>
      </w:r>
    </w:p>
    <w:p w:rsidR="00000000" w:rsidDel="00000000" w:rsidP="00000000" w:rsidRDefault="00000000" w:rsidRPr="00000000" w14:paraId="00000028">
      <w:pPr>
        <w:spacing w:after="0" w:line="360" w:lineRule="auto"/>
        <w:ind w:left="3981"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RECURSO DE REVISIÓN</w:t>
      </w:r>
    </w:p>
    <w:p w:rsidR="00000000" w:rsidDel="00000000" w:rsidP="00000000" w:rsidRDefault="00000000" w:rsidRPr="00000000" w14:paraId="00000029">
      <w:pPr>
        <w:spacing w:after="0" w:line="360" w:lineRule="auto"/>
        <w:ind w:left="3261"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A">
      <w:pPr>
        <w:spacing w:after="0" w:line="360" w:lineRule="auto"/>
        <w:ind w:left="3981"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INTERPUESTO CONTRA DE LA SENTENCIA DE FECHA 18 DE NOVIEMBRE DEL AÑO 2025 EN LOS AUTOS DEL AMPARO INDIRECTO 524/2025 POR EL JUZGADO TERCERO DE DISTRITO EN EL ESTADO DE QUINTANA ROO CON RESIDENCIA EN CANCÚN.</w:t>
      </w:r>
    </w:p>
    <w:p w:rsidR="00000000" w:rsidDel="00000000" w:rsidP="00000000" w:rsidRDefault="00000000" w:rsidRPr="00000000" w14:paraId="0000002B">
      <w:pPr>
        <w:spacing w:after="0" w:line="360" w:lineRule="auto"/>
        <w:ind w:left="3981"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TERCER INTERESADO: EDUARDO DE MARTIN ALBOR VILLANUEVA.</w:t>
      </w:r>
    </w:p>
    <w:p w:rsidR="00000000" w:rsidDel="00000000" w:rsidP="00000000" w:rsidRDefault="00000000" w:rsidRPr="00000000" w14:paraId="0000002C">
      <w:pPr>
        <w:spacing w:after="0" w:line="360" w:lineRule="auto"/>
        <w:ind w:left="3981"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QUEJOSO: EMILIO GARCÍA NARANJO TOLEDO, APODERADO LEGAL DE LA MORA “CONTROLADORA DOLPHIN”</w:t>
      </w:r>
    </w:p>
    <w:p w:rsidR="00000000" w:rsidDel="00000000" w:rsidP="00000000" w:rsidRDefault="00000000" w:rsidRPr="00000000" w14:paraId="0000002D">
      <w:pPr>
        <w:spacing w:after="0" w:line="360" w:lineRule="auto"/>
        <w:ind w:left="3981" w:firstLine="0"/>
        <w:jc w:val="both"/>
        <w:rPr>
          <w:rFonts w:ascii="Arial" w:cs="Arial" w:eastAsia="Arial" w:hAnsi="Arial"/>
          <w:b w:val="1"/>
          <w:bCs w:val="1"/>
          <w:sz w:val="20"/>
          <w:szCs w:val="20"/>
        </w:rPr>
      </w:pPr>
      <w:r w:rsidDel="00000000" w:rsidR="00000000" w:rsidRPr="00000000">
        <w:rPr>
          <w:rFonts w:ascii="Arial" w:cs="Arial" w:eastAsia="Arial" w:hAnsi="Arial"/>
          <w:b w:val="1"/>
          <w:bCs w:val="1"/>
          <w:rtl w:val="0"/>
        </w:rPr>
        <w:t xml:space="preserve">AUTORIDADES RESPONSABLES:                       </w:t>
      </w:r>
      <w:r w:rsidDel="00000000" w:rsidR="00000000" w:rsidRPr="00000000">
        <w:rPr>
          <w:rFonts w:ascii="Arial" w:cs="Arial" w:eastAsia="Arial" w:hAnsi="Arial"/>
          <w:b w:val="1"/>
          <w:bCs w:val="1"/>
          <w:sz w:val="20"/>
          <w:szCs w:val="20"/>
          <w:rtl w:val="0"/>
        </w:rPr>
        <w:t xml:space="preserve">- LICENCIADO LUIS ALBERTO DORANTES LÓPEZ, FISCAL DEL MINISTERIO PÚBLICO DEL FUERO COMÚN ADSCRITO A LA FISCALÍA ESPECIALIZADA EN COMBATE A DELITOS PATRIMONIALES, DE LA FISCALÍA GENERAL DEL ESTADO DE QUINTANA ROO. </w:t>
      </w:r>
    </w:p>
    <w:p w:rsidR="00000000" w:rsidDel="00000000" w:rsidP="00000000" w:rsidRDefault="00000000" w:rsidRPr="00000000" w14:paraId="0000002E">
      <w:pPr>
        <w:spacing w:after="0" w:line="360" w:lineRule="auto"/>
        <w:ind w:left="3981" w:firstLine="0"/>
        <w:jc w:val="both"/>
        <w:rPr>
          <w:rFonts w:ascii="Arial" w:cs="Arial" w:eastAsia="Arial" w:hAnsi="Arial"/>
        </w:rPr>
      </w:pPr>
      <w:r w:rsidDel="00000000" w:rsidR="00000000" w:rsidRPr="00000000">
        <w:rPr>
          <w:rFonts w:ascii="Arial" w:cs="Arial" w:eastAsia="Arial" w:hAnsi="Arial"/>
          <w:b w:val="1"/>
          <w:bCs w:val="1"/>
          <w:sz w:val="20"/>
          <w:szCs w:val="20"/>
          <w:rtl w:val="0"/>
        </w:rPr>
        <w:t xml:space="preserve">-GUILLERMO DOMÍNGUEZ ESPINOSA, TITULAR DE LA FISCALÍA ESPECIALIZADA EN COMBATE A DELITOS PATRIMONIALES, DE LA FISCALÍA GENERAL DEL ESTADO DE QUINTANA ROO.</w:t>
      </w:r>
      <w:r w:rsidDel="00000000" w:rsidR="00000000" w:rsidRPr="00000000">
        <w:rPr>
          <w:rtl w:val="0"/>
        </w:rPr>
      </w:r>
    </w:p>
    <w:p w:rsidR="00000000" w:rsidDel="00000000" w:rsidP="00000000" w:rsidRDefault="00000000" w:rsidRPr="00000000" w14:paraId="0000002F">
      <w:pPr>
        <w:spacing w:after="0" w:line="360" w:lineRule="auto"/>
        <w:ind w:right="345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spacing w:after="0" w:line="360" w:lineRule="auto"/>
        <w:ind w:right="2317"/>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SEÑORES MAGISTRADOS INTEGRANTES DEL TRIBUNAL COLEGIADO DEL VIGÉSIMO SÉPTIMO CIRCUITO, CON RESIDENCIA EN CANCÚN, QUINTANA ROO, EN TURNO.</w:t>
      </w:r>
    </w:p>
    <w:p w:rsidR="00000000" w:rsidDel="00000000" w:rsidP="00000000" w:rsidRDefault="00000000" w:rsidRPr="00000000" w14:paraId="00000031">
      <w:pPr>
        <w:spacing w:after="0" w:line="360" w:lineRule="auto"/>
        <w:ind w:right="2317"/>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2">
      <w:pPr>
        <w:spacing w:after="0"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PRESENTE </w:t>
      </w:r>
    </w:p>
    <w:p w:rsidR="00000000" w:rsidDel="00000000" w:rsidP="00000000" w:rsidRDefault="00000000" w:rsidRPr="00000000" w14:paraId="00000033">
      <w:pPr>
        <w:spacing w:after="0"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4">
      <w:pPr>
        <w:spacing w:after="0"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5">
      <w:pPr>
        <w:spacing w:after="0" w:line="360" w:lineRule="auto"/>
        <w:jc w:val="both"/>
        <w:rPr>
          <w:rFonts w:ascii="Arial" w:cs="Arial" w:eastAsia="Arial" w:hAnsi="Arial"/>
          <w:sz w:val="24"/>
          <w:szCs w:val="24"/>
        </w:rPr>
      </w:pPr>
      <w:bookmarkStart w:colFirst="0" w:colLast="0" w:name="_heading=h.ymag8gnvaz2r" w:id="0"/>
      <w:bookmarkEnd w:id="0"/>
      <w:r w:rsidDel="00000000" w:rsidR="00000000" w:rsidRPr="00000000">
        <w:rPr>
          <w:rFonts w:ascii="Arial" w:cs="Arial" w:eastAsia="Arial" w:hAnsi="Arial"/>
          <w:b w:val="1"/>
          <w:bCs w:val="1"/>
          <w:sz w:val="24"/>
          <w:szCs w:val="24"/>
          <w:rtl w:val="0"/>
        </w:rPr>
        <w:t xml:space="preserve">EDUARDO DE MARTIN ALBOR VILLANUEVA; </w:t>
      </w:r>
      <w:r w:rsidDel="00000000" w:rsidR="00000000" w:rsidRPr="00000000">
        <w:rPr>
          <w:rFonts w:ascii="Arial" w:cs="Arial" w:eastAsia="Arial" w:hAnsi="Arial"/>
          <w:sz w:val="24"/>
          <w:szCs w:val="24"/>
          <w:rtl w:val="0"/>
        </w:rPr>
        <w:t xml:space="preserve">tercero interesado en el presente asunto, solicitando atentamente que ante este tribunal colegiado se tengan por reconocidas las autorizaciones en términos amplios y restringidos que fueron reconocidas en este mismo juicio por el juzgado de Distrito que dictó la Sentencia recurrida y se tenga como señalando como domicilio procesal para oír y recibir notificaciones, las oficinas administrativas del Delfinario Dolphin Discovery Cancún, localizado en la Zona Hotelera, en el Boulevard Kukulkán a la altura del KM 25, en esta ciudad de Cancún, Quintana Roo. Así mismo, autorizo a los licenciados en derecho en términos del artículo 12 de la Ley de Amparo autorizo en términos amplios a los licenciados en derecho Álvaro Adrián Pegueros Castillo con número de cédula profesional 14486345, Doctor en Derecho Fidel Gabriel Villanueva Rivero con número de cédula profesional 9380620, Ricardo Ignacio Martin Arjona con número de cédula profesional 382325, licenciada en derecho Amairanny Amissadai Villalta Peralta con número de cédula profesional 14323013,  a la Licenciada María Estefany Arceo Mis con cédula profesional 12732758 y a la Licenciada Eleonor Ortega Valles con cédula profesional 2465840 para recibir notificaciones personales e imponerse en autos y tener acceso al expediente, y debido a que actualmente el uso de la Firma Electrónica como medio electrónico permite ingresar al Sistema del Poder Judicial de la Federación como opción para promover juicios de amparo, consultar los expedientes electrónicos relativos a los juicios y los diversos asuntos relacionados con éstos, autorizo los nombres de usuario, el cual señaló como: “</w:t>
      </w:r>
      <w:r w:rsidDel="00000000" w:rsidR="00000000" w:rsidRPr="00000000">
        <w:rPr>
          <w:rFonts w:ascii="Arial" w:cs="Arial" w:eastAsia="Arial" w:hAnsi="Arial"/>
          <w:b w:val="1"/>
          <w:bCs w:val="1"/>
          <w:sz w:val="24"/>
          <w:szCs w:val="24"/>
          <w:rtl w:val="0"/>
        </w:rPr>
        <w:t xml:space="preserve">rmartin_arjona”, </w:t>
      </w:r>
      <w:r w:rsidDel="00000000" w:rsidR="00000000" w:rsidRPr="00000000">
        <w:rPr>
          <w:rFonts w:ascii="Arial" w:cs="Arial" w:eastAsia="Arial" w:hAnsi="Arial"/>
          <w:sz w:val="24"/>
          <w:szCs w:val="24"/>
          <w:rtl w:val="0"/>
        </w:rPr>
        <w:t xml:space="preserve">con correo electrónico registrado como </w:t>
      </w:r>
      <w:r w:rsidDel="00000000" w:rsidR="00000000" w:rsidRPr="00000000">
        <w:rPr>
          <w:rFonts w:ascii="Arial" w:cs="Arial" w:eastAsia="Arial" w:hAnsi="Arial"/>
          <w:b w:val="1"/>
          <w:bCs w:val="1"/>
          <w:sz w:val="24"/>
          <w:szCs w:val="24"/>
          <w:rtl w:val="0"/>
        </w:rPr>
        <w:t xml:space="preserve">“</w:t>
      </w:r>
      <w:hyperlink r:id="rId8">
        <w:r w:rsidDel="00000000" w:rsidR="00000000" w:rsidRPr="00000000">
          <w:rPr>
            <w:rFonts w:ascii="Arial" w:cs="Arial" w:eastAsia="Arial" w:hAnsi="Arial"/>
            <w:b w:val="1"/>
            <w:bCs w:val="1"/>
            <w:color w:val="1155cc"/>
            <w:sz w:val="24"/>
            <w:szCs w:val="24"/>
            <w:u w:val="single"/>
            <w:rtl w:val="0"/>
          </w:rPr>
          <w:t xml:space="preserve">rmartin_arjona@hotmail.com</w:t>
        </w:r>
      </w:hyperlink>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“marceomis”</w:t>
      </w:r>
      <w:r w:rsidDel="00000000" w:rsidR="00000000" w:rsidRPr="00000000">
        <w:rPr>
          <w:rFonts w:ascii="Arial" w:cs="Arial" w:eastAsia="Arial" w:hAnsi="Arial"/>
          <w:sz w:val="24"/>
          <w:szCs w:val="24"/>
          <w:rtl w:val="0"/>
        </w:rPr>
        <w:t xml:space="preserve"> con correo electrónico registrado como </w:t>
      </w:r>
      <w:r w:rsidDel="00000000" w:rsidR="00000000" w:rsidRPr="00000000">
        <w:rPr>
          <w:rFonts w:ascii="Arial" w:cs="Arial" w:eastAsia="Arial" w:hAnsi="Arial"/>
          <w:b w:val="1"/>
          <w:bCs w:val="1"/>
          <w:sz w:val="24"/>
          <w:szCs w:val="24"/>
          <w:rtl w:val="0"/>
        </w:rPr>
        <w:t xml:space="preserve">“</w:t>
      </w:r>
      <w:hyperlink r:id="rId9">
        <w:r w:rsidDel="00000000" w:rsidR="00000000" w:rsidRPr="00000000">
          <w:rPr>
            <w:rFonts w:ascii="Arial" w:cs="Arial" w:eastAsia="Arial" w:hAnsi="Arial"/>
            <w:b w:val="1"/>
            <w:bCs w:val="1"/>
            <w:color w:val="1155cc"/>
            <w:sz w:val="24"/>
            <w:szCs w:val="24"/>
            <w:u w:val="single"/>
            <w:rtl w:val="0"/>
          </w:rPr>
          <w:t xml:space="preserve">marceomis@gmail.com</w:t>
        </w:r>
      </w:hyperlink>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“alvaro_pegueros”</w:t>
      </w:r>
      <w:r w:rsidDel="00000000" w:rsidR="00000000" w:rsidRPr="00000000">
        <w:rPr>
          <w:rFonts w:ascii="Arial" w:cs="Arial" w:eastAsia="Arial" w:hAnsi="Arial"/>
          <w:sz w:val="24"/>
          <w:szCs w:val="24"/>
          <w:rtl w:val="0"/>
        </w:rPr>
        <w:t xml:space="preserve"> con correo electrónico registrado como “alvaro_ </w:t>
      </w:r>
      <w:hyperlink r:id="rId10">
        <w:r w:rsidDel="00000000" w:rsidR="00000000" w:rsidRPr="00000000">
          <w:rPr>
            <w:rFonts w:ascii="Arial" w:cs="Arial" w:eastAsia="Arial" w:hAnsi="Arial"/>
            <w:b w:val="1"/>
            <w:bCs w:val="1"/>
            <w:color w:val="1155cc"/>
            <w:sz w:val="24"/>
            <w:szCs w:val="24"/>
            <w:u w:val="single"/>
            <w:rtl w:val="0"/>
          </w:rPr>
          <w:t xml:space="preserve">pegueros@hotmail.com</w:t>
        </w:r>
      </w:hyperlink>
      <w:r w:rsidDel="00000000" w:rsidR="00000000" w:rsidRPr="00000000">
        <w:rPr>
          <w:rFonts w:ascii="Arial" w:cs="Arial" w:eastAsia="Arial" w:hAnsi="Arial"/>
          <w:sz w:val="24"/>
          <w:szCs w:val="24"/>
          <w:rtl w:val="0"/>
        </w:rPr>
        <w:t xml:space="preserve">”, y </w:t>
      </w:r>
      <w:r w:rsidDel="00000000" w:rsidR="00000000" w:rsidRPr="00000000">
        <w:rPr>
          <w:rFonts w:ascii="Arial" w:cs="Arial" w:eastAsia="Arial" w:hAnsi="Arial"/>
          <w:b w:val="1"/>
          <w:bCs w:val="1"/>
          <w:sz w:val="24"/>
          <w:szCs w:val="24"/>
          <w:rtl w:val="0"/>
        </w:rPr>
        <w:t xml:space="preserve">“fidelvillanueva”</w:t>
      </w:r>
      <w:r w:rsidDel="00000000" w:rsidR="00000000" w:rsidRPr="00000000">
        <w:rPr>
          <w:rFonts w:ascii="Arial" w:cs="Arial" w:eastAsia="Arial" w:hAnsi="Arial"/>
          <w:sz w:val="24"/>
          <w:szCs w:val="24"/>
          <w:rtl w:val="0"/>
        </w:rPr>
        <w:t xml:space="preserve"> con correo electrónico registrado como “</w:t>
      </w:r>
      <w:hyperlink r:id="rId11">
        <w:r w:rsidDel="00000000" w:rsidR="00000000" w:rsidRPr="00000000">
          <w:rPr>
            <w:rFonts w:ascii="Arial" w:cs="Arial" w:eastAsia="Arial" w:hAnsi="Arial"/>
            <w:b w:val="1"/>
            <w:bCs w:val="1"/>
            <w:color w:val="1155cc"/>
            <w:sz w:val="24"/>
            <w:szCs w:val="24"/>
            <w:u w:val="single"/>
            <w:rtl w:val="0"/>
          </w:rPr>
          <w:t xml:space="preserve">notificaciones@cejum.com</w:t>
        </w:r>
      </w:hyperlink>
      <w:r w:rsidDel="00000000" w:rsidR="00000000" w:rsidRPr="00000000">
        <w:rPr>
          <w:rFonts w:ascii="Arial" w:cs="Arial" w:eastAsia="Arial" w:hAnsi="Arial"/>
          <w:sz w:val="24"/>
          <w:szCs w:val="24"/>
          <w:rtl w:val="0"/>
        </w:rPr>
        <w:t xml:space="preserve">”, para que el expediente que se forme sea vinculado a este usuario; en el entendido que el trámite del juicio deberá continuar por las formalidades del proceso escrito y manifestando de modo expreso que NO ES VOLUNTAD DEL QUEJOSO QUE EL PROCESO SEA SEGUIDO EN LÍNEA; ante Ustedes, con el debido respeto, comparezco para exponer lo siguiente:</w:t>
      </w:r>
    </w:p>
    <w:p w:rsidR="00000000" w:rsidDel="00000000" w:rsidP="00000000" w:rsidRDefault="00000000" w:rsidRPr="00000000" w14:paraId="00000036">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medio del presente escrito y con fundamento en los artículos 103, fracción I y 107, párrafo primero, y fracción X de la Constitución Política de los Estados Unidos Mexicanos;  81, fracción I, inciso a), 84, 86, 88, 89 y 90 de la Ley de Amparo, se interpone </w:t>
      </w:r>
      <w:r w:rsidDel="00000000" w:rsidR="00000000" w:rsidRPr="00000000">
        <w:rPr>
          <w:rFonts w:ascii="Arial" w:cs="Arial" w:eastAsia="Arial" w:hAnsi="Arial"/>
          <w:b w:val="1"/>
          <w:bCs w:val="1"/>
          <w:sz w:val="24"/>
          <w:szCs w:val="24"/>
          <w:rtl w:val="0"/>
        </w:rPr>
        <w:t xml:space="preserve">RECURSO DE REVISIÓN contra de la Sentencia de fecha de 18 de noviembre de 2025 en los autos del amparo indirecto 524/2025 por el Juez Tercero de Distrito en el Estado de Quintana Roo, con residencia en Cancún, resolución en la cual la justifica de la unión ampara y protege al quejoso.</w:t>
      </w:r>
      <w:r w:rsidDel="00000000" w:rsidR="00000000" w:rsidRPr="00000000">
        <w:rPr>
          <w:rtl w:val="0"/>
        </w:rPr>
      </w:r>
    </w:p>
    <w:p w:rsidR="00000000" w:rsidDel="00000000" w:rsidP="00000000" w:rsidRDefault="00000000" w:rsidRPr="00000000" w14:paraId="00000038">
      <w:pPr>
        <w:spacing w:after="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Previo a expresar los agravios, se justifica la oportunidad en la interposición del recurso.</w:t>
      </w:r>
    </w:p>
    <w:p w:rsidR="00000000" w:rsidDel="00000000" w:rsidP="00000000" w:rsidRDefault="00000000" w:rsidRPr="00000000" w14:paraId="0000003A">
      <w:pPr>
        <w:pBdr>
          <w:bottom w:color="000000" w:space="1" w:sz="24" w:val="single"/>
        </w:pBdr>
        <w:spacing w:after="0"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B">
      <w:pPr>
        <w:pBdr>
          <w:bottom w:color="000000" w:space="1" w:sz="24" w:val="single"/>
        </w:pBdr>
        <w:spacing w:after="0" w:line="360" w:lineRule="auto"/>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OPORTUNIDAD. </w:t>
      </w:r>
      <w:r w:rsidDel="00000000" w:rsidR="00000000" w:rsidRPr="00000000">
        <w:rPr>
          <w:rtl w:val="0"/>
        </w:rPr>
      </w:r>
    </w:p>
    <w:p w:rsidR="00000000" w:rsidDel="00000000" w:rsidP="00000000" w:rsidRDefault="00000000" w:rsidRPr="00000000" w14:paraId="0000003C">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Sentencia recurrido fue notificado al quejoso, mediante </w:t>
      </w:r>
      <w:r w:rsidDel="00000000" w:rsidR="00000000" w:rsidRPr="00000000">
        <w:rPr>
          <w:rFonts w:ascii="Arial" w:cs="Arial" w:eastAsia="Arial" w:hAnsi="Arial"/>
          <w:b w:val="1"/>
          <w:bCs w:val="1"/>
          <w:sz w:val="24"/>
          <w:szCs w:val="24"/>
          <w:rtl w:val="0"/>
        </w:rPr>
        <w:t xml:space="preserve">lista de estrados el jueves </w:t>
      </w:r>
      <w:r w:rsidDel="00000000" w:rsidR="00000000" w:rsidRPr="00000000">
        <w:rPr>
          <w:rFonts w:ascii="Arial" w:cs="Arial" w:eastAsia="Arial" w:hAnsi="Arial"/>
          <w:b w:val="1"/>
          <w:bCs w:val="1"/>
          <w:sz w:val="24"/>
          <w:szCs w:val="24"/>
          <w:rtl w:val="0"/>
        </w:rPr>
        <w:t xml:space="preserve">27 de noviembre de 2025</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rtl w:val="0"/>
        </w:rPr>
        <w:t xml:space="preserve"> razones por las cuales, si en amparo las notificaciones surten sus efectos al día hábil siguiente al de la notificación o publicación por lista, de conformidad con la fracción II del artículo 31 de la Ley de Amparo</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sz w:val="24"/>
          <w:szCs w:val="24"/>
          <w:rtl w:val="0"/>
        </w:rPr>
        <w:t xml:space="preserve">Considerando lo anterior, el plazo de 10 días hábiles para interponer el recurso de revisión a que se refiere el artículo 86, párrafo primero, de la Ley de Amparo, en el caso particular, comenzarán a contarse a partir del día siguiente en que el quejoso sea notificado. Por lo que los términos se computan de la siguiente manera:</w:t>
      </w:r>
    </w:p>
    <w:p w:rsidR="00000000" w:rsidDel="00000000" w:rsidP="00000000" w:rsidRDefault="00000000" w:rsidRPr="00000000" w14:paraId="0000003E">
      <w:pPr>
        <w:widowControl w:val="0"/>
        <w:spacing w:after="240" w:line="360" w:lineRule="auto"/>
        <w:jc w:val="both"/>
        <w:rPr>
          <w:rFonts w:ascii="Arial" w:cs="Arial" w:eastAsia="Arial" w:hAnsi="Arial"/>
          <w:sz w:val="24"/>
          <w:szCs w:val="24"/>
        </w:rPr>
      </w:pPr>
      <w:r w:rsidDel="00000000" w:rsidR="00000000" w:rsidRPr="00000000">
        <w:rPr>
          <w:rtl w:val="0"/>
        </w:rPr>
      </w:r>
    </w:p>
    <w:tbl>
      <w:tblPr>
        <w:tblStyle w:val="Table1"/>
        <w:tblW w:w="7360.0" w:type="dxa"/>
        <w:jc w:val="left"/>
        <w:tblInd w:w="1404.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3214"/>
        <w:gridCol w:w="4146"/>
        <w:tblGridChange w:id="0">
          <w:tblGrid>
            <w:gridCol w:w="3214"/>
            <w:gridCol w:w="4146"/>
          </w:tblGrid>
        </w:tblGridChange>
      </w:tblGrid>
      <w:tr>
        <w:trPr>
          <w:cantSplit w:val="0"/>
          <w:trHeight w:val="443" w:hRule="atLeast"/>
          <w:tblHeader w:val="0"/>
        </w:trPr>
        <w:tc>
          <w:tcPr>
            <w:gridSpan w:val="2"/>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F">
            <w:pPr>
              <w:widowControl w:val="0"/>
              <w:spacing w:after="0" w:line="360" w:lineRule="auto"/>
              <w:jc w:val="center"/>
              <w:rPr>
                <w:sz w:val="24"/>
                <w:szCs w:val="24"/>
              </w:rPr>
            </w:pPr>
            <w:r w:rsidDel="00000000" w:rsidR="00000000" w:rsidRPr="00000000">
              <w:rPr>
                <w:rFonts w:ascii="Arial" w:cs="Arial" w:eastAsia="Arial" w:hAnsi="Arial"/>
                <w:b w:val="1"/>
                <w:bCs w:val="1"/>
                <w:sz w:val="20"/>
                <w:szCs w:val="20"/>
                <w:rtl w:val="0"/>
              </w:rPr>
              <w:t xml:space="preserve">PLAZOS</w:t>
            </w:r>
            <w:r w:rsidDel="00000000" w:rsidR="00000000" w:rsidRPr="00000000">
              <w:rPr>
                <w:rtl w:val="0"/>
              </w:rPr>
            </w:r>
          </w:p>
        </w:tc>
      </w:tr>
      <w:tr>
        <w:trPr>
          <w:cantSplit w:val="0"/>
          <w:trHeight w:val="45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41">
            <w:pPr>
              <w:widowControl w:val="0"/>
              <w:spacing w:after="0" w:line="360" w:lineRule="auto"/>
              <w:jc w:val="both"/>
              <w:rPr>
                <w:sz w:val="24"/>
                <w:szCs w:val="24"/>
              </w:rPr>
            </w:pPr>
            <w:r w:rsidDel="00000000" w:rsidR="00000000" w:rsidRPr="00000000">
              <w:rPr>
                <w:rFonts w:ascii="Arial" w:cs="Arial" w:eastAsia="Arial" w:hAnsi="Arial"/>
                <w:b w:val="1"/>
                <w:bCs w:val="1"/>
                <w:sz w:val="20"/>
                <w:szCs w:val="20"/>
                <w:rtl w:val="0"/>
              </w:rPr>
              <w:t xml:space="preserve">27 de noviembre de 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42">
            <w:pPr>
              <w:widowControl w:val="0"/>
              <w:spacing w:after="0" w:line="360" w:lineRule="auto"/>
              <w:jc w:val="both"/>
              <w:rPr>
                <w:sz w:val="24"/>
                <w:szCs w:val="24"/>
              </w:rPr>
            </w:pPr>
            <w:r w:rsidDel="00000000" w:rsidR="00000000" w:rsidRPr="00000000">
              <w:rPr>
                <w:rFonts w:ascii="Arial" w:cs="Arial" w:eastAsia="Arial" w:hAnsi="Arial"/>
                <w:sz w:val="20"/>
                <w:szCs w:val="20"/>
                <w:rtl w:val="0"/>
              </w:rPr>
              <w:t xml:space="preserve">Fecha en la que me notificaron el acuerdo el cual constituye el acto reclamado.</w:t>
            </w:r>
            <w:r w:rsidDel="00000000" w:rsidR="00000000" w:rsidRPr="00000000">
              <w:rPr>
                <w:rtl w:val="0"/>
              </w:rPr>
            </w:r>
          </w:p>
        </w:tc>
      </w:tr>
      <w:tr>
        <w:trPr>
          <w:cantSplit w:val="0"/>
          <w:trHeight w:val="66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43">
            <w:pPr>
              <w:widowControl w:val="0"/>
              <w:spacing w:after="0" w:line="36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4">
            <w:pPr>
              <w:widowControl w:val="0"/>
              <w:spacing w:after="0" w:line="360" w:lineRule="auto"/>
              <w:jc w:val="both"/>
              <w:rPr>
                <w:sz w:val="24"/>
                <w:szCs w:val="24"/>
              </w:rPr>
            </w:pPr>
            <w:r w:rsidDel="00000000" w:rsidR="00000000" w:rsidRPr="00000000">
              <w:rPr>
                <w:rFonts w:ascii="Arial" w:cs="Arial" w:eastAsia="Arial" w:hAnsi="Arial"/>
                <w:b w:val="1"/>
                <w:bCs w:val="1"/>
                <w:sz w:val="20"/>
                <w:szCs w:val="20"/>
                <w:rtl w:val="0"/>
              </w:rPr>
              <w:t xml:space="preserve">28 de noviembre de 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45">
            <w:pPr>
              <w:widowControl w:val="0"/>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6">
            <w:pPr>
              <w:widowControl w:val="0"/>
              <w:spacing w:after="0" w:line="360" w:lineRule="auto"/>
              <w:jc w:val="both"/>
              <w:rPr>
                <w:sz w:val="24"/>
                <w:szCs w:val="24"/>
              </w:rPr>
            </w:pPr>
            <w:r w:rsidDel="00000000" w:rsidR="00000000" w:rsidRPr="00000000">
              <w:rPr>
                <w:rFonts w:ascii="Arial" w:cs="Arial" w:eastAsia="Arial" w:hAnsi="Arial"/>
                <w:sz w:val="20"/>
                <w:szCs w:val="20"/>
                <w:rtl w:val="0"/>
              </w:rPr>
              <w:t xml:space="preserve">Día que surte efectos la notificación.</w:t>
            </w:r>
            <w:r w:rsidDel="00000000" w:rsidR="00000000" w:rsidRPr="00000000">
              <w:rPr>
                <w:rtl w:val="0"/>
              </w:rPr>
            </w:r>
          </w:p>
        </w:tc>
      </w:tr>
      <w:tr>
        <w:trPr>
          <w:cantSplit w:val="0"/>
          <w:trHeight w:val="66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47">
            <w:pPr>
              <w:widowControl w:val="0"/>
              <w:spacing w:after="0" w:line="36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 de diciembre de 2025.</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48">
            <w:pPr>
              <w:widowControl w:val="0"/>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Fecha que comienza a correr el término.</w:t>
            </w:r>
          </w:p>
        </w:tc>
      </w:tr>
      <w:tr>
        <w:trPr>
          <w:cantSplit w:val="0"/>
          <w:trHeight w:val="44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49">
            <w:pPr>
              <w:widowControl w:val="0"/>
              <w:spacing w:after="0" w:line="360" w:lineRule="auto"/>
              <w:jc w:val="both"/>
              <w:rPr>
                <w:sz w:val="24"/>
                <w:szCs w:val="24"/>
              </w:rPr>
            </w:pPr>
            <w:r w:rsidDel="00000000" w:rsidR="00000000" w:rsidRPr="00000000">
              <w:rPr>
                <w:rFonts w:ascii="Arial" w:cs="Arial" w:eastAsia="Arial" w:hAnsi="Arial"/>
                <w:b w:val="1"/>
                <w:bCs w:val="1"/>
                <w:sz w:val="20"/>
                <w:szCs w:val="20"/>
                <w:rtl w:val="0"/>
              </w:rPr>
              <w:t xml:space="preserve">08 de diciembre de 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4A">
            <w:pPr>
              <w:widowControl w:val="0"/>
              <w:spacing w:after="0" w:line="360" w:lineRule="auto"/>
              <w:jc w:val="both"/>
              <w:rPr>
                <w:sz w:val="24"/>
                <w:szCs w:val="24"/>
              </w:rPr>
            </w:pPr>
            <w:r w:rsidDel="00000000" w:rsidR="00000000" w:rsidRPr="00000000">
              <w:rPr>
                <w:rFonts w:ascii="Arial" w:cs="Arial" w:eastAsia="Arial" w:hAnsi="Arial"/>
                <w:sz w:val="20"/>
                <w:szCs w:val="20"/>
                <w:rtl w:val="0"/>
              </w:rPr>
              <w:t xml:space="preserve">Fecha de presentación del recurso.</w:t>
            </w:r>
            <w:r w:rsidDel="00000000" w:rsidR="00000000" w:rsidRPr="00000000">
              <w:rPr>
                <w:rtl w:val="0"/>
              </w:rPr>
            </w:r>
          </w:p>
        </w:tc>
      </w:tr>
      <w:tr>
        <w:trPr>
          <w:cantSplit w:val="0"/>
          <w:trHeight w:val="66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4B">
            <w:pPr>
              <w:widowControl w:val="0"/>
              <w:spacing w:after="0" w:line="36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C">
            <w:pPr>
              <w:widowControl w:val="0"/>
              <w:spacing w:after="0" w:line="360" w:lineRule="auto"/>
              <w:jc w:val="both"/>
              <w:rPr>
                <w:sz w:val="24"/>
                <w:szCs w:val="24"/>
              </w:rPr>
            </w:pPr>
            <w:r w:rsidDel="00000000" w:rsidR="00000000" w:rsidRPr="00000000">
              <w:rPr>
                <w:rFonts w:ascii="Arial" w:cs="Arial" w:eastAsia="Arial" w:hAnsi="Arial"/>
                <w:b w:val="1"/>
                <w:bCs w:val="1"/>
                <w:sz w:val="20"/>
                <w:szCs w:val="20"/>
                <w:rtl w:val="0"/>
              </w:rPr>
              <w:t xml:space="preserve">12 de diciembre de 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4D">
            <w:pPr>
              <w:widowControl w:val="0"/>
              <w:spacing w:after="0" w:line="360" w:lineRule="auto"/>
              <w:jc w:val="both"/>
              <w:rPr>
                <w:sz w:val="24"/>
                <w:szCs w:val="24"/>
              </w:rPr>
            </w:pPr>
            <w:r w:rsidDel="00000000" w:rsidR="00000000" w:rsidRPr="00000000">
              <w:rPr>
                <w:rFonts w:ascii="Arial" w:cs="Arial" w:eastAsia="Arial" w:hAnsi="Arial"/>
                <w:sz w:val="20"/>
                <w:szCs w:val="20"/>
                <w:rtl w:val="0"/>
              </w:rPr>
              <w:t xml:space="preserve">Vence el término para presentar el recurso correspondiente.</w:t>
            </w:r>
            <w:r w:rsidDel="00000000" w:rsidR="00000000" w:rsidRPr="00000000">
              <w:rPr>
                <w:rtl w:val="0"/>
              </w:rPr>
            </w:r>
          </w:p>
        </w:tc>
      </w:tr>
    </w:tbl>
    <w:p w:rsidR="00000000" w:rsidDel="00000000" w:rsidP="00000000" w:rsidRDefault="00000000" w:rsidRPr="00000000" w14:paraId="0000004E">
      <w:pPr>
        <w:spacing w:after="0" w:line="360" w:lineRule="auto"/>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4F">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Toda vez que el presente recurso se interpone antes de la conclusión de la fecha de término, debe reconocerse su oportunidad.</w:t>
      </w:r>
    </w:p>
    <w:p w:rsidR="00000000" w:rsidDel="00000000" w:rsidP="00000000" w:rsidRDefault="00000000" w:rsidRPr="00000000" w14:paraId="00000050">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pBdr>
          <w:bottom w:color="000000" w:space="1" w:sz="24" w:val="single"/>
        </w:pBdr>
        <w:spacing w:after="0"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PROCEDENCIA. </w:t>
      </w:r>
    </w:p>
    <w:p w:rsidR="00000000" w:rsidDel="00000000" w:rsidP="00000000" w:rsidRDefault="00000000" w:rsidRPr="00000000" w14:paraId="00000052">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conformidad con lo dispuesto por el artículo 81, fracción I, inciso a) de la Ley de Amparo, tratándose el amparo indirecto ante juzgados de distrito, espero de curso de revisión contra la Sentencia que no nieguen la suspensión definitiva, casos en los cuales también podrán impugnarse las Sentencias dictadas en Audiencia Constitucional. </w:t>
      </w:r>
    </w:p>
    <w:p w:rsidR="00000000" w:rsidDel="00000000" w:rsidP="00000000" w:rsidRDefault="00000000" w:rsidRPr="00000000" w14:paraId="00000054">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pBdr>
          <w:bottom w:color="000000" w:space="1" w:sz="24" w:val="single"/>
        </w:pBdr>
        <w:spacing w:after="0" w:line="360" w:lineRule="auto"/>
        <w:jc w:val="center"/>
        <w:rPr>
          <w:rFonts w:ascii="Arial" w:cs="Arial" w:eastAsia="Arial" w:hAnsi="Arial"/>
          <w:b w:val="1"/>
          <w:bCs w:val="1"/>
          <w:sz w:val="24"/>
          <w:szCs w:val="24"/>
        </w:rPr>
      </w:pPr>
      <w:hyperlink r:id="rId12">
        <w:r w:rsidDel="00000000" w:rsidR="00000000" w:rsidRPr="00000000">
          <w:rPr>
            <w:rFonts w:ascii="Arial" w:cs="Arial" w:eastAsia="Arial" w:hAnsi="Arial"/>
            <w:b w:val="1"/>
            <w:bCs w:val="1"/>
            <w:sz w:val="24"/>
            <w:szCs w:val="24"/>
            <w:rtl w:val="0"/>
          </w:rPr>
          <w:t xml:space="preserve">AGRAVIO</w:t>
        </w:r>
      </w:hyperlink>
      <w:r w:rsidDel="00000000" w:rsidR="00000000" w:rsidRPr="00000000">
        <w:rPr>
          <w:rFonts w:ascii="Arial" w:cs="Arial" w:eastAsia="Arial" w:hAnsi="Arial"/>
          <w:b w:val="1"/>
          <w:bCs w:val="1"/>
          <w:sz w:val="24"/>
          <w:szCs w:val="24"/>
          <w:rtl w:val="0"/>
        </w:rPr>
        <w:t xml:space="preserve">S</w:t>
      </w:r>
    </w:p>
    <w:p w:rsidR="00000000" w:rsidDel="00000000" w:rsidP="00000000" w:rsidRDefault="00000000" w:rsidRPr="00000000" w14:paraId="00000056">
      <w:pPr>
        <w:spacing w:after="0"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57">
      <w:pPr>
        <w:spacing w:after="0"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AGRAVIO GENERAL: VIOLACIÓN AL DERECHO DE LEGALIDAD, SEGURIDAD JURÍDICA Y ACCESO A LA JUSTICIA DEL TERCERO INTERESADO, AL CONCEDER EL AMPARO CON BASE EN UNA APRECIACIÓN INCOMPLETA DE LOS HECHOS Y SIN ANALIZAR EL DELITO DE DESPOJO DENUNCIADO.</w:t>
      </w:r>
    </w:p>
    <w:p w:rsidR="00000000" w:rsidDel="00000000" w:rsidP="00000000" w:rsidRDefault="00000000" w:rsidRPr="00000000" w14:paraId="00000058">
      <w:pPr>
        <w:pStyle w:val="Heading3"/>
        <w:keepNext w:val="0"/>
        <w:keepLines w:val="0"/>
        <w:spacing w:after="80" w:before="280" w:line="360" w:lineRule="auto"/>
        <w:jc w:val="both"/>
        <w:rPr>
          <w:rFonts w:ascii="Arial" w:cs="Arial" w:eastAsia="Arial" w:hAnsi="Arial"/>
          <w:b w:val="1"/>
          <w:bCs w:val="1"/>
          <w:color w:val="000000"/>
        </w:rPr>
      </w:pPr>
      <w:bookmarkStart w:colFirst="0" w:colLast="0" w:name="_heading=h.n40od6kqo5yc" w:id="1"/>
      <w:bookmarkEnd w:id="1"/>
      <w:r w:rsidDel="00000000" w:rsidR="00000000" w:rsidRPr="00000000">
        <w:rPr>
          <w:rFonts w:ascii="Arial" w:cs="Arial" w:eastAsia="Arial" w:hAnsi="Arial"/>
          <w:b w:val="1"/>
          <w:bCs w:val="1"/>
          <w:color w:val="000000"/>
          <w:rtl w:val="0"/>
        </w:rPr>
        <w:t xml:space="preserve">PRIMER AGRAVIO. FALTA DE VALORACIÓN DE LA CALIDAD DE VÍCTIMA DEL TERCERO INTERESADO</w:t>
      </w:r>
    </w:p>
    <w:p w:rsidR="00000000" w:rsidDel="00000000" w:rsidP="00000000" w:rsidRDefault="00000000" w:rsidRPr="00000000" w14:paraId="00000059">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menester, hacer notar lo sostenido por el Juez Tercero de Distrito en su Sentencia, que a la letra señaló lo siguiente:</w:t>
      </w:r>
    </w:p>
    <w:p w:rsidR="00000000" w:rsidDel="00000000" w:rsidP="00000000" w:rsidRDefault="00000000" w:rsidRPr="00000000" w14:paraId="0000005A">
      <w:pPr>
        <w:spacing w:after="240" w:before="240" w:line="360" w:lineRule="auto"/>
        <w:ind w:left="1440" w:firstLine="0"/>
        <w:jc w:val="both"/>
        <w:rPr>
          <w:rFonts w:ascii="Arial" w:cs="Arial" w:eastAsia="Arial" w:hAnsi="Arial"/>
          <w:i w:val="1"/>
          <w:iCs w:val="1"/>
        </w:rPr>
      </w:pPr>
      <w:r w:rsidDel="00000000" w:rsidR="00000000" w:rsidRPr="00000000">
        <w:rPr>
          <w:rFonts w:ascii="Arial" w:cs="Arial" w:eastAsia="Arial" w:hAnsi="Arial"/>
          <w:i w:val="1"/>
          <w:iCs w:val="1"/>
          <w:rtl w:val="0"/>
        </w:rPr>
        <w:t xml:space="preserve">“Son fundados los conceptos de violación antes señalados, pues como bien se afirma, el aseguramiento reclamado fue emitido por el agente del Ministerio Público responsable bajo la figura del aseguramiento de bienes, instrumentos, objetos o productos del delito, previsto en el artículo 229 del Código Nacional de Procedimientos Penales, sin solicitar el control judicial previo El artículo citado se advierte la facultad para asegurar cualquier instrumento, objeto o producto del delito, así como bienes en los que existan huellas o pudieran tener relación con el lugar de los hechos o del hallazgo, con el fin de que no se alteren, destruyan o desaparezcan.  </w:t>
      </w:r>
    </w:p>
    <w:p w:rsidR="00000000" w:rsidDel="00000000" w:rsidP="00000000" w:rsidRDefault="00000000" w:rsidRPr="00000000" w14:paraId="0000005B">
      <w:pPr>
        <w:spacing w:after="240" w:before="240" w:line="360" w:lineRule="auto"/>
        <w:ind w:left="1440" w:firstLine="0"/>
        <w:jc w:val="both"/>
        <w:rPr>
          <w:rFonts w:ascii="Arial" w:cs="Arial" w:eastAsia="Arial" w:hAnsi="Arial"/>
          <w:i w:val="1"/>
          <w:iCs w:val="1"/>
        </w:rPr>
      </w:pPr>
      <w:r w:rsidDel="00000000" w:rsidR="00000000" w:rsidRPr="00000000">
        <w:rPr>
          <w:rFonts w:ascii="Arial" w:cs="Arial" w:eastAsia="Arial" w:hAnsi="Arial"/>
          <w:i w:val="1"/>
          <w:iCs w:val="1"/>
          <w:rtl w:val="0"/>
        </w:rPr>
        <w:t xml:space="preserve">(...)</w:t>
      </w:r>
    </w:p>
    <w:p w:rsidR="00000000" w:rsidDel="00000000" w:rsidP="00000000" w:rsidRDefault="00000000" w:rsidRPr="00000000" w14:paraId="0000005C">
      <w:pPr>
        <w:spacing w:after="240" w:before="240" w:line="360" w:lineRule="auto"/>
        <w:ind w:left="1440" w:firstLine="0"/>
        <w:jc w:val="both"/>
        <w:rPr>
          <w:rFonts w:ascii="Arial" w:cs="Arial" w:eastAsia="Arial" w:hAnsi="Arial"/>
          <w:i w:val="1"/>
          <w:iCs w:val="1"/>
        </w:rPr>
      </w:pPr>
      <w:r w:rsidDel="00000000" w:rsidR="00000000" w:rsidRPr="00000000">
        <w:rPr>
          <w:rFonts w:ascii="Arial" w:cs="Arial" w:eastAsia="Arial" w:hAnsi="Arial"/>
          <w:i w:val="1"/>
          <w:iCs w:val="1"/>
          <w:rtl w:val="0"/>
        </w:rPr>
        <w:t xml:space="preserve">En efecto, en momentos de tutelar el derecho fundamental de la posesión, el aseguramiento ministerial requiere, para su validez legal, autorización judicial, toda vez que de esa forma será el Juez de Control quien determine si efectivamente existe necesidad de asegurar el inmueble materia de hechos posiblemente constitutivos de delitos.</w:t>
      </w:r>
    </w:p>
    <w:p w:rsidR="00000000" w:rsidDel="00000000" w:rsidP="00000000" w:rsidRDefault="00000000" w:rsidRPr="00000000" w14:paraId="0000005D">
      <w:pPr>
        <w:spacing w:after="240" w:before="240" w:line="360" w:lineRule="auto"/>
        <w:ind w:left="1440" w:firstLine="0"/>
        <w:jc w:val="both"/>
        <w:rPr>
          <w:rFonts w:ascii="Arial" w:cs="Arial" w:eastAsia="Arial" w:hAnsi="Arial"/>
          <w:i w:val="1"/>
          <w:iCs w:val="1"/>
        </w:rPr>
      </w:pPr>
      <w:r w:rsidDel="00000000" w:rsidR="00000000" w:rsidRPr="00000000">
        <w:rPr>
          <w:rFonts w:ascii="Arial" w:cs="Arial" w:eastAsia="Arial" w:hAnsi="Arial"/>
          <w:i w:val="1"/>
          <w:iCs w:val="1"/>
          <w:rtl w:val="0"/>
        </w:rPr>
        <w:t xml:space="preserve">En consecuencia, si la autoridad ministerial no solicitó el control judicial para efectuar dicho aseguramiento, éste se considera ilegal”</w:t>
      </w:r>
    </w:p>
    <w:p w:rsidR="00000000" w:rsidDel="00000000" w:rsidP="00000000" w:rsidRDefault="00000000" w:rsidRPr="00000000" w14:paraId="0000005E">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PRIMERA REFUTACIÓN:</w:t>
      </w:r>
      <w:r w:rsidDel="00000000" w:rsidR="00000000" w:rsidRPr="00000000">
        <w:rPr>
          <w:rFonts w:ascii="Arial" w:cs="Arial" w:eastAsia="Arial" w:hAnsi="Arial"/>
          <w:sz w:val="24"/>
          <w:szCs w:val="24"/>
          <w:rtl w:val="0"/>
        </w:rPr>
        <w:t xml:space="preserve"> He de precisar, que me causa agravio al tercero interesado que la sentencia dictada dentro del juicio de amparo indirecto 524/2025 haya concedido el amparo solicitado por </w:t>
      </w:r>
      <w:r w:rsidDel="00000000" w:rsidR="00000000" w:rsidRPr="00000000">
        <w:rPr>
          <w:rFonts w:ascii="Arial" w:cs="Arial" w:eastAsia="Arial" w:hAnsi="Arial"/>
          <w:i w:val="1"/>
          <w:iCs w:val="1"/>
          <w:sz w:val="24"/>
          <w:szCs w:val="24"/>
          <w:rtl w:val="0"/>
        </w:rPr>
        <w:t xml:space="preserve">Controladora Dolphin, S.A. de C.V.</w:t>
      </w:r>
      <w:r w:rsidDel="00000000" w:rsidR="00000000" w:rsidRPr="00000000">
        <w:rPr>
          <w:rFonts w:ascii="Arial" w:cs="Arial" w:eastAsia="Arial" w:hAnsi="Arial"/>
          <w:sz w:val="24"/>
          <w:szCs w:val="24"/>
          <w:rtl w:val="0"/>
        </w:rPr>
        <w:t xml:space="preserve">, ordenando dejar sin efectos el aseguramiento del inmueble y restituyendo de facto la posesión del bien, sin analizar el contexto penal del delito de despojo, lo que genera una indebida protección constitucional a quien ostenta calidad de investigado. Es importante señalar que el Juez Tercero de Distrito en la sentencia se limitó a analizar el aseguramiento del inmueble </w:t>
      </w:r>
      <w:r w:rsidDel="00000000" w:rsidR="00000000" w:rsidRPr="00000000">
        <w:rPr>
          <w:rFonts w:ascii="Arial" w:cs="Arial" w:eastAsia="Arial" w:hAnsi="Arial"/>
          <w:b w:val="1"/>
          <w:bCs w:val="1"/>
          <w:sz w:val="24"/>
          <w:szCs w:val="24"/>
          <w:rtl w:val="0"/>
        </w:rPr>
        <w:t xml:space="preserve">d</w:t>
      </w:r>
      <w:r w:rsidDel="00000000" w:rsidR="00000000" w:rsidRPr="00000000">
        <w:rPr>
          <w:rFonts w:ascii="Arial" w:cs="Arial" w:eastAsia="Arial" w:hAnsi="Arial"/>
          <w:sz w:val="24"/>
          <w:szCs w:val="24"/>
          <w:rtl w:val="0"/>
        </w:rPr>
        <w:t xml:space="preserve">esde una óptica meramente formal de control judicial, sin valorar que dicho aseguramiento:</w:t>
      </w:r>
    </w:p>
    <w:p w:rsidR="00000000" w:rsidDel="00000000" w:rsidP="00000000" w:rsidRDefault="00000000" w:rsidRPr="00000000" w14:paraId="0000005F">
      <w:pPr>
        <w:numPr>
          <w:ilvl w:val="0"/>
          <w:numId w:val="1"/>
        </w:numPr>
        <w:spacing w:after="0" w:afterAutospacing="0" w:before="240" w:line="360" w:lineRule="auto"/>
        <w:ind w:left="720" w:hanging="360"/>
        <w:rPr>
          <w:rFonts w:ascii="Arial" w:cs="Arial" w:eastAsia="Arial" w:hAnsi="Arial"/>
        </w:rPr>
      </w:pPr>
      <w:r w:rsidDel="00000000" w:rsidR="00000000" w:rsidRPr="00000000">
        <w:rPr>
          <w:rFonts w:ascii="Arial" w:cs="Arial" w:eastAsia="Arial" w:hAnsi="Arial"/>
          <w:rtl w:val="0"/>
        </w:rPr>
        <w:t xml:space="preserve">Deriva directamente de una denuncia penal por despojo promovida por el hoy tercero interesado.</w:t>
      </w:r>
    </w:p>
    <w:p w:rsidR="00000000" w:rsidDel="00000000" w:rsidP="00000000" w:rsidRDefault="00000000" w:rsidRPr="00000000" w14:paraId="00000060">
      <w:pPr>
        <w:numPr>
          <w:ilvl w:val="0"/>
          <w:numId w:val="1"/>
        </w:numPr>
        <w:spacing w:after="0" w:afterAutospacing="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Tiene como finalidad preservar un bien objeto del delito.</w:t>
      </w:r>
    </w:p>
    <w:p w:rsidR="00000000" w:rsidDel="00000000" w:rsidP="00000000" w:rsidRDefault="00000000" w:rsidRPr="00000000" w14:paraId="00000061">
      <w:pPr>
        <w:numPr>
          <w:ilvl w:val="0"/>
          <w:numId w:val="1"/>
        </w:numPr>
        <w:spacing w:after="240" w:before="0" w:beforeAutospacing="0"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Resulta una medida de protección vital para evitar la consolidación del ilícito.</w:t>
      </w:r>
    </w:p>
    <w:p w:rsidR="00000000" w:rsidDel="00000000" w:rsidP="00000000" w:rsidRDefault="00000000" w:rsidRPr="00000000" w14:paraId="00000062">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Así mismo, he de mencionar que, la resolución combatida incurre en un vicio estructural grave, al resolver el juicio de amparo sin considerar la verdadera naturaleza jurídica del acto reclamado, tratándolo como una decisión unilateral del Ministerio Público y no como una medida de protección penal derivada de una denuncia formal por despojo promovida por el hoy tercero interesado. El aseguramiento del inmueble no fue dictado de manera arbitraria, ni gratuita, ni espontánea. Fue consecuencia directa de un hecho penal consistente en la ocupación ilegítima del inmueble mediante el uso de fuerza, personal armado, identificación simulada de funcionario público y la expulsión material de empleados. La sentencia reconoce textualmente que: el aseguramiento deriva de la carpeta de investigación </w:t>
      </w:r>
      <w:r w:rsidDel="00000000" w:rsidR="00000000" w:rsidRPr="00000000">
        <w:rPr>
          <w:rFonts w:ascii="Arial" w:cs="Arial" w:eastAsia="Arial" w:hAnsi="Arial"/>
          <w:b w:val="1"/>
          <w:bCs w:val="1"/>
          <w:sz w:val="24"/>
          <w:szCs w:val="24"/>
          <w:rtl w:val="0"/>
        </w:rPr>
        <w:t xml:space="preserve">FGE/QROO/BJ/04/7127/2025</w:t>
      </w:r>
      <w:r w:rsidDel="00000000" w:rsidR="00000000" w:rsidRPr="00000000">
        <w:rPr>
          <w:rFonts w:ascii="Arial" w:cs="Arial" w:eastAsia="Arial" w:hAnsi="Arial"/>
          <w:sz w:val="24"/>
          <w:szCs w:val="24"/>
          <w:rtl w:val="0"/>
        </w:rPr>
        <w:t xml:space="preserve"> y que dicha carpeta investiga hechos probablemente constitutivos de delitos patrimoniales, sin embargo, en la propia sentencia estableció lo siguiente:</w:t>
      </w:r>
    </w:p>
    <w:p w:rsidR="00000000" w:rsidDel="00000000" w:rsidP="00000000" w:rsidRDefault="00000000" w:rsidRPr="00000000" w14:paraId="00000063">
      <w:pPr>
        <w:spacing w:after="240" w:before="240" w:line="360" w:lineRule="auto"/>
        <w:ind w:left="1440" w:firstLine="0"/>
        <w:jc w:val="both"/>
        <w:rPr>
          <w:rFonts w:ascii="Arial" w:cs="Arial" w:eastAsia="Arial" w:hAnsi="Arial"/>
          <w:i w:val="1"/>
          <w:iCs w:val="1"/>
        </w:rPr>
      </w:pPr>
      <w:r w:rsidDel="00000000" w:rsidR="00000000" w:rsidRPr="00000000">
        <w:rPr>
          <w:rFonts w:ascii="Arial" w:cs="Arial" w:eastAsia="Arial" w:hAnsi="Arial"/>
          <w:i w:val="1"/>
          <w:iCs w:val="1"/>
          <w:rtl w:val="0"/>
        </w:rPr>
        <w:t xml:space="preserve">“...deberá ordenar las diligencias necesarias para que Controladora Dolphin, S.A. de C.V., recupere la posesión del inmueble...”</w:t>
      </w:r>
    </w:p>
    <w:p w:rsidR="00000000" w:rsidDel="00000000" w:rsidP="00000000" w:rsidRDefault="00000000" w:rsidRPr="00000000" w14:paraId="00000064">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Tal determinación no sólo anula una medida cautelar, sino que le otorga ventaja procesal indebida a quien se encuentra sujeto a una carpeta de investigación por el delito de despojo, convirtiendo el juicio de amparo en un mecanismo de impunidad, dado a que se otorgó el amparo como si se tratara de un aseguramiento arbitrario, cuando en realidad se trataba de una medida de protección de la víctima. La sentencia omitió completamente analizar los datos de prueba que existen dentro de la propia carpeta de investigación.</w:t>
      </w:r>
    </w:p>
    <w:p w:rsidR="00000000" w:rsidDel="00000000" w:rsidP="00000000" w:rsidRDefault="00000000" w:rsidRPr="00000000" w14:paraId="00000065">
      <w:pPr>
        <w:spacing w:after="240" w:before="240" w:line="360" w:lineRule="auto"/>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Sino que reduce el juicio a una cuestión estrictamente procedimental (la supuesta falta de control judicial previo). Esto es jurídicamente inaceptable. El juicio de amparo no puede resolverse como si el Juzgado discutiera en abstracto el artículo 252 del Código Nacional de Procedimientos Penales, ignorando por completo que había un despojo activo. El juez constitucional omitió aplicar el principio de realidad material, resolviendo como si el expediente existiera en el vacío, sin personas, sin hechos, sin víctima. Al conceder el amparo sin analizar el despojo, la sentencia incurre en una consecuencia inaceptable, devolviendo el inmueble a quien es investigado penalmente por tomarlo.</w:t>
      </w:r>
      <w:r w:rsidDel="00000000" w:rsidR="00000000" w:rsidRPr="00000000">
        <w:rPr>
          <w:rtl w:val="0"/>
        </w:rPr>
      </w:r>
    </w:p>
    <w:p w:rsidR="00000000" w:rsidDel="00000000" w:rsidP="00000000" w:rsidRDefault="00000000" w:rsidRPr="00000000" w14:paraId="00000066">
      <w:pPr>
        <w:spacing w:after="0"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SEGUNDA REFUTACIÓN: </w:t>
      </w:r>
      <w:r w:rsidDel="00000000" w:rsidR="00000000" w:rsidRPr="00000000">
        <w:rPr>
          <w:rFonts w:ascii="Arial" w:cs="Arial" w:eastAsia="Arial" w:hAnsi="Arial"/>
          <w:sz w:val="24"/>
          <w:szCs w:val="24"/>
          <w:rtl w:val="0"/>
        </w:rPr>
        <w:t xml:space="preserve">Resulta jurídicamente insostenible la sentencia recurrida al haber omitido por completo el análisis de la calidad de víctima del hoy tercero interesado, Eduardo de Martin Albor Villanueva, pese a que dicho carácter se encuentra plenamente acreditado dentro de la Carpeta de Investigación </w:t>
      </w:r>
      <w:r w:rsidDel="00000000" w:rsidR="00000000" w:rsidRPr="00000000">
        <w:rPr>
          <w:rFonts w:ascii="Arial" w:cs="Arial" w:eastAsia="Arial" w:hAnsi="Arial"/>
          <w:b w:val="1"/>
          <w:bCs w:val="1"/>
          <w:sz w:val="24"/>
          <w:szCs w:val="24"/>
          <w:rtl w:val="0"/>
        </w:rPr>
        <w:t xml:space="preserve">FGE/QROO/BJ/04/7127/2025</w:t>
      </w:r>
      <w:r w:rsidDel="00000000" w:rsidR="00000000" w:rsidRPr="00000000">
        <w:rPr>
          <w:rFonts w:ascii="Arial" w:cs="Arial" w:eastAsia="Arial" w:hAnsi="Arial"/>
          <w:sz w:val="24"/>
          <w:szCs w:val="24"/>
          <w:rtl w:val="0"/>
        </w:rPr>
        <w:t xml:space="preserve">, en la cual aparece expresamente como denunciante de hechos que la autoridad ministerial calificó preliminarmente como constitutivos del delito de despojo. La autoridad jurisdiccional federal resolvió el asunto como si se tratara de un litigio meramente abstracto sobre el acto administrativo de aseguramiento, cuando en realidad dicho aseguramiento tiene su génesis en una denuncia penal vigente y activa, lo cual fue completamente ignorado por el juzgador constitucional, pese a que obra dentro del expediente que:</w:t>
      </w:r>
    </w:p>
    <w:p w:rsidR="00000000" w:rsidDel="00000000" w:rsidP="00000000" w:rsidRDefault="00000000" w:rsidRPr="00000000" w14:paraId="00000067">
      <w:pPr>
        <w:spacing w:after="240" w:before="240" w:line="360" w:lineRule="auto"/>
        <w:ind w:left="1320" w:right="600" w:firstLine="0"/>
        <w:jc w:val="both"/>
        <w:rPr>
          <w:rFonts w:ascii="Arial" w:cs="Arial" w:eastAsia="Arial" w:hAnsi="Arial"/>
          <w:sz w:val="26"/>
          <w:szCs w:val="26"/>
        </w:rPr>
      </w:pPr>
      <w:r w:rsidDel="00000000" w:rsidR="00000000" w:rsidRPr="00000000">
        <w:rPr>
          <w:rFonts w:ascii="Arial" w:cs="Arial" w:eastAsia="Arial" w:hAnsi="Arial"/>
          <w:i w:val="1"/>
          <w:iCs w:val="1"/>
          <w:sz w:val="20"/>
          <w:szCs w:val="20"/>
          <w:rtl w:val="0"/>
        </w:rPr>
        <w:t xml:space="preserve">“El denunciante EDUARDO DE MARTIN ALBOR VILLANUEVA presentó querella por el delito de despojo, derivado de la irrupción violenta en el inmueble, con participación de sujetos armados, policías y un supuesto actuario.”</w:t>
      </w:r>
      <w:r w:rsidDel="00000000" w:rsidR="00000000" w:rsidRPr="00000000">
        <w:rPr>
          <w:rtl w:val="0"/>
        </w:rPr>
      </w:r>
    </w:p>
    <w:p w:rsidR="00000000" w:rsidDel="00000000" w:rsidP="00000000" w:rsidRDefault="00000000" w:rsidRPr="00000000" w14:paraId="00000068">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sentencia combatida no realiza análisis alguno sobre los siguientes aspectos fundamentales:</w:t>
      </w:r>
    </w:p>
    <w:p w:rsidR="00000000" w:rsidDel="00000000" w:rsidP="00000000" w:rsidRDefault="00000000" w:rsidRPr="00000000" w14:paraId="00000069">
      <w:pPr>
        <w:numPr>
          <w:ilvl w:val="0"/>
          <w:numId w:val="6"/>
        </w:numPr>
        <w:spacing w:after="0" w:afterAutospacing="0" w:before="240"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Existencia de víctima directa.</w:t>
      </w:r>
    </w:p>
    <w:p w:rsidR="00000000" w:rsidDel="00000000" w:rsidP="00000000" w:rsidRDefault="00000000" w:rsidRPr="00000000" w14:paraId="0000006A">
      <w:pPr>
        <w:numPr>
          <w:ilvl w:val="0"/>
          <w:numId w:val="6"/>
        </w:numPr>
        <w:spacing w:after="0" w:afterAutospacing="0" w:before="0" w:beforeAutospacing="0"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Existencia de carpeta de investigación en trámite.</w:t>
      </w:r>
    </w:p>
    <w:p w:rsidR="00000000" w:rsidDel="00000000" w:rsidP="00000000" w:rsidRDefault="00000000" w:rsidRPr="00000000" w14:paraId="0000006B">
      <w:pPr>
        <w:numPr>
          <w:ilvl w:val="0"/>
          <w:numId w:val="6"/>
        </w:numPr>
        <w:spacing w:after="0" w:afterAutospacing="0" w:before="0" w:beforeAutospacing="0"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Identificación del quejoso como imputado material.</w:t>
      </w:r>
    </w:p>
    <w:p w:rsidR="00000000" w:rsidDel="00000000" w:rsidP="00000000" w:rsidRDefault="00000000" w:rsidRPr="00000000" w14:paraId="0000006C">
      <w:pPr>
        <w:numPr>
          <w:ilvl w:val="0"/>
          <w:numId w:val="6"/>
        </w:numPr>
        <w:spacing w:after="0" w:afterAutospacing="0" w:before="0" w:beforeAutospacing="0"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Relación directa entre el aseguramiento del inmueble y la protección de la víctima.</w:t>
      </w:r>
    </w:p>
    <w:p w:rsidR="00000000" w:rsidDel="00000000" w:rsidP="00000000" w:rsidRDefault="00000000" w:rsidRPr="00000000" w14:paraId="0000006D">
      <w:pPr>
        <w:numPr>
          <w:ilvl w:val="0"/>
          <w:numId w:val="6"/>
        </w:numPr>
        <w:spacing w:after="240" w:before="0" w:beforeAutospacing="0"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Consecuencia jurídica de levantar la medida cautelar.</w:t>
      </w:r>
    </w:p>
    <w:p w:rsidR="00000000" w:rsidDel="00000000" w:rsidP="00000000" w:rsidRDefault="00000000" w:rsidRPr="00000000" w14:paraId="0000006E">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trata de una omisión grave que genera un estado de indefensión absoluta para el tercero interesado, al convertir el juicio de amparo en una vía para restituir ilegítimamente la posesión al presunto despojador. La omisión judicial no es un simple defecto técnico, sino una violación directa al artículo 20 de la Constitución Política de los Estados Unidos Mexicanos, el cual tutela expresamente los derechos de la víctima u ofendido, entre ellos a la protección de su integridad, bienes y derechos patrimoniales. El juez de amparo tenía la obligación de realizar una ponderación de derechos entre:</w:t>
      </w:r>
    </w:p>
    <w:p w:rsidR="00000000" w:rsidDel="00000000" w:rsidP="00000000" w:rsidRDefault="00000000" w:rsidRPr="00000000" w14:paraId="0000006F">
      <w:pPr>
        <w:numPr>
          <w:ilvl w:val="0"/>
          <w:numId w:val="2"/>
        </w:numPr>
        <w:spacing w:after="0" w:afterAutospacing="0" w:before="240" w:line="360" w:lineRule="auto"/>
        <w:ind w:left="720" w:hanging="360"/>
        <w:rPr>
          <w:rFonts w:ascii="Arial" w:cs="Arial" w:eastAsia="Arial" w:hAnsi="Arial"/>
        </w:rPr>
      </w:pPr>
      <w:r w:rsidDel="00000000" w:rsidR="00000000" w:rsidRPr="00000000">
        <w:rPr>
          <w:rFonts w:ascii="Arial" w:cs="Arial" w:eastAsia="Arial" w:hAnsi="Arial"/>
          <w:rtl w:val="0"/>
        </w:rPr>
        <w:t xml:space="preserve">El derecho patrimonial alegado por la empresa quejosa, y</w:t>
      </w:r>
    </w:p>
    <w:p w:rsidR="00000000" w:rsidDel="00000000" w:rsidP="00000000" w:rsidRDefault="00000000" w:rsidRPr="00000000" w14:paraId="00000070">
      <w:pPr>
        <w:numPr>
          <w:ilvl w:val="0"/>
          <w:numId w:val="2"/>
        </w:numPr>
        <w:spacing w:after="24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El derecho de seguridad jurídica, posesión legítima y protección penal del tercero interesado.</w:t>
      </w:r>
    </w:p>
    <w:p w:rsidR="00000000" w:rsidDel="00000000" w:rsidP="00000000" w:rsidRDefault="00000000" w:rsidRPr="00000000" w14:paraId="00000071">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 no hacerlo, la sentencia incurre en una violación directa a los principios de:</w:t>
      </w:r>
    </w:p>
    <w:p w:rsidR="00000000" w:rsidDel="00000000" w:rsidP="00000000" w:rsidRDefault="00000000" w:rsidRPr="00000000" w14:paraId="00000072">
      <w:pPr>
        <w:numPr>
          <w:ilvl w:val="0"/>
          <w:numId w:val="3"/>
        </w:numPr>
        <w:spacing w:after="0" w:afterAutospacing="0" w:before="240" w:line="360" w:lineRule="auto"/>
        <w:ind w:left="720" w:hanging="360"/>
        <w:rPr>
          <w:rFonts w:ascii="Arial" w:cs="Arial" w:eastAsia="Arial" w:hAnsi="Arial"/>
        </w:rPr>
      </w:pPr>
      <w:r w:rsidDel="00000000" w:rsidR="00000000" w:rsidRPr="00000000">
        <w:rPr>
          <w:rFonts w:ascii="Arial" w:cs="Arial" w:eastAsia="Arial" w:hAnsi="Arial"/>
          <w:rtl w:val="0"/>
        </w:rPr>
        <w:t xml:space="preserve">Exhaustividad,</w:t>
      </w:r>
    </w:p>
    <w:p w:rsidR="00000000" w:rsidDel="00000000" w:rsidP="00000000" w:rsidRDefault="00000000" w:rsidRPr="00000000" w14:paraId="00000073">
      <w:pPr>
        <w:numPr>
          <w:ilvl w:val="0"/>
          <w:numId w:val="3"/>
        </w:numPr>
        <w:spacing w:after="0" w:afterAutospacing="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Congruencia,</w:t>
      </w:r>
    </w:p>
    <w:p w:rsidR="00000000" w:rsidDel="00000000" w:rsidP="00000000" w:rsidRDefault="00000000" w:rsidRPr="00000000" w14:paraId="00000074">
      <w:pPr>
        <w:numPr>
          <w:ilvl w:val="0"/>
          <w:numId w:val="3"/>
        </w:numPr>
        <w:spacing w:after="0" w:afterAutospacing="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Debida motivación, y</w:t>
      </w:r>
    </w:p>
    <w:p w:rsidR="00000000" w:rsidDel="00000000" w:rsidP="00000000" w:rsidRDefault="00000000" w:rsidRPr="00000000" w14:paraId="00000075">
      <w:pPr>
        <w:numPr>
          <w:ilvl w:val="0"/>
          <w:numId w:val="3"/>
        </w:numPr>
        <w:spacing w:after="24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Protección integral de la víctima.</w:t>
      </w:r>
    </w:p>
    <w:p w:rsidR="00000000" w:rsidDel="00000000" w:rsidP="00000000" w:rsidRDefault="00000000" w:rsidRPr="00000000" w14:paraId="00000076">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Peor aún, la resolución judicial invierte indebidamente las calidades procesales, al tratar a quien figura como imputado dentro de una carpeta de investigación como víctima constitucional, mientras adjudica al verdadero ofendido una condición marginal e irrelevante. Tal distorsión vulnera la finalidad del juicio de amparo, que no puede convertirse en mecanismo para neutralizar investigaciones penales válidamente iniciadas, ni para privar de efectos a las actuaciones ministeriales orientadas a salvaguardar bienes jurídicos fundamentales. Por tanto, la sentencia vulnera el principio pro persona, de acceso a la justicia de la víctima y de tutela judicial efectiva, al dejarla completamente desprotegida frente a quien es investigado formalmente por despojo.</w:t>
      </w:r>
    </w:p>
    <w:p w:rsidR="00000000" w:rsidDel="00000000" w:rsidP="00000000" w:rsidRDefault="00000000" w:rsidRPr="00000000" w14:paraId="00000077">
      <w:pPr>
        <w:pStyle w:val="Heading3"/>
        <w:keepNext w:val="0"/>
        <w:keepLines w:val="0"/>
        <w:spacing w:after="80" w:before="280" w:line="360" w:lineRule="auto"/>
        <w:jc w:val="both"/>
        <w:rPr>
          <w:rFonts w:ascii="Arial" w:cs="Arial" w:eastAsia="Arial" w:hAnsi="Arial"/>
          <w:b w:val="1"/>
          <w:bCs w:val="1"/>
          <w:color w:val="000000"/>
        </w:rPr>
      </w:pPr>
      <w:bookmarkStart w:colFirst="0" w:colLast="0" w:name="_heading=h.eydrzueau167" w:id="2"/>
      <w:bookmarkEnd w:id="2"/>
      <w:r w:rsidDel="00000000" w:rsidR="00000000" w:rsidRPr="00000000">
        <w:rPr>
          <w:rFonts w:ascii="Arial" w:cs="Arial" w:eastAsia="Arial" w:hAnsi="Arial"/>
          <w:b w:val="1"/>
          <w:bCs w:val="1"/>
          <w:color w:val="000000"/>
          <w:rtl w:val="0"/>
        </w:rPr>
        <w:t xml:space="preserve">SEGUNDO AGRAVIO. RESTITUCIÓN ILEGAL E INCONSTITUCIONAL DE LA POSESIÓN DEL INMUEBLE MATERIA DE INVESTIGACIÓN PENAL MEDIANTE SENTENCIA DE AMPARO.</w:t>
      </w:r>
    </w:p>
    <w:p w:rsidR="00000000" w:rsidDel="00000000" w:rsidP="00000000" w:rsidRDefault="00000000" w:rsidRPr="00000000" w14:paraId="00000078">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menester, hacer notar lo sostenido por el Juez Tercero de Distrito en su Sentencia, que a la letra señaló lo siguiente:</w:t>
      </w:r>
    </w:p>
    <w:p w:rsidR="00000000" w:rsidDel="00000000" w:rsidP="00000000" w:rsidRDefault="00000000" w:rsidRPr="00000000" w14:paraId="00000079">
      <w:pPr>
        <w:spacing w:after="240" w:before="240" w:line="360" w:lineRule="auto"/>
        <w:ind w:left="1440" w:firstLine="0"/>
        <w:jc w:val="both"/>
        <w:rPr>
          <w:rFonts w:ascii="Arial" w:cs="Arial" w:eastAsia="Arial" w:hAnsi="Arial"/>
          <w:i w:val="1"/>
          <w:iCs w:val="1"/>
        </w:rPr>
      </w:pPr>
      <w:r w:rsidDel="00000000" w:rsidR="00000000" w:rsidRPr="00000000">
        <w:rPr>
          <w:rFonts w:ascii="Arial" w:cs="Arial" w:eastAsia="Arial" w:hAnsi="Arial"/>
          <w:i w:val="1"/>
          <w:iCs w:val="1"/>
          <w:rtl w:val="0"/>
        </w:rPr>
        <w:t xml:space="preserve">“2. Deberá ordenar las diligencias necesarias para que "Controladora Dolphin", Sociedad Anónima de Capital Variable, recupere la posesión del inmueble.”</w:t>
      </w:r>
    </w:p>
    <w:p w:rsidR="00000000" w:rsidDel="00000000" w:rsidP="00000000" w:rsidRDefault="00000000" w:rsidRPr="00000000" w14:paraId="0000007A">
      <w:pPr>
        <w:spacing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PRIMERA REFUTACIÓN:</w:t>
      </w:r>
      <w:r w:rsidDel="00000000" w:rsidR="00000000" w:rsidRPr="00000000">
        <w:rPr>
          <w:rFonts w:ascii="Arial" w:cs="Arial" w:eastAsia="Arial" w:hAnsi="Arial"/>
          <w:sz w:val="24"/>
          <w:szCs w:val="24"/>
          <w:rtl w:val="0"/>
        </w:rPr>
        <w:t xml:space="preserve"> Es importante precisar, que dicha determinación es ilegal, inconstitucional y carente de competencia funcional, pues la autoridad jurisdiccional excede los efectos permitidos en el juicio de amparo, causando agravio directo y sustancial al tercero interesado que la autoridad jurisdiccional federal haya ordenado, como efecto del amparo concedido, la restitución material y jurídica de la posesión del inmueble objeto de investigación penal, sin que exista pronunciamiento penal definitivo respecto de la licitud o ilicitud de la posesión, invadiendo con ello indebidamente la esfera competencial de la autoridad penal y violentando los principios de división de funciones jurisdiccionales, legalidad y debido proceso. La sentencia recurrida se aparta de los límites constitucionales del juicio de amparo, al utilizarlo como un mecanismo restitutorio de derechos patrimoniales, cuando su naturaleza jurídica es de control constitucional, y no de procedimiento para decidir o ejecutar controversias sobre posesión, propiedad o derechos reales.</w:t>
      </w:r>
    </w:p>
    <w:p w:rsidR="00000000" w:rsidDel="00000000" w:rsidP="00000000" w:rsidRDefault="00000000" w:rsidRPr="00000000" w14:paraId="0000007B">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orden judicial de restituir la posesión tiene un impacto sustancialmente mayor que el simple análisis de constitucionalidad del aseguramiento. Tal determinación materialmente:</w:t>
      </w:r>
    </w:p>
    <w:p w:rsidR="00000000" w:rsidDel="00000000" w:rsidP="00000000" w:rsidRDefault="00000000" w:rsidRPr="00000000" w14:paraId="0000007C">
      <w:pPr>
        <w:numPr>
          <w:ilvl w:val="0"/>
          <w:numId w:val="7"/>
        </w:numPr>
        <w:spacing w:after="0" w:afterAutospacing="0" w:before="240" w:line="360" w:lineRule="auto"/>
        <w:ind w:left="720" w:hanging="360"/>
        <w:rPr>
          <w:rFonts w:ascii="Arial" w:cs="Arial" w:eastAsia="Arial" w:hAnsi="Arial"/>
        </w:rPr>
      </w:pPr>
      <w:r w:rsidDel="00000000" w:rsidR="00000000" w:rsidRPr="00000000">
        <w:rPr>
          <w:rFonts w:ascii="Arial" w:cs="Arial" w:eastAsia="Arial" w:hAnsi="Arial"/>
          <w:rtl w:val="0"/>
        </w:rPr>
        <w:t xml:space="preserve">Restituye la posesión al sujeto investigado por despojo.</w:t>
      </w:r>
    </w:p>
    <w:p w:rsidR="00000000" w:rsidDel="00000000" w:rsidP="00000000" w:rsidRDefault="00000000" w:rsidRPr="00000000" w14:paraId="0000007D">
      <w:pPr>
        <w:numPr>
          <w:ilvl w:val="0"/>
          <w:numId w:val="7"/>
        </w:numPr>
        <w:spacing w:after="0" w:afterAutospacing="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Neutraliza una medida derivada de una investigación penal activa.</w:t>
      </w:r>
    </w:p>
    <w:p w:rsidR="00000000" w:rsidDel="00000000" w:rsidP="00000000" w:rsidRDefault="00000000" w:rsidRPr="00000000" w14:paraId="0000007E">
      <w:pPr>
        <w:numPr>
          <w:ilvl w:val="0"/>
          <w:numId w:val="7"/>
        </w:numPr>
        <w:spacing w:after="0" w:afterAutospacing="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Anticipa una resolución definitiva sobre un hecho delictivo no juzgado aún.</w:t>
      </w:r>
    </w:p>
    <w:p w:rsidR="00000000" w:rsidDel="00000000" w:rsidP="00000000" w:rsidRDefault="00000000" w:rsidRPr="00000000" w14:paraId="0000007F">
      <w:pPr>
        <w:numPr>
          <w:ilvl w:val="0"/>
          <w:numId w:val="7"/>
        </w:numPr>
        <w:spacing w:after="0" w:afterAutospacing="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Trastoca el estado procesal de la víctima.</w:t>
      </w:r>
    </w:p>
    <w:p w:rsidR="00000000" w:rsidDel="00000000" w:rsidP="00000000" w:rsidRDefault="00000000" w:rsidRPr="00000000" w14:paraId="00000080">
      <w:pPr>
        <w:numPr>
          <w:ilvl w:val="0"/>
          <w:numId w:val="7"/>
        </w:numPr>
        <w:spacing w:after="24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Genera un efecto restitutorio que no corresponde al juez constitucional.</w:t>
      </w:r>
    </w:p>
    <w:p w:rsidR="00000000" w:rsidDel="00000000" w:rsidP="00000000" w:rsidRDefault="00000000" w:rsidRPr="00000000" w14:paraId="00000081">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juicio de amparo no constituye una vía procesal para dirimir la posesión de bienes inmuebles, ni para ejecutar resoluciones que impliquen desplazamiento físico, restitución material o modificación del estado fáctico de un bien sujeto a investigación penal. Su función consiste únicamente en verificar si los actos de autoridad se ajustan o no a la Constitución. No faculta al juez de amparo para pronunciarse sobre quién debe poseer un inmueble.</w:t>
      </w:r>
    </w:p>
    <w:p w:rsidR="00000000" w:rsidDel="00000000" w:rsidP="00000000" w:rsidRDefault="00000000" w:rsidRPr="00000000" w14:paraId="00000082">
      <w:pPr>
        <w:spacing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SEGUNDA REFUTACIÓN:</w:t>
      </w:r>
      <w:r w:rsidDel="00000000" w:rsidR="00000000" w:rsidRPr="00000000">
        <w:rPr>
          <w:rFonts w:ascii="Arial" w:cs="Arial" w:eastAsia="Arial" w:hAnsi="Arial"/>
          <w:sz w:val="24"/>
          <w:szCs w:val="24"/>
          <w:rtl w:val="0"/>
        </w:rPr>
        <w:t xml:space="preserve"> La orden restitutoria se dicta ignorando olímpicamente que existe una investigación penal formalmente iniciada por el delito de despojo, en la cual se ha establecido, entre otros elementos que constan documentalmente en la carpeta de investigación FGE/QROO/BJ/04/7127/2025, por lo que no puede jurídicamente ordenarse la restitución de un bien sin esclarecer, previa y penalmente. Por lo que,  al ordenar la restitución, el juez constitucional asume sin prueba ni análisis que la empresa quejosa es legítima poseedora, lo cual equivale a una declaración tácita de inexistencia del delito, dictada sin competencia, sin proceso penal y sin pruebas confesadas en juicio. Es preciso señalar que en exceso de las facultades del Juez de Distrito, acuto ultra vire, esto es, fuera de los límites de su competencia legal, porque el mandato de restituir posesión es una función exclusiva del: </w:t>
      </w:r>
    </w:p>
    <w:p w:rsidR="00000000" w:rsidDel="00000000" w:rsidP="00000000" w:rsidRDefault="00000000" w:rsidRPr="00000000" w14:paraId="00000083">
      <w:pPr>
        <w:numPr>
          <w:ilvl w:val="0"/>
          <w:numId w:val="4"/>
        </w:numPr>
        <w:spacing w:after="0" w:afterAutospacing="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Juez penal (medida cautelar),</w:t>
      </w:r>
    </w:p>
    <w:p w:rsidR="00000000" w:rsidDel="00000000" w:rsidP="00000000" w:rsidRDefault="00000000" w:rsidRPr="00000000" w14:paraId="00000084">
      <w:pPr>
        <w:numPr>
          <w:ilvl w:val="0"/>
          <w:numId w:val="4"/>
        </w:numPr>
        <w:spacing w:after="0" w:afterAutospacing="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Juez civil o mercantil (restitución),</w:t>
      </w:r>
    </w:p>
    <w:p w:rsidR="00000000" w:rsidDel="00000000" w:rsidP="00000000" w:rsidRDefault="00000000" w:rsidRPr="00000000" w14:paraId="00000085">
      <w:pPr>
        <w:numPr>
          <w:ilvl w:val="0"/>
          <w:numId w:val="4"/>
        </w:numPr>
        <w:spacing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O mediante sentencia definitiva.</w:t>
      </w:r>
    </w:p>
    <w:p w:rsidR="00000000" w:rsidDel="00000000" w:rsidP="00000000" w:rsidRDefault="00000000" w:rsidRPr="00000000" w14:paraId="00000086">
      <w:pPr>
        <w:spacing w:line="36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ende, debe revocarse el efecto restitutorio de la sentencia combatida, dejando subsistente la investigación penal, sin restituir la posesión hasta la determinación penal definitiva.</w:t>
      </w:r>
      <w:r w:rsidDel="00000000" w:rsidR="00000000" w:rsidRPr="00000000">
        <w:rPr>
          <w:rtl w:val="0"/>
        </w:rPr>
      </w:r>
    </w:p>
    <w:p w:rsidR="00000000" w:rsidDel="00000000" w:rsidP="00000000" w:rsidRDefault="00000000" w:rsidRPr="00000000" w14:paraId="00000087">
      <w:pPr>
        <w:spacing w:after="0" w:line="360" w:lineRule="auto"/>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lo expuesto y fundado, a Ustedes Señores Magistrados, atentamente se les solicita;</w:t>
      </w:r>
    </w:p>
    <w:p w:rsidR="00000000" w:rsidDel="00000000" w:rsidP="00000000" w:rsidRDefault="00000000" w:rsidRPr="00000000" w14:paraId="00000088">
      <w:pPr>
        <w:spacing w:after="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spacing w:after="0" w:line="360" w:lineRule="auto"/>
        <w:ind w:left="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ÚNICO. </w:t>
      </w:r>
      <w:r w:rsidDel="00000000" w:rsidR="00000000" w:rsidRPr="00000000">
        <w:rPr>
          <w:rFonts w:ascii="Arial" w:cs="Arial" w:eastAsia="Arial" w:hAnsi="Arial"/>
          <w:sz w:val="24"/>
          <w:szCs w:val="24"/>
          <w:rtl w:val="0"/>
        </w:rPr>
        <w:t xml:space="preserve">Tener por presentado al Tercero Interesado en los términos del presente escrito interponiendo recurso de revisión en contra de la Sentencia de fecha 18 de noviembre del año 2025.</w:t>
      </w:r>
    </w:p>
    <w:p w:rsidR="00000000" w:rsidDel="00000000" w:rsidP="00000000" w:rsidRDefault="00000000" w:rsidRPr="00000000" w14:paraId="0000008A">
      <w:pPr>
        <w:spacing w:after="0" w:line="36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B">
      <w:pPr>
        <w:spacing w:after="0"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LA PARTE TERCERO INTERESADO PROTESTA LO NECESARIO.</w:t>
      </w:r>
    </w:p>
    <w:p w:rsidR="00000000" w:rsidDel="00000000" w:rsidP="00000000" w:rsidRDefault="00000000" w:rsidRPr="00000000" w14:paraId="0000008C">
      <w:pPr>
        <w:spacing w:after="0" w:line="360" w:lineRule="auto"/>
        <w:ind w:firstLine="70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D">
      <w:pPr>
        <w:spacing w:after="0" w:line="360" w:lineRule="auto"/>
        <w:ind w:firstLine="708"/>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8E">
      <w:pPr>
        <w:spacing w:after="0"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______________________________________</w:t>
      </w:r>
    </w:p>
    <w:p w:rsidR="00000000" w:rsidDel="00000000" w:rsidP="00000000" w:rsidRDefault="00000000" w:rsidRPr="00000000" w14:paraId="0000008F">
      <w:pPr>
        <w:spacing w:after="0"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EDUARDO DE MARTIN ALBOR VILLANUEVA</w:t>
      </w:r>
    </w:p>
    <w:p w:rsidR="00000000" w:rsidDel="00000000" w:rsidP="00000000" w:rsidRDefault="00000000" w:rsidRPr="00000000" w14:paraId="00000090">
      <w:pPr>
        <w:spacing w:after="0"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11 DE DICIEMBRE DE 2025, CANCÚN, QUINTANA ROO.</w:t>
      </w:r>
    </w:p>
    <w:sectPr>
      <w:type w:val="nextPage"/>
      <w:pgSz w:h="18720" w:w="12240" w:orient="portrait"/>
      <w:pgMar w:bottom="1418" w:top="1418" w:left="1701"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notapie">
    <w:name w:val="footnote text"/>
    <w:aliases w:val="Car, Car,Footnote Text Char Char Char Char Char,Footnote Text Char Char Char Char,Footnote reference,FA Fu,Footnote Text Char Char Char,Footnote Text Cha,FA Fußnotentext,FA Fu?notentext,Footnote Text Char Char,FA Fuﬂnotentext,Ca,Car Car C"/>
    <w:basedOn w:val="Normal"/>
    <w:link w:val="TextonotapieCar"/>
    <w:uiPriority w:val="99"/>
    <w:unhideWhenUsed w:val="1"/>
    <w:qFormat w:val="1"/>
    <w:rsid w:val="00587247"/>
    <w:pPr>
      <w:spacing w:after="0" w:line="240" w:lineRule="auto"/>
    </w:pPr>
    <w:rPr>
      <w:sz w:val="20"/>
      <w:szCs w:val="20"/>
    </w:rPr>
  </w:style>
  <w:style w:type="character" w:styleId="TextonotapieCar" w:customStyle="1">
    <w:name w:val="Texto nota pie Car"/>
    <w:aliases w:val="Car Car, Car Car,Footnote Text Char Char Char Char Char Car,Footnote Text Char Char Char Char Car,Footnote reference Car,FA Fu Car,Footnote Text Char Char Char Car,Footnote Text Cha Car,FA Fußnotentext Car,FA Fu?notentext Car,Ca Car"/>
    <w:basedOn w:val="Fuentedeprrafopredeter"/>
    <w:link w:val="Textonotapie"/>
    <w:uiPriority w:val="99"/>
    <w:rsid w:val="00587247"/>
    <w:rPr>
      <w:sz w:val="20"/>
      <w:szCs w:val="20"/>
    </w:rPr>
  </w:style>
  <w:style w:type="character" w:styleId="Refdenotaalpie">
    <w:name w:val="footnote reference"/>
    <w:aliases w:val="Ref. de nota al pie 2,Footnotes refss,Texto de nota al pie,Appel note de bas de page,Footnote number,referencia nota al pie,BVI fnr,f,4_G,16 Point,Superscript 6 Point,Texto nota al pie,ftref,Stinking Styles10,Footnote Reference Char3"/>
    <w:basedOn w:val="Fuentedeprrafopredeter"/>
    <w:uiPriority w:val="99"/>
    <w:unhideWhenUsed w:val="1"/>
    <w:qFormat w:val="1"/>
    <w:rsid w:val="00587247"/>
    <w:rPr>
      <w:vertAlign w:val="superscript"/>
    </w:rPr>
  </w:style>
  <w:style w:type="paragraph" w:styleId="Prrafodelista">
    <w:name w:val="List Paragraph"/>
    <w:aliases w:val="Cita texto,Footnote,List Paragraph1"/>
    <w:basedOn w:val="Normal"/>
    <w:link w:val="PrrafodelistaCar"/>
    <w:uiPriority w:val="34"/>
    <w:qFormat w:val="1"/>
    <w:rsid w:val="00367EAD"/>
    <w:pPr>
      <w:ind w:left="720"/>
      <w:contextualSpacing w:val="1"/>
    </w:pPr>
  </w:style>
  <w:style w:type="character" w:styleId="Ttulo2Car" w:customStyle="1">
    <w:name w:val="Título 2 Car"/>
    <w:basedOn w:val="Fuentedeprrafopredeter"/>
    <w:link w:val="Ttulo2"/>
    <w:uiPriority w:val="9"/>
    <w:rsid w:val="00304837"/>
    <w:rPr>
      <w:rFonts w:asciiTheme="majorHAnsi" w:cstheme="majorBidi" w:eastAsiaTheme="majorEastAsia" w:hAnsiTheme="majorHAnsi"/>
      <w:color w:val="2f5496" w:themeColor="accent1" w:themeShade="0000BF"/>
      <w:sz w:val="26"/>
      <w:szCs w:val="26"/>
    </w:rPr>
  </w:style>
  <w:style w:type="character" w:styleId="Ttulo3Car" w:customStyle="1">
    <w:name w:val="Título 3 Car"/>
    <w:basedOn w:val="Fuentedeprrafopredeter"/>
    <w:link w:val="Ttulo3"/>
    <w:uiPriority w:val="9"/>
    <w:rsid w:val="00304837"/>
    <w:rPr>
      <w:rFonts w:asciiTheme="majorHAnsi" w:cstheme="majorBidi" w:eastAsiaTheme="majorEastAsia" w:hAnsiTheme="majorHAnsi"/>
      <w:color w:val="1f3763" w:themeColor="accent1" w:themeShade="00007F"/>
      <w:sz w:val="24"/>
      <w:szCs w:val="24"/>
    </w:rPr>
  </w:style>
  <w:style w:type="paragraph" w:styleId="Lista2">
    <w:name w:val="List 2"/>
    <w:basedOn w:val="Normal"/>
    <w:uiPriority w:val="99"/>
    <w:unhideWhenUsed w:val="1"/>
    <w:rsid w:val="00304837"/>
    <w:pPr>
      <w:ind w:left="566" w:hanging="283"/>
      <w:contextualSpacing w:val="1"/>
    </w:pPr>
  </w:style>
  <w:style w:type="paragraph" w:styleId="Textoindependiente">
    <w:name w:val="Body Text"/>
    <w:basedOn w:val="Normal"/>
    <w:link w:val="TextoindependienteCar"/>
    <w:uiPriority w:val="99"/>
    <w:unhideWhenUsed w:val="1"/>
    <w:rsid w:val="00304837"/>
    <w:pPr>
      <w:spacing w:after="120"/>
    </w:pPr>
  </w:style>
  <w:style w:type="character" w:styleId="TextoindependienteCar" w:customStyle="1">
    <w:name w:val="Texto independiente Car"/>
    <w:basedOn w:val="Fuentedeprrafopredeter"/>
    <w:link w:val="Textoindependiente"/>
    <w:uiPriority w:val="99"/>
    <w:rsid w:val="00304837"/>
  </w:style>
  <w:style w:type="paragraph" w:styleId="Textoindependienteprimerasangra">
    <w:name w:val="Body Text First Indent"/>
    <w:basedOn w:val="Textoindependiente"/>
    <w:link w:val="TextoindependienteprimerasangraCar"/>
    <w:uiPriority w:val="99"/>
    <w:unhideWhenUsed w:val="1"/>
    <w:rsid w:val="00304837"/>
    <w:pPr>
      <w:spacing w:after="160"/>
      <w:ind w:firstLine="360"/>
    </w:pPr>
  </w:style>
  <w:style w:type="character" w:styleId="TextoindependienteprimerasangraCar" w:customStyle="1">
    <w:name w:val="Texto independiente primera sangría Car"/>
    <w:basedOn w:val="TextoindependienteCar"/>
    <w:link w:val="Textoindependienteprimerasangra"/>
    <w:uiPriority w:val="99"/>
    <w:rsid w:val="00304837"/>
  </w:style>
  <w:style w:type="paragraph" w:styleId="Sangradetextoindependiente">
    <w:name w:val="Body Text Indent"/>
    <w:basedOn w:val="Normal"/>
    <w:link w:val="SangradetextoindependienteCar"/>
    <w:uiPriority w:val="99"/>
    <w:semiHidden w:val="1"/>
    <w:unhideWhenUsed w:val="1"/>
    <w:rsid w:val="00304837"/>
    <w:pPr>
      <w:spacing w:after="120"/>
      <w:ind w:left="283"/>
    </w:pPr>
  </w:style>
  <w:style w:type="character" w:styleId="SangradetextoindependienteCar" w:customStyle="1">
    <w:name w:val="Sangría de texto independiente Car"/>
    <w:basedOn w:val="Fuentedeprrafopredeter"/>
    <w:link w:val="Sangradetextoindependiente"/>
    <w:uiPriority w:val="99"/>
    <w:semiHidden w:val="1"/>
    <w:rsid w:val="00304837"/>
  </w:style>
  <w:style w:type="paragraph" w:styleId="Textoindependienteprimerasangra2">
    <w:name w:val="Body Text First Indent 2"/>
    <w:basedOn w:val="Sangradetextoindependiente"/>
    <w:link w:val="Textoindependienteprimerasangra2Car"/>
    <w:uiPriority w:val="99"/>
    <w:unhideWhenUsed w:val="1"/>
    <w:rsid w:val="00304837"/>
    <w:pPr>
      <w:spacing w:after="160"/>
      <w:ind w:left="360" w:firstLine="360"/>
    </w:pPr>
  </w:style>
  <w:style w:type="character" w:styleId="Textoindependienteprimerasangra2Car" w:customStyle="1">
    <w:name w:val="Texto independiente primera sangría 2 Car"/>
    <w:basedOn w:val="SangradetextoindependienteCar"/>
    <w:link w:val="Textoindependienteprimerasangra2"/>
    <w:uiPriority w:val="99"/>
    <w:rsid w:val="00304837"/>
  </w:style>
  <w:style w:type="paragraph" w:styleId="Encabezado">
    <w:name w:val="header"/>
    <w:basedOn w:val="Normal"/>
    <w:link w:val="EncabezadoCar"/>
    <w:uiPriority w:val="99"/>
    <w:unhideWhenUsed w:val="1"/>
    <w:rsid w:val="00AE7C57"/>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AE7C57"/>
  </w:style>
  <w:style w:type="paragraph" w:styleId="Piedepgina">
    <w:name w:val="footer"/>
    <w:basedOn w:val="Normal"/>
    <w:link w:val="PiedepginaCar"/>
    <w:uiPriority w:val="99"/>
    <w:unhideWhenUsed w:val="1"/>
    <w:rsid w:val="00AE7C57"/>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AE7C57"/>
  </w:style>
  <w:style w:type="character" w:styleId="EstiloCar" w:customStyle="1">
    <w:name w:val="Estilo Car"/>
    <w:basedOn w:val="Fuentedeprrafopredeter"/>
    <w:link w:val="Estilo"/>
    <w:locked w:val="1"/>
    <w:rsid w:val="0013114F"/>
    <w:rPr>
      <w:rFonts w:ascii="Arial" w:cs="Arial" w:hAnsi="Arial"/>
      <w:sz w:val="24"/>
    </w:rPr>
  </w:style>
  <w:style w:type="paragraph" w:styleId="Estilo" w:customStyle="1">
    <w:name w:val="Estilo"/>
    <w:basedOn w:val="Sinespaciado"/>
    <w:link w:val="EstiloCar"/>
    <w:qFormat w:val="1"/>
    <w:rsid w:val="0013114F"/>
    <w:pPr>
      <w:jc w:val="both"/>
    </w:pPr>
    <w:rPr>
      <w:rFonts w:ascii="Arial" w:cs="Arial" w:hAnsi="Arial"/>
      <w:sz w:val="24"/>
    </w:rPr>
  </w:style>
  <w:style w:type="paragraph" w:styleId="Sinespaciado">
    <w:name w:val="No Spacing"/>
    <w:uiPriority w:val="1"/>
    <w:qFormat w:val="1"/>
    <w:rsid w:val="0013114F"/>
    <w:pPr>
      <w:spacing w:after="0" w:line="240" w:lineRule="auto"/>
    </w:pPr>
  </w:style>
  <w:style w:type="paragraph" w:styleId="corte4fondo" w:customStyle="1">
    <w:name w:val="corte4 fondo"/>
    <w:basedOn w:val="Normal"/>
    <w:link w:val="corte4fondoCar1"/>
    <w:qFormat w:val="1"/>
    <w:rsid w:val="00DB08EF"/>
    <w:pPr>
      <w:spacing w:after="0" w:line="360" w:lineRule="auto"/>
      <w:ind w:firstLine="709"/>
      <w:jc w:val="both"/>
    </w:pPr>
    <w:rPr>
      <w:rFonts w:ascii="Arial" w:cs="Times New Roman" w:eastAsia="Times New Roman" w:hAnsi="Arial"/>
      <w:sz w:val="30"/>
      <w:szCs w:val="24"/>
      <w:lang w:eastAsia="es-MX" w:val="es-ES_tradnl"/>
    </w:rPr>
  </w:style>
  <w:style w:type="character" w:styleId="corte4fondoCar1" w:customStyle="1">
    <w:name w:val="corte4 fondo Car1"/>
    <w:link w:val="corte4fondo"/>
    <w:rsid w:val="00DB08EF"/>
    <w:rPr>
      <w:rFonts w:ascii="Arial" w:cs="Times New Roman" w:eastAsia="Times New Roman" w:hAnsi="Arial"/>
      <w:sz w:val="30"/>
      <w:szCs w:val="24"/>
      <w:lang w:eastAsia="es-MX" w:val="es-ES_tradnl"/>
    </w:rPr>
  </w:style>
  <w:style w:type="character" w:styleId="Hipervnculo">
    <w:name w:val="Hyperlink"/>
    <w:basedOn w:val="Fuentedeprrafopredeter"/>
    <w:uiPriority w:val="99"/>
    <w:unhideWhenUsed w:val="1"/>
    <w:rsid w:val="002E3533"/>
    <w:rPr>
      <w:color w:val="0563c1" w:themeColor="hyperlink"/>
      <w:u w:val="single"/>
    </w:rPr>
  </w:style>
  <w:style w:type="character" w:styleId="PrrafodelistaCar" w:customStyle="1">
    <w:name w:val="Párrafo de lista Car"/>
    <w:aliases w:val="Cita texto Car,Footnote Car,List Paragraph1 Car"/>
    <w:link w:val="Prrafodelista"/>
    <w:uiPriority w:val="34"/>
    <w:locked w:val="1"/>
    <w:rsid w:val="002E3533"/>
  </w:style>
  <w:style w:type="character" w:styleId="Ninguno" w:customStyle="1">
    <w:name w:val="Ninguno"/>
    <w:rsid w:val="003839AF"/>
  </w:style>
  <w:style w:type="character" w:styleId="Mencinsinresolver">
    <w:name w:val="Unresolved Mention"/>
    <w:basedOn w:val="Fuentedeprrafopredeter"/>
    <w:uiPriority w:val="99"/>
    <w:semiHidden w:val="1"/>
    <w:unhideWhenUsed w:val="1"/>
    <w:rsid w:val="003839AF"/>
    <w:rPr>
      <w:color w:val="605e5c"/>
      <w:shd w:color="auto" w:fill="e1dfdd" w:val="clear"/>
    </w:rPr>
  </w:style>
  <w:style w:type="character" w:styleId="Hipervnculovisitado">
    <w:name w:val="FollowedHyperlink"/>
    <w:basedOn w:val="Fuentedeprrafopredeter"/>
    <w:uiPriority w:val="99"/>
    <w:semiHidden w:val="1"/>
    <w:unhideWhenUsed w:val="1"/>
    <w:rsid w:val="003839AF"/>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notificaciones@cejum.com" TargetMode="External"/><Relationship Id="rId10" Type="http://schemas.openxmlformats.org/officeDocument/2006/relationships/hyperlink" Target="mailto:pegueros@hotmail.com" TargetMode="External"/><Relationship Id="rId12" Type="http://schemas.openxmlformats.org/officeDocument/2006/relationships/hyperlink" Target="http://agravios.te" TargetMode="External"/><Relationship Id="rId9" Type="http://schemas.openxmlformats.org/officeDocument/2006/relationships/hyperlink" Target="mailto:marceomis@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hyperlink" Target="mailto:rmartin_arjona@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JneA1/wNi/Xiz6ez3ihNNtw66A==">CgMxLjAyDmgueW1hZzhnbnZhejJyMg5oLm40MG9kNmtxbzV5YzIOaC5leWRyenVlYXUxNjc4AHIhMVo0N0IzMmg3ZzBzYWRKbnN1YmdrR3FONW0zeE43b0hC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2023-03-15T16:56:00Z</dcterms:created>
  <dc:creator>Emmanuel Rosales</dc:creator>
</cp:coreProperties>
</file>