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4240" w:firstLine="0"/>
        <w:jc w:val="both"/>
        <w:rPr>
          <w:b w:val="1"/>
          <w:bCs w:val="1"/>
        </w:rPr>
      </w:pPr>
      <w:r w:rsidDel="00000000" w:rsidR="00000000" w:rsidRPr="00000000">
        <w:rPr>
          <w:b w:val="1"/>
          <w:bCs w:val="1"/>
          <w:rtl w:val="0"/>
        </w:rPr>
        <w:t xml:space="preserve">AMPARO INDIRECTO: 921/2025</w:t>
      </w:r>
    </w:p>
    <w:p w:rsidR="00000000" w:rsidDel="00000000" w:rsidP="00000000" w:rsidRDefault="00000000" w:rsidRPr="00000000" w14:paraId="00000002">
      <w:pPr>
        <w:spacing w:after="240" w:before="240" w:line="276" w:lineRule="auto"/>
        <w:ind w:left="4240" w:firstLine="0"/>
        <w:jc w:val="both"/>
        <w:rPr>
          <w:b w:val="1"/>
          <w:bCs w:val="1"/>
        </w:rPr>
      </w:pPr>
      <w:r w:rsidDel="00000000" w:rsidR="00000000" w:rsidRPr="00000000">
        <w:rPr>
          <w:b w:val="1"/>
          <w:bCs w:val="1"/>
          <w:rtl w:val="0"/>
        </w:rPr>
        <w:t xml:space="preserve">QUEJOSO: FIDEL ARTURO LADRON DE GUEVARA BRAVO.</w:t>
      </w:r>
    </w:p>
    <w:p w:rsidR="00000000" w:rsidDel="00000000" w:rsidP="00000000" w:rsidRDefault="00000000" w:rsidRPr="00000000" w14:paraId="00000003">
      <w:pPr>
        <w:spacing w:after="240" w:before="240" w:line="276" w:lineRule="auto"/>
        <w:ind w:left="4240" w:firstLine="0"/>
        <w:jc w:val="both"/>
        <w:rPr>
          <w:b w:val="1"/>
          <w:bCs w:val="1"/>
        </w:rPr>
      </w:pPr>
      <w:r w:rsidDel="00000000" w:rsidR="00000000" w:rsidRPr="00000000">
        <w:rPr>
          <w:b w:val="1"/>
          <w:bCs w:val="1"/>
          <w:rtl w:val="0"/>
        </w:rPr>
        <w:t xml:space="preserve">ASUNTO: SE PRESENTAN ALEGATOS.</w:t>
      </w:r>
    </w:p>
    <w:p w:rsidR="00000000" w:rsidDel="00000000" w:rsidP="00000000" w:rsidRDefault="00000000" w:rsidRPr="00000000" w14:paraId="00000004">
      <w:pPr>
        <w:spacing w:after="240" w:before="240" w:line="276" w:lineRule="auto"/>
        <w:ind w:left="4240" w:firstLine="0"/>
        <w:jc w:val="both"/>
        <w:rPr>
          <w:b w:val="1"/>
          <w:bCs w:val="1"/>
        </w:rPr>
      </w:pPr>
      <w:r w:rsidDel="00000000" w:rsidR="00000000" w:rsidRPr="00000000">
        <w:rPr>
          <w:rtl w:val="0"/>
        </w:rPr>
      </w:r>
    </w:p>
    <w:p w:rsidR="00000000" w:rsidDel="00000000" w:rsidP="00000000" w:rsidRDefault="00000000" w:rsidRPr="00000000" w14:paraId="00000005">
      <w:pPr>
        <w:spacing w:before="240" w:line="276" w:lineRule="auto"/>
        <w:jc w:val="both"/>
        <w:rPr>
          <w:b w:val="1"/>
          <w:bCs w:val="1"/>
        </w:rPr>
      </w:pPr>
      <w:r w:rsidDel="00000000" w:rsidR="00000000" w:rsidRPr="00000000">
        <w:rPr>
          <w:b w:val="1"/>
          <w:bCs w:val="1"/>
          <w:rtl w:val="0"/>
        </w:rPr>
        <w:t xml:space="preserve">C. JUEZ CUARTO DE DISTRITO CON SEDE EN LA CIUDAD DE CANCÚN, EN EL ESTADO DE QUINTANA ROO</w:t>
      </w:r>
    </w:p>
    <w:p w:rsidR="00000000" w:rsidDel="00000000" w:rsidP="00000000" w:rsidRDefault="00000000" w:rsidRPr="00000000" w14:paraId="00000006">
      <w:pPr>
        <w:spacing w:before="240" w:line="276" w:lineRule="auto"/>
        <w:jc w:val="both"/>
        <w:rPr>
          <w:b w:val="1"/>
          <w:bCs w:val="1"/>
        </w:rPr>
      </w:pPr>
      <w:r w:rsidDel="00000000" w:rsidR="00000000" w:rsidRPr="00000000">
        <w:rPr>
          <w:b w:val="1"/>
          <w:bCs w:val="1"/>
          <w:rtl w:val="0"/>
        </w:rPr>
        <w:t xml:space="preserve">P R E S E N T E</w:t>
      </w:r>
    </w:p>
    <w:p w:rsidR="00000000" w:rsidDel="00000000" w:rsidP="00000000" w:rsidRDefault="00000000" w:rsidRPr="00000000" w14:paraId="00000007">
      <w:pPr>
        <w:spacing w:before="240" w:line="276" w:lineRule="auto"/>
        <w:jc w:val="both"/>
        <w:rPr/>
      </w:pPr>
      <w:r w:rsidDel="00000000" w:rsidR="00000000" w:rsidRPr="00000000">
        <w:rPr>
          <w:b w:val="1"/>
          <w:bCs w:val="1"/>
          <w:rtl w:val="0"/>
        </w:rPr>
        <w:t xml:space="preserve">FIDEL ARTURO LADRON DE GUEVARA BRAVO, </w:t>
      </w:r>
      <w:r w:rsidDel="00000000" w:rsidR="00000000" w:rsidRPr="00000000">
        <w:rPr>
          <w:rtl w:val="0"/>
        </w:rPr>
        <w:t xml:space="preserve">en mi carácter de quejoso dentro del juicio de amparo señalado en el rubro de arriba, con el debido respeto comparezco para exponer lo siguiente:</w:t>
      </w:r>
    </w:p>
    <w:p w:rsidR="00000000" w:rsidDel="00000000" w:rsidP="00000000" w:rsidRDefault="00000000" w:rsidRPr="00000000" w14:paraId="00000008">
      <w:pPr>
        <w:spacing w:before="240" w:line="276" w:lineRule="auto"/>
        <w:jc w:val="center"/>
        <w:rPr>
          <w:b w:val="1"/>
          <w:bCs w:val="1"/>
        </w:rPr>
      </w:pPr>
      <w:r w:rsidDel="00000000" w:rsidR="00000000" w:rsidRPr="00000000">
        <w:rPr>
          <w:b w:val="1"/>
          <w:bCs w:val="1"/>
          <w:rtl w:val="0"/>
        </w:rPr>
        <w:t xml:space="preserve">PRETENSIÓN</w:t>
      </w:r>
    </w:p>
    <w:p w:rsidR="00000000" w:rsidDel="00000000" w:rsidP="00000000" w:rsidRDefault="00000000" w:rsidRPr="00000000" w14:paraId="00000009">
      <w:pPr>
        <w:spacing w:before="240" w:line="276" w:lineRule="auto"/>
        <w:jc w:val="both"/>
        <w:rPr/>
      </w:pPr>
      <w:r w:rsidDel="00000000" w:rsidR="00000000" w:rsidRPr="00000000">
        <w:rPr>
          <w:rtl w:val="0"/>
        </w:rPr>
        <w:t xml:space="preserve">Por medio del presente ocurso, vengo a formular alegatos en relación los escritos presentados por que ahorita se ostenta como de Tercero Interesado el Ciudadano Miguel Angel Hernandez Morales, en su carácter de Apoderado Legal de EJECUTIVOS DE TURISMO SUSTENTABLE S.A DE C.V., y la Autoridad Responsable el Juez Décimo Civil de Proceso Escrito de la Ciudad de México, y se hace notar que se solicita que se tomen en cuenta las manifestaciones que se realizan en este presente ocurso para la determinación de la Sentencia Definitiva y con fundamento en el artículo 8 de la Constitución de la República y así mismo se solicita que con fundamento en el artículo 262 Fraccion II, se inicie la carpeta de investigación correspondiente por el delito que señala la citada norma federal, toda vez, que es un hecho notorio que el tercero interesado presentó documentos falsos.</w:t>
      </w:r>
    </w:p>
    <w:p w:rsidR="00000000" w:rsidDel="00000000" w:rsidP="00000000" w:rsidRDefault="00000000" w:rsidRPr="00000000" w14:paraId="0000000A">
      <w:pPr>
        <w:spacing w:before="240" w:line="276" w:lineRule="auto"/>
        <w:ind w:left="720" w:firstLine="0"/>
        <w:jc w:val="center"/>
        <w:rPr>
          <w:b w:val="1"/>
          <w:bCs w:val="1"/>
        </w:rPr>
      </w:pPr>
      <w:r w:rsidDel="00000000" w:rsidR="00000000" w:rsidRPr="00000000">
        <w:rPr>
          <w:b w:val="1"/>
          <w:bCs w:val="1"/>
          <w:rtl w:val="0"/>
        </w:rPr>
        <w:t xml:space="preserve">ANTECEDENTES</w:t>
      </w:r>
    </w:p>
    <w:p w:rsidR="00000000" w:rsidDel="00000000" w:rsidP="00000000" w:rsidRDefault="00000000" w:rsidRPr="00000000" w14:paraId="0000000B">
      <w:pPr>
        <w:numPr>
          <w:ilvl w:val="0"/>
          <w:numId w:val="1"/>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 fecha 19 de septiembre de 2025 se presentó un juicio de amparo promovido contra actos emitidos por este Juzgado derivado de un auto donde ordenó lo siguiente: </w:t>
      </w:r>
    </w:p>
    <w:p w:rsidR="00000000" w:rsidDel="00000000" w:rsidP="00000000" w:rsidRDefault="00000000" w:rsidRPr="00000000" w14:paraId="0000000C">
      <w:pPr>
        <w:spacing w:after="0" w:before="240" w:line="276" w:lineRule="auto"/>
        <w:ind w:left="2160" w:firstLine="0"/>
        <w:jc w:val="both"/>
        <w:rPr>
          <w:sz w:val="14"/>
          <w:szCs w:val="14"/>
        </w:rPr>
      </w:pPr>
      <w:r w:rsidDel="00000000" w:rsidR="00000000" w:rsidRPr="00000000">
        <w:rPr>
          <w:rFonts w:ascii="Arial" w:cs="Arial" w:eastAsia="Arial" w:hAnsi="Arial"/>
          <w:b w:val="1"/>
          <w:bCs w:val="1"/>
          <w:i w:val="1"/>
          <w:iCs w:val="1"/>
          <w:sz w:val="18"/>
          <w:szCs w:val="18"/>
          <w:rtl w:val="0"/>
        </w:rPr>
        <w:t xml:space="preserve">“(i) </w:t>
      </w:r>
      <w:r w:rsidDel="00000000" w:rsidR="00000000" w:rsidRPr="00000000">
        <w:rPr>
          <w:rFonts w:ascii="Arial" w:cs="Arial" w:eastAsia="Arial" w:hAnsi="Arial"/>
          <w:i w:val="1"/>
          <w:iCs w:val="1"/>
          <w:sz w:val="18"/>
          <w:szCs w:val="18"/>
          <w:rtl w:val="0"/>
        </w:rPr>
        <w:t xml:space="preserve">la reinstalación inmediata de la Supuesta Nueva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Administración en la posesión y control del inmueble “Nizuc”,</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propiedad de la empresa Ejecutivos de Turismo Sustentable;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i w:val="1"/>
          <w:iCs w:val="1"/>
          <w:sz w:val="18"/>
          <w:szCs w:val="18"/>
          <w:rtl w:val="0"/>
        </w:rPr>
        <w:t xml:space="preserve">(ii)</w:t>
      </w:r>
      <w:r w:rsidDel="00000000" w:rsidR="00000000" w:rsidRPr="00000000">
        <w:rPr>
          <w:rFonts w:ascii="Arial" w:cs="Arial" w:eastAsia="Arial" w:hAnsi="Arial"/>
          <w:i w:val="1"/>
          <w:iCs w:val="1"/>
          <w:sz w:val="18"/>
          <w:szCs w:val="18"/>
          <w:rtl w:val="0"/>
        </w:rPr>
        <w:t xml:space="preserve"> la suspensión de los efectos de cualquier contrato de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operación, arrendamiento o similar celebrado entre</w:t>
      </w:r>
      <w:r w:rsidDel="00000000" w:rsidR="00000000" w:rsidRPr="00000000">
        <w:rPr>
          <w:rFonts w:ascii="Arial" w:cs="Arial" w:eastAsia="Arial" w:hAnsi="Arial"/>
          <w:sz w:val="18"/>
          <w:szCs w:val="18"/>
          <w:rtl w:val="0"/>
        </w:rPr>
        <w:t xml:space="preserve"> c</w:t>
      </w:r>
      <w:r w:rsidDel="00000000" w:rsidR="00000000" w:rsidRPr="00000000">
        <w:rPr>
          <w:rFonts w:ascii="Arial" w:cs="Arial" w:eastAsia="Arial" w:hAnsi="Arial"/>
          <w:i w:val="1"/>
          <w:iCs w:val="1"/>
          <w:sz w:val="18"/>
          <w:szCs w:val="18"/>
          <w:rtl w:val="0"/>
        </w:rPr>
        <w:t xml:space="preserve">ualquiera de las empresas que integran el Grupo Dolphin y</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Proyectos Ejecutivos Sustentables; y </w:t>
      </w:r>
      <w:r w:rsidDel="00000000" w:rsidR="00000000" w:rsidRPr="00000000">
        <w:rPr>
          <w:rFonts w:ascii="Arial" w:cs="Arial" w:eastAsia="Arial" w:hAnsi="Arial"/>
          <w:b w:val="1"/>
          <w:bCs w:val="1"/>
          <w:i w:val="1"/>
          <w:iCs w:val="1"/>
          <w:sz w:val="18"/>
          <w:szCs w:val="18"/>
          <w:rtl w:val="0"/>
        </w:rPr>
        <w:t xml:space="preserve">(iii)</w:t>
      </w:r>
      <w:r w:rsidDel="00000000" w:rsidR="00000000" w:rsidRPr="00000000">
        <w:rPr>
          <w:rFonts w:ascii="Arial" w:cs="Arial" w:eastAsia="Arial" w:hAnsi="Arial"/>
          <w:i w:val="1"/>
          <w:iCs w:val="1"/>
          <w:sz w:val="18"/>
          <w:szCs w:val="18"/>
          <w:rtl w:val="0"/>
        </w:rPr>
        <w:t xml:space="preserve"> la suspensión de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los poderes otorgados al Señor Fidel Ladrón de Guevara,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con los que representa a PES en cualquier acto relacionado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con las empresas que integran el Grupo Dolphin, hasta en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tanto se resuelva en definitiva el juicio. Para tal efecto, se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deja libertad de jurisdicción al Juez de Cancún a fin de dar</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cabal cumplimiento a lo ordenado en el proveído de 28 de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i w:val="1"/>
          <w:iCs w:val="1"/>
          <w:sz w:val="18"/>
          <w:szCs w:val="18"/>
          <w:rtl w:val="0"/>
        </w:rPr>
        <w:t xml:space="preserve">agosto de 2025 dictado por el Juez de la CDMX.”</w:t>
      </w:r>
      <w:r w:rsidDel="00000000" w:rsidR="00000000" w:rsidRPr="00000000">
        <w:rPr>
          <w:rtl w:val="0"/>
        </w:rPr>
      </w:r>
    </w:p>
    <w:p w:rsidR="00000000" w:rsidDel="00000000" w:rsidP="00000000" w:rsidRDefault="00000000" w:rsidRPr="00000000" w14:paraId="0000000D">
      <w:pPr>
        <w:numPr>
          <w:ilvl w:val="0"/>
          <w:numId w:val="1"/>
        </w:numPr>
        <w:spacing w:after="0" w:before="240" w:line="276" w:lineRule="auto"/>
        <w:ind w:left="720" w:hanging="360"/>
        <w:jc w:val="both"/>
        <w:rPr>
          <w:u w:val="none"/>
        </w:rPr>
      </w:pPr>
      <w:r w:rsidDel="00000000" w:rsidR="00000000" w:rsidRPr="00000000">
        <w:rPr>
          <w:rtl w:val="0"/>
        </w:rPr>
        <w:t xml:space="preserve">E</w:t>
      </w:r>
      <w:r w:rsidDel="00000000" w:rsidR="00000000" w:rsidRPr="00000000">
        <w:rPr>
          <w:rtl w:val="0"/>
        </w:rPr>
        <w:t xml:space="preserve">n fecha 22 de septiembre de 2025 se admitió la demanda de amparo.</w:t>
      </w:r>
    </w:p>
    <w:p w:rsidR="00000000" w:rsidDel="00000000" w:rsidP="00000000" w:rsidRDefault="00000000" w:rsidRPr="00000000" w14:paraId="0000000E">
      <w:pPr>
        <w:spacing w:after="0" w:before="240" w:line="276" w:lineRule="auto"/>
        <w:ind w:left="0" w:firstLine="0"/>
        <w:jc w:val="both"/>
        <w:rPr/>
      </w:pPr>
      <w:r w:rsidDel="00000000" w:rsidR="00000000" w:rsidRPr="00000000">
        <w:rPr>
          <w:rtl w:val="0"/>
        </w:rPr>
      </w:r>
    </w:p>
    <w:p w:rsidR="00000000" w:rsidDel="00000000" w:rsidP="00000000" w:rsidRDefault="00000000" w:rsidRPr="00000000" w14:paraId="0000000F">
      <w:pPr>
        <w:spacing w:before="240" w:line="276" w:lineRule="auto"/>
        <w:jc w:val="center"/>
        <w:rPr>
          <w:b w:val="1"/>
          <w:bCs w:val="1"/>
        </w:rPr>
      </w:pPr>
      <w:r w:rsidDel="00000000" w:rsidR="00000000" w:rsidRPr="00000000">
        <w:rPr>
          <w:b w:val="1"/>
          <w:bCs w:val="1"/>
          <w:rtl w:val="0"/>
        </w:rPr>
        <w:t xml:space="preserve">EXPONGO</w:t>
      </w:r>
    </w:p>
    <w:p w:rsidR="00000000" w:rsidDel="00000000" w:rsidP="00000000" w:rsidRDefault="00000000" w:rsidRPr="00000000" w14:paraId="00000010">
      <w:pPr>
        <w:spacing w:before="240" w:line="276" w:lineRule="auto"/>
        <w:jc w:val="both"/>
        <w:rPr>
          <w:b w:val="1"/>
          <w:bCs w:val="1"/>
        </w:rPr>
      </w:pPr>
      <w:r w:rsidDel="00000000" w:rsidR="00000000" w:rsidRPr="00000000">
        <w:rPr>
          <w:b w:val="1"/>
          <w:bCs w:val="1"/>
          <w:rtl w:val="0"/>
        </w:rPr>
        <w:t xml:space="preserve">PRIMERO EXPONGO.- LA AFECTACIÓN CONSTITUCIONAL ES LA DESPOSESIÓN DEL INMUEBLE, NO EL CONTRATO</w:t>
      </w:r>
    </w:p>
    <w:p w:rsidR="00000000" w:rsidDel="00000000" w:rsidP="00000000" w:rsidRDefault="00000000" w:rsidRPr="00000000" w14:paraId="00000011">
      <w:pPr>
        <w:spacing w:before="240" w:line="276" w:lineRule="auto"/>
        <w:jc w:val="both"/>
        <w:rPr/>
      </w:pPr>
      <w:r w:rsidDel="00000000" w:rsidR="00000000" w:rsidRPr="00000000">
        <w:rPr>
          <w:b w:val="1"/>
          <w:bCs w:val="1"/>
          <w:rtl w:val="0"/>
        </w:rPr>
        <w:t xml:space="preserve">PRIMER REFUTATIO.- </w:t>
      </w:r>
      <w:r w:rsidDel="00000000" w:rsidR="00000000" w:rsidRPr="00000000">
        <w:rPr>
          <w:rtl w:val="0"/>
        </w:rPr>
        <w:t xml:space="preserve">Resulta jurídicamente inexacto y procesalmente manipulado que se intente reducir la materia de este juicio de amparo al análisis de la existencia, validez o terminación de un contrato civil, cuando lo que verdaderamente se está ejecutando es una orden material de entrega del inmueble, con capacidad real y directa de privar al quejoso de la posesión física del bien que legítimamente detenta. El acto reclamado no es, ni ha sido nunca, una controversia contractual, sino un mandato judicial emitido por una autoridad diversa (el Juez Décimo Civil del Proceso Escrito de la Ciudad de México) que pretende ejecutar un despojo bajo apariencia de legalidad. Este tipo de actos, cuando derivan en la privación efectiva de la posesión, son por naturaleza actos de imposible reparación, debido a que alteran el estado material de las cosas y colocan al gobernado en una situación jurídicamente irreversible. La intervención de un juez ajeno a la jurisdicción territorial, material y administrativa del inmueble, mediante órdenes que tienen como único resultado la pérdida del control físico del bien, no puede ser normalizada como un simple efecto contractual, pues convierte lo civil en una herramienta de coerción material.</w:t>
      </w:r>
    </w:p>
    <w:p w:rsidR="00000000" w:rsidDel="00000000" w:rsidP="00000000" w:rsidRDefault="00000000" w:rsidRPr="00000000" w14:paraId="00000012">
      <w:pPr>
        <w:spacing w:after="240" w:before="240" w:line="276" w:lineRule="auto"/>
        <w:jc w:val="both"/>
        <w:rPr/>
      </w:pPr>
      <w:r w:rsidDel="00000000" w:rsidR="00000000" w:rsidRPr="00000000">
        <w:rPr>
          <w:rtl w:val="0"/>
        </w:rPr>
        <w:t xml:space="preserve">El contrato es únicamente el pretexto narrativo que pretende justificar la ejecución del despojo, pero el agravio constitucional se genera desde el momento en que una autoridad ordena la entrega del inmueble, sin considerar derechos reales, situaciones administrativas, dominio operativo y posesión reconocida por una autoridad federal. El Juzgado de Distrito está llamado a analizar la realidad jurídica del acto ejecutado, no la apariencia contractual con la que se reviste.</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El acto reclamado es, de manera clara, la orden judicial de desposesión material del inmueble, emitida por una autoridad distinta a la competente territorialmente y dirigida a entregar físicamente el bien a un ente cuya existencia ni siquiera ha sido acreditada. La esencia de la afectación no reside en la validez de un contrato, sino en la ejecución de un acto de fuerza pública que desplazaría al quejoso del inmueble, alterando su estabilidad jurídica, operativa y ambiental. Es constitucionalmente irrelevante, para efectos de la suspensión y de la materia del amparo, si en un proceso civil alguien exhibe un “contrato”, un “convenio de terminación” o cualquier otra especie documental, pues el artículo 107 de la Constitución y la Ley de Amparo son clarísimos: lo que se protege es la posesión, la integridad material del bien y la continuidad de la situación fáctica existente al momento de presentarse el juicio. La posesión, como derecho real, existe por sí misma, con plena autonomía respecto del contrato que la originó, pues constituye una manifestación jurídica autónoma, protegida por el orden constitucional, que produce efectos, genera derechos y es oponible incluso frente al propietario cuando esta se ejerce de forma legítima, pública y pacífica. En este caso, la posesión no solo ha sido continua e ininterrumpida, sino que ha sido expresamente reconocida por autoridades federales administrativas como SEMARNAT y PROFEPA, quienes han intervenido directamente en el inmueble, han inspeccionado, asegurado y autorizado su operación. Incluso si el contrato llegará a discutirse en otra sede (lo cual no corresponde al juez de amparo) esa discusión jamás podría justificar la consumación de un despojo bajo apariencia formal. La desposesión es el acto reclamado porque altera el estado de hecho, afecta directamente a quien detenta la posesión, y genera un daño que no podría repararse aunque la sentencia de amparo fuera favorable. Es claro que el tercero interesado busca desplazar la discusión del ámbito constitucional al ámbito contractual, porque solo así puede ocultar que lo que está provocando es un despojo judicialmente asistido, cuyo beneficiario carece de personalidad jurídica, carece de legitimación ambiental y carece de reconocimiento estatal.</w:t>
      </w:r>
    </w:p>
    <w:p w:rsidR="00000000" w:rsidDel="00000000" w:rsidP="00000000" w:rsidRDefault="00000000" w:rsidRPr="00000000" w14:paraId="00000014">
      <w:pPr>
        <w:spacing w:after="240" w:before="240" w:line="276" w:lineRule="auto"/>
        <w:jc w:val="both"/>
        <w:rPr/>
      </w:pPr>
      <w:r w:rsidDel="00000000" w:rsidR="00000000" w:rsidRPr="00000000">
        <w:rPr>
          <w:rtl w:val="0"/>
        </w:rPr>
        <w:t xml:space="preserve">Dejar que el debate gire en torno al contrato sería ignorar la verdadera vulneración: la intención de una autoridad judicial local de usar una orden de entrega como instrumento para alterar un estado de posesión protegido por la autoridad federal ambiental, por actos administrativos vigentes y por inspecciones que confirman la operación continua a cargo de Proyectos Ejecutivos Sustentables, S.A. de C.V.</w:t>
      </w:r>
    </w:p>
    <w:p w:rsidR="00000000" w:rsidDel="00000000" w:rsidP="00000000" w:rsidRDefault="00000000" w:rsidRPr="00000000" w14:paraId="00000015">
      <w:pPr>
        <w:spacing w:after="240" w:before="240" w:line="276" w:lineRule="auto"/>
        <w:jc w:val="both"/>
        <w:rPr/>
      </w:pPr>
      <w:r w:rsidDel="00000000" w:rsidR="00000000" w:rsidRPr="00000000">
        <w:rPr>
          <w:rtl w:val="0"/>
        </w:rPr>
        <w:t xml:space="preserve">Por ello, el único acto reclamado real y jurídicamente relevante es la desposesión, ya que es un acto consumativo de consecuencias irreversibles. El desplazamiento físico de quien ocupa legítimamente un inmueble no puede repararse con mera restitución monetaria, ni subsanarse con resoluciones tardías. El momento de la entrega material del inmueble implica la pérdida inmediata de control, operación, acceso y custodia, colocando al afectado en estado de indefensión práctica. Esta naturaleza irreversible del acto es precisamente la que obliga constitucionalmente a la concesión de la suspensión, pues su finalidad es impedir que el proceso constitucional se torne inútil por ejecución anticipada del agravio, la cual fue negada dentro del cuadernillo incidental</w:t>
      </w:r>
    </w:p>
    <w:p w:rsidR="00000000" w:rsidDel="00000000" w:rsidP="00000000" w:rsidRDefault="00000000" w:rsidRPr="00000000" w14:paraId="00000016">
      <w:pPr>
        <w:spacing w:after="240" w:before="240" w:line="276" w:lineRule="auto"/>
        <w:jc w:val="both"/>
        <w:rPr/>
      </w:pPr>
      <w:r w:rsidDel="00000000" w:rsidR="00000000" w:rsidRPr="00000000">
        <w:rPr>
          <w:rtl w:val="0"/>
        </w:rPr>
        <w:t xml:space="preserve">En ese sentido, trivializar este acto como un simple desacuerdo civil desactiva indebidamente las garantías constitucionales y normaliza el abuso de la jurisdicción como mecanismo de expulsión material.</w:t>
      </w:r>
    </w:p>
    <w:p w:rsidR="00000000" w:rsidDel="00000000" w:rsidP="00000000" w:rsidRDefault="00000000" w:rsidRPr="00000000" w14:paraId="00000017">
      <w:pPr>
        <w:spacing w:before="240" w:line="276" w:lineRule="auto"/>
        <w:jc w:val="both"/>
        <w:rPr/>
      </w:pPr>
      <w:r w:rsidDel="00000000" w:rsidR="00000000" w:rsidRPr="00000000">
        <w:rPr>
          <w:b w:val="1"/>
          <w:bCs w:val="1"/>
          <w:rtl w:val="0"/>
        </w:rPr>
        <w:t xml:space="preserve">SEGUNDA REFUTATIO.- </w:t>
      </w:r>
      <w:r w:rsidDel="00000000" w:rsidR="00000000" w:rsidRPr="00000000">
        <w:rPr>
          <w:rtl w:val="0"/>
        </w:rPr>
        <w:t xml:space="preserve">Uno de los elementos más graves del acto reclamado consiste en que el inmueble se ordena entregar a un sujeto que no ha acreditado su existencia jurídica, ni su personalidad, ni su representación legal: el denominado “Grupo Dolphin”. En derecho mexicano, una persona moral sólo puede existir si se encuentra debidamente constituida ante fedatario público, inscrita en los registros correspondientes y legalmente identificable como sujeto de derechos y obligaciones. Ninguna de estas condiciones se cumple respecto de la figura llamada “Grupo Dolphin”. No existe acta constitutiva, no existe inscripción en RPC, no existe RFC, no existen representantes debidamente acreditados. Pretender que una autoridad jurisdiccional entregue un inmueble a un ente inexistente equivale jurídicamente a una orden dirigida al vacío.</w:t>
      </w:r>
    </w:p>
    <w:p w:rsidR="00000000" w:rsidDel="00000000" w:rsidP="00000000" w:rsidRDefault="00000000" w:rsidRPr="00000000" w14:paraId="00000018">
      <w:pPr>
        <w:spacing w:after="240" w:before="240" w:line="276" w:lineRule="auto"/>
        <w:jc w:val="both"/>
        <w:rPr/>
      </w:pPr>
      <w:r w:rsidDel="00000000" w:rsidR="00000000" w:rsidRPr="00000000">
        <w:rPr>
          <w:rtl w:val="0"/>
        </w:rPr>
        <w:t xml:space="preserve">El acto se vuelve no solo arbitrario, sino jurídico y ontológicamente imposible. Una orden judicial que entrega bienes a quien no existe no produce efectos legales válidos, pero sí genera efectos fácticos devastadores para quien sí existe, sí opera, sí acredita personalidad y sí tiene derechos reconocidos por autoridades administrativas. Este fenómeno constituye una forma sofisticada de fraude procesal estructurado, al introducir un ente ficticio como receptor de una posesión real, con el objetivo de evadir responsabilidades legales y ocultar la verdadera titularidad corporativa.</w:t>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La autoridad judicial que ejecuta este tipo de órdenes no solo incurre en error de apreciación, sino que rompe con el principio esencial de certeza jurídica, pues ningún juez puede ordenar la transmisión de posesión si antes no está acreditada la personalidad de quien la recibe. Lo contrario convierte al aparato judicial en instrumento de despojo y no en garante del derecho. Por lo que, la gravedad de lo ocurrido no se limita al hecho de que se pretenda desposeer a quien legítimamente opera el inmueble; la gravedad se acentúa porque la autoridad ordena entregar dicho inmueble a un ente denominado “Grupo Dolphin”, cuya existencia jurídica no está acreditada ante ninguna autoridad mexicana. Este punto no es menor ni técnico: constituye una violación profunda a los principios más básicos del derecho procesal mexicano. Toda orden judicial debe dirigirse a un sujeto debidamente identificado, con existencia verificable y representación acreditada. No puede haber actos de autoridad dirigidos a entes sin personalidad, porque la personalidad jurídica es el presupuesto de la capacidad para adquirir derechos, asumir obligaciones y recibir posesión de bienes.</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La autoridad judicial civil determinó entregar un inmueble (bajo fuerza pública eventual) a un sujeto que </w:t>
      </w:r>
      <w:r w:rsidDel="00000000" w:rsidR="00000000" w:rsidRPr="00000000">
        <w:rPr>
          <w:b w:val="1"/>
          <w:bCs w:val="1"/>
          <w:rtl w:val="0"/>
        </w:rPr>
        <w:t xml:space="preserve">no existe en el mundo del derecho</w:t>
      </w:r>
      <w:r w:rsidDel="00000000" w:rsidR="00000000" w:rsidRPr="00000000">
        <w:rPr>
          <w:rtl w:val="0"/>
        </w:rPr>
        <w:t xml:space="preserve">, lo que convierte la orden en un acto jurídico imposible. La imposibilidad jurídica de cumplimiento hace que el acto no solo sea inconstitucional, sino nulo de pleno derecho. Una autoridad no puede transferir posesión a quien carece de existencia jurídica, y aun así el juez local emitió una orden que busca generar un desplazamiento físico en favor de un vacío legal. Desde la óptica constitucional, este comportamiento judicial atenta contra la certeza jurídica, contra el principio de legalidad y contra el debido proceso. No se puede permitir que el aparato del Estado sea utilizado para desposeer a un sujeto existente, regulado y supervisado, para entregar un bien a un ente ficticio utilizado como fachada operativa. No es un error técnico; es un fraude procesal agravado mediante el uso de un juzgado. Esta sola circunstancia basta para demostrar que el acto reclamado es absolutamente arbitrario, desproporcionado y contrario al orden jurídico mexicano.</w:t>
      </w:r>
      <w:r w:rsidDel="00000000" w:rsidR="00000000" w:rsidRPr="00000000">
        <w:rPr>
          <w:rtl w:val="0"/>
        </w:rPr>
      </w:r>
    </w:p>
    <w:p w:rsidR="00000000" w:rsidDel="00000000" w:rsidP="00000000" w:rsidRDefault="00000000" w:rsidRPr="00000000" w14:paraId="0000001B">
      <w:pPr>
        <w:spacing w:before="240" w:line="276" w:lineRule="auto"/>
        <w:jc w:val="both"/>
        <w:rPr>
          <w:b w:val="1"/>
          <w:bCs w:val="1"/>
        </w:rPr>
      </w:pPr>
      <w:r w:rsidDel="00000000" w:rsidR="00000000" w:rsidRPr="00000000">
        <w:rPr>
          <w:b w:val="1"/>
          <w:bCs w:val="1"/>
          <w:rtl w:val="0"/>
        </w:rPr>
        <w:t xml:space="preserve">SEGUNDO </w:t>
      </w:r>
      <w:r w:rsidDel="00000000" w:rsidR="00000000" w:rsidRPr="00000000">
        <w:rPr>
          <w:b w:val="1"/>
          <w:bCs w:val="1"/>
          <w:rtl w:val="0"/>
        </w:rPr>
        <w:t xml:space="preserve">EXPONGO.- EXTRALIMITACIÓN DEL JUEZ CONSTITUCIONAL AL VALIDAR UN CONTRATO.</w:t>
      </w:r>
    </w:p>
    <w:p w:rsidR="00000000" w:rsidDel="00000000" w:rsidP="00000000" w:rsidRDefault="00000000" w:rsidRPr="00000000" w14:paraId="0000001C">
      <w:pPr>
        <w:spacing w:before="240" w:line="276" w:lineRule="auto"/>
        <w:jc w:val="both"/>
        <w:rPr/>
      </w:pPr>
      <w:r w:rsidDel="00000000" w:rsidR="00000000" w:rsidRPr="00000000">
        <w:rPr>
          <w:b w:val="1"/>
          <w:bCs w:val="1"/>
          <w:rtl w:val="0"/>
        </w:rPr>
        <w:t xml:space="preserve">PRIMER REFUTATIO.- </w:t>
      </w:r>
      <w:r w:rsidDel="00000000" w:rsidR="00000000" w:rsidRPr="00000000">
        <w:rPr>
          <w:rtl w:val="0"/>
        </w:rPr>
        <w:t xml:space="preserve">La discusión que pretende imponer el tercero interesado (y que en ocasiones ha permeado de manera equivocada en algunas determinaciones) consiste en presentar este asunto como un diferendo contractual, como si el juicio de amparo tuviera por objeto decidir cuál contrato prevalece, quién celebró la terminación o si existe una relación mercantil vigente, pues el objeto real del agravio no es el contrato, sino la ejecución material del despojo posesorio que se pretende realizar por vía judicial. No existe pretensión alguna de que este órgano constitucional resuelva la validez, vigencia o rescisión de contrato alguno; la litis constitucional no se estructura en torno a obligaciones personales, sino a la privación de un derecho real de hecho como es la posesión. Sin embargo, esa narrativa distorsiona el origen del agravio constitucional y pretende minimizar la naturaleza profundamente violatoria del acto reclamado.</w:t>
      </w:r>
    </w:p>
    <w:p w:rsidR="00000000" w:rsidDel="00000000" w:rsidP="00000000" w:rsidRDefault="00000000" w:rsidRPr="00000000" w14:paraId="0000001D">
      <w:pPr>
        <w:spacing w:after="240" w:before="240" w:line="276" w:lineRule="auto"/>
        <w:jc w:val="both"/>
        <w:rPr/>
      </w:pPr>
      <w:r w:rsidDel="00000000" w:rsidR="00000000" w:rsidRPr="00000000">
        <w:rPr>
          <w:rtl w:val="0"/>
        </w:rPr>
        <w:t xml:space="preserve">La suspensión definitiva debió limitarse a analizar si existía riesgo real e inminente de que la autoridad responsable realice la desposesión del inmueble y si la restitución posterior sería imposible. Sin embargo, el razonamiento que se utilizó para negar la suspensión consistió en </w:t>
      </w:r>
      <w:r w:rsidDel="00000000" w:rsidR="00000000" w:rsidRPr="00000000">
        <w:rPr>
          <w:b w:val="1"/>
          <w:bCs w:val="1"/>
          <w:rtl w:val="0"/>
        </w:rPr>
        <w:t xml:space="preserve">validar un contrato</w:t>
      </w:r>
      <w:r w:rsidDel="00000000" w:rsidR="00000000" w:rsidRPr="00000000">
        <w:rPr>
          <w:rtl w:val="0"/>
        </w:rPr>
        <w:t xml:space="preserve">, asumir su eficacia jurídica y considerar que dicho contrato había sido terminado conforme al dicho unilateral de una de las partes. La suspensión se convirtió, indebidamente, en una suerte de “mini sentencia civil”, donde el juez constitucional no sólo analizó la existencia de un contrato, sino que atribuyó valor jurídico a un documento privado cuya validez está seriamente cuestionada, plagado de irregularidades y sin ratificación notarial. Ello constituye una extralimitación evidente al validar un contrato y descalificar otro, el juzgador invadió una esfera jurisdiccional que no le compete, violentando el principio de especialización judicial y causando indefensión.</w:t>
      </w:r>
    </w:p>
    <w:p w:rsidR="00000000" w:rsidDel="00000000" w:rsidP="00000000" w:rsidRDefault="00000000" w:rsidRPr="00000000" w14:paraId="0000001E">
      <w:pPr>
        <w:spacing w:after="240" w:before="240" w:line="276" w:lineRule="auto"/>
        <w:jc w:val="both"/>
        <w:rPr/>
      </w:pPr>
      <w:r w:rsidDel="00000000" w:rsidR="00000000" w:rsidRPr="00000000">
        <w:rPr>
          <w:rtl w:val="0"/>
        </w:rPr>
        <w:t xml:space="preserve">El juez constitucional </w:t>
      </w:r>
      <w:r w:rsidDel="00000000" w:rsidR="00000000" w:rsidRPr="00000000">
        <w:rPr>
          <w:b w:val="1"/>
          <w:bCs w:val="1"/>
          <w:rtl w:val="0"/>
        </w:rPr>
        <w:t xml:space="preserve">no está facultado</w:t>
      </w:r>
      <w:r w:rsidDel="00000000" w:rsidR="00000000" w:rsidRPr="00000000">
        <w:rPr>
          <w:rtl w:val="0"/>
        </w:rPr>
        <w:t xml:space="preserve"> para determinar qué contrato está vigente, cuál terminó, si hubo consentimiento válido o si la firma es auténtica. Estas son cuestiones de fondo, pertenecientes al ámbito civil o mercantil, reservadas al juez natural. La Ley de Amparo prohíbe expresamente que en la suspensión se prejuzgue sobre derechos subjetivos o sobre la validez de actos jurídicos distintos del acto reclamado. El Juez Cuarto de Distrito construyó su resolución sobre la idea de que existía un “convenio de terminación”, como si esa sola afirmación (jamás probada) fuera suficiente para descartar la posesión real, el aseguramiento federal, las inspecciones ambientales, la operación continua y la existencia de un derecho real legítimo. Cedió ante la narrativa contractual y dejó de lado la realidad material.</w:t>
      </w:r>
    </w:p>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El exceso es evidente: sustituyó al juez competente, dictó un pronunciamiento sobre validez contractual y basó la negativa de suspensión en un juicio anticipado sobre un documento cuya autenticidad está impugnada por fraude procesal.</w:t>
      </w:r>
    </w:p>
    <w:p w:rsidR="00000000" w:rsidDel="00000000" w:rsidP="00000000" w:rsidRDefault="00000000" w:rsidRPr="00000000" w14:paraId="00000020">
      <w:pPr>
        <w:spacing w:after="240" w:before="240" w:line="276" w:lineRule="auto"/>
        <w:jc w:val="both"/>
        <w:rPr/>
      </w:pPr>
      <w:r w:rsidDel="00000000" w:rsidR="00000000" w:rsidRPr="00000000">
        <w:rPr>
          <w:b w:val="1"/>
          <w:bCs w:val="1"/>
          <w:rtl w:val="0"/>
        </w:rPr>
        <w:t xml:space="preserve">SEGUNDO REFUTATIO.-</w:t>
      </w:r>
      <w:r w:rsidDel="00000000" w:rsidR="00000000" w:rsidRPr="00000000">
        <w:rPr>
          <w:rtl w:val="0"/>
        </w:rPr>
        <w:t xml:space="preserve"> La Juez Cuarto de Distrito no sólo se extralimitó al realizar una valoración sustantiva de contratos, sino que además transgredió uno de los principios más elementales del juicio de amparo: la obligación constitucional de conservar viva la materia del juicio. El juicio de amparo no es una figura ornamental del sistema jurídico, sino un mecanismo de control constitucional cuya finalidad esencial consiste en impedir que los actos de autoridad realicen daños irreversibles mientras se resuelve la constitucionalidad del acto reclamado.</w:t>
      </w:r>
    </w:p>
    <w:p w:rsidR="00000000" w:rsidDel="00000000" w:rsidP="00000000" w:rsidRDefault="00000000" w:rsidRPr="00000000" w14:paraId="00000021">
      <w:pPr>
        <w:spacing w:after="240" w:before="240" w:line="276" w:lineRule="auto"/>
        <w:jc w:val="both"/>
        <w:rPr/>
      </w:pPr>
      <w:r w:rsidDel="00000000" w:rsidR="00000000" w:rsidRPr="00000000">
        <w:rPr>
          <w:rtl w:val="0"/>
        </w:rPr>
        <w:t xml:space="preserve">La suspensión no es una gracia judicial, ni una indulgencia procesal, sino un deber constitucional cuando existe un riesgo real de que el acto reclamado destruya la materia del juicio. En el caso que nos ocupa, al negar la suspensión con base en una valoración anticipada del fondo del asunto, la Juez de Distrito permitió que se ejecute materialmente el acto reclamado, esto es, que se lleve a cabo la desposesión del inmueble, con lo cual no sólo se permitió la violación constitucional combatida, sino que se eliminó la posibilidad real de restitución.</w:t>
      </w:r>
    </w:p>
    <w:p w:rsidR="00000000" w:rsidDel="00000000" w:rsidP="00000000" w:rsidRDefault="00000000" w:rsidRPr="00000000" w14:paraId="00000022">
      <w:pPr>
        <w:spacing w:after="240" w:before="240" w:line="276" w:lineRule="auto"/>
        <w:jc w:val="both"/>
        <w:rPr/>
      </w:pPr>
      <w:r w:rsidDel="00000000" w:rsidR="00000000" w:rsidRPr="00000000">
        <w:rPr>
          <w:rtl w:val="0"/>
        </w:rPr>
        <w:t xml:space="preserve">Una vez consumado el despojo, ningún fallo posterior del amparo podrá devolver el estado de las cosas. En otras palabras, se dejó morir el juicio antes de resolverlo. Se negó la tutela cautelar en un caso donde:</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 La posesión es el acto reclamado,</w:t>
        <w:br w:type="textWrapping"/>
        <w:t xml:space="preserve"> – La ejecución es inmediata,</w:t>
        <w:br w:type="textWrapping"/>
        <w:t xml:space="preserve"> – El daño es físico,</w:t>
        <w:br w:type="textWrapping"/>
        <w:t xml:space="preserve"> – La afectación es irreversible.</w:t>
      </w:r>
    </w:p>
    <w:p w:rsidR="00000000" w:rsidDel="00000000" w:rsidP="00000000" w:rsidRDefault="00000000" w:rsidRPr="00000000" w14:paraId="00000024">
      <w:pPr>
        <w:spacing w:after="240" w:before="240" w:line="276" w:lineRule="auto"/>
        <w:jc w:val="both"/>
        <w:rPr/>
      </w:pPr>
      <w:r w:rsidDel="00000000" w:rsidR="00000000" w:rsidRPr="00000000">
        <w:rPr>
          <w:rtl w:val="0"/>
        </w:rPr>
        <w:t xml:space="preserve">Eso convierte al juicio de amparo en una ilusión procedimental. Se negó la suspensión no porque no existiera riesgo, sino porque la Juez resolvió indebidamente el fondo bajo criterios civiles, cuando su función constitucional es impedir consecuencias irreparables. Negar la suspensión bajo ese razonamiento convierte la justicia constitucional en formalismo vacío. Permitir la ejecución bajo una premisa no juzgada significa tolerar que la Constitución sea violada mientras se analiza si ha sido violada. Eso es una contradicción jurídica insalvable.</w:t>
      </w:r>
    </w:p>
    <w:p w:rsidR="00000000" w:rsidDel="00000000" w:rsidP="00000000" w:rsidRDefault="00000000" w:rsidRPr="00000000" w14:paraId="00000025">
      <w:pPr>
        <w:spacing w:after="240" w:before="240" w:line="276" w:lineRule="auto"/>
        <w:jc w:val="both"/>
        <w:rPr/>
      </w:pPr>
      <w:r w:rsidDel="00000000" w:rsidR="00000000" w:rsidRPr="00000000">
        <w:rPr>
          <w:b w:val="1"/>
          <w:bCs w:val="1"/>
          <w:rtl w:val="0"/>
        </w:rPr>
        <w:t xml:space="preserve">TERCER REFUTATIO.-</w:t>
      </w:r>
      <w:r w:rsidDel="00000000" w:rsidR="00000000" w:rsidRPr="00000000">
        <w:rPr>
          <w:rtl w:val="0"/>
        </w:rPr>
        <w:t xml:space="preserve"> He de precisar que la suspensión definitiva no es un instrumento para “resolver” el conflicto principal. Es una medida conservadora destinada a evitar que el juicio de amparo pierda materia por actos de autoridad que modifiquen el estado de hecho. El juez constitucional está obligado a preservar la situación existente al momento del amparo para evitar daños irreparables.</w:t>
      </w:r>
    </w:p>
    <w:p w:rsidR="00000000" w:rsidDel="00000000" w:rsidP="00000000" w:rsidRDefault="00000000" w:rsidRPr="00000000" w14:paraId="00000026">
      <w:pPr>
        <w:spacing w:after="240" w:before="240" w:line="276" w:lineRule="auto"/>
        <w:jc w:val="both"/>
        <w:rPr/>
      </w:pPr>
      <w:r w:rsidDel="00000000" w:rsidR="00000000" w:rsidRPr="00000000">
        <w:rPr>
          <w:rtl w:val="0"/>
        </w:rPr>
        <w:t xml:space="preserve">En este caso, el estado de hecho es clarísimo:</w:t>
      </w:r>
    </w:p>
    <w:p w:rsidR="00000000" w:rsidDel="00000000" w:rsidP="00000000" w:rsidRDefault="00000000" w:rsidRPr="00000000" w14:paraId="00000027">
      <w:pPr>
        <w:numPr>
          <w:ilvl w:val="0"/>
          <w:numId w:val="2"/>
        </w:numPr>
        <w:spacing w:after="0" w:afterAutospacing="0" w:before="240" w:line="276" w:lineRule="auto"/>
        <w:ind w:left="720" w:hanging="360"/>
        <w:jc w:val="both"/>
      </w:pPr>
      <w:r w:rsidDel="00000000" w:rsidR="00000000" w:rsidRPr="00000000">
        <w:rPr>
          <w:rtl w:val="0"/>
        </w:rPr>
        <w:t xml:space="preserve">Proyectos Ejecutivos Sustentables, S.A. de C.V., tiene la posesión material del inmueble.</w:t>
      </w:r>
    </w:p>
    <w:p w:rsidR="00000000" w:rsidDel="00000000" w:rsidP="00000000" w:rsidRDefault="00000000" w:rsidRPr="00000000" w14:paraId="00000028">
      <w:pPr>
        <w:numPr>
          <w:ilvl w:val="0"/>
          <w:numId w:val="2"/>
        </w:numPr>
        <w:spacing w:after="0" w:afterAutospacing="0" w:before="0" w:beforeAutospacing="0" w:line="276" w:lineRule="auto"/>
        <w:ind w:left="720" w:hanging="360"/>
        <w:jc w:val="both"/>
      </w:pPr>
      <w:r w:rsidDel="00000000" w:rsidR="00000000" w:rsidRPr="00000000">
        <w:rPr>
          <w:rtl w:val="0"/>
        </w:rPr>
        <w:t xml:space="preserve">Proyectos Ejecutivos Sustentables, S.A. de C.V., es la entidad reconocida por SEMARNAT para operar el PIMVS.</w:t>
      </w:r>
    </w:p>
    <w:p w:rsidR="00000000" w:rsidDel="00000000" w:rsidP="00000000" w:rsidRDefault="00000000" w:rsidRPr="00000000" w14:paraId="00000029">
      <w:pPr>
        <w:numPr>
          <w:ilvl w:val="0"/>
          <w:numId w:val="2"/>
        </w:numPr>
        <w:spacing w:after="0" w:afterAutospacing="0" w:before="0" w:beforeAutospacing="0" w:line="276" w:lineRule="auto"/>
        <w:ind w:left="720" w:hanging="360"/>
      </w:pPr>
      <w:r w:rsidDel="00000000" w:rsidR="00000000" w:rsidRPr="00000000">
        <w:rPr>
          <w:rtl w:val="0"/>
        </w:rPr>
        <w:t xml:space="preserve">PROFEPA verificó en inspección que Proyectos Ejecutivos Sustentables, S.A. de C.V., opera continuamente.</w:t>
      </w:r>
    </w:p>
    <w:p w:rsidR="00000000" w:rsidDel="00000000" w:rsidP="00000000" w:rsidRDefault="00000000" w:rsidRPr="00000000" w14:paraId="0000002A">
      <w:pPr>
        <w:numPr>
          <w:ilvl w:val="0"/>
          <w:numId w:val="2"/>
        </w:numPr>
        <w:spacing w:after="0" w:afterAutospacing="0" w:before="0" w:beforeAutospacing="0" w:line="276" w:lineRule="auto"/>
        <w:ind w:left="720" w:hanging="360"/>
      </w:pPr>
      <w:r w:rsidDel="00000000" w:rsidR="00000000" w:rsidRPr="00000000">
        <w:rPr>
          <w:rtl w:val="0"/>
        </w:rPr>
        <w:t xml:space="preserve">El inmueble está asegurado y bajo medidas de seguridad ambiental.</w:t>
      </w:r>
    </w:p>
    <w:p w:rsidR="00000000" w:rsidDel="00000000" w:rsidP="00000000" w:rsidRDefault="00000000" w:rsidRPr="00000000" w14:paraId="0000002B">
      <w:pPr>
        <w:numPr>
          <w:ilvl w:val="0"/>
          <w:numId w:val="2"/>
        </w:numPr>
        <w:spacing w:after="240" w:before="0" w:beforeAutospacing="0" w:line="276" w:lineRule="auto"/>
        <w:ind w:left="720" w:hanging="360"/>
      </w:pPr>
      <w:r w:rsidDel="00000000" w:rsidR="00000000" w:rsidRPr="00000000">
        <w:rPr>
          <w:rtl w:val="0"/>
        </w:rPr>
        <w:t xml:space="preserve">Los delfines están bajo resguardo legal de Proyectos Ejecutivos Sustentables, S.A. de C.V.</w:t>
      </w:r>
    </w:p>
    <w:p w:rsidR="00000000" w:rsidDel="00000000" w:rsidP="00000000" w:rsidRDefault="00000000" w:rsidRPr="00000000" w14:paraId="0000002C">
      <w:pPr>
        <w:spacing w:after="240" w:before="240" w:line="276" w:lineRule="auto"/>
        <w:jc w:val="both"/>
        <w:rPr/>
      </w:pPr>
      <w:r w:rsidDel="00000000" w:rsidR="00000000" w:rsidRPr="00000000">
        <w:rPr>
          <w:rtl w:val="0"/>
        </w:rPr>
        <w:t xml:space="preserve">El juez, sin embargo, dejó de lado todo este acervo factual y se centró en un documento civil cuya autenticidad ni siquiera es clara. Con ello permitió indirectamente que la autoridad civil realice el un acto que afectará no solo la posesión, sino el equilibrio ambiental, la continuidad del aseguramiento y la vida de los ejemplares. La suspensión no debió analizar si había o no terminación contractual (porque ese no es el acto reclamado) sino si el acto de desposesión podría dejar sin materia el juicio. Y claramente sí lo hace: una vez consumada la entrega del inmueble, recuperar la posesión o restituir el control del manejo de vida silvestre sería casi imposible. El juez constitucional ignoró este mandato y produjo una resolución que pone en riesgo no solo la materia del juicio, sino la integridad de un ecosistema artificial altamente especializado.</w:t>
      </w:r>
    </w:p>
    <w:p w:rsidR="00000000" w:rsidDel="00000000" w:rsidP="00000000" w:rsidRDefault="00000000" w:rsidRPr="00000000" w14:paraId="0000002D">
      <w:pPr>
        <w:spacing w:before="240" w:line="276" w:lineRule="auto"/>
        <w:jc w:val="both"/>
        <w:rPr>
          <w:b w:val="1"/>
          <w:bCs w:val="1"/>
          <w:color w:val="000000"/>
          <w:sz w:val="26"/>
          <w:szCs w:val="26"/>
        </w:rPr>
      </w:pPr>
      <w:r w:rsidDel="00000000" w:rsidR="00000000" w:rsidRPr="00000000">
        <w:rPr>
          <w:b w:val="1"/>
          <w:bCs w:val="1"/>
          <w:rtl w:val="0"/>
        </w:rPr>
        <w:t xml:space="preserve">TERCER EXPONGO.- RIESGO AMBIENTAL, CUSTODIA DE FAUNA SILVESTRE Y OBLIGACIÓN DE DAR VISTA A PROFEPA.</w:t>
      </w:r>
      <w:r w:rsidDel="00000000" w:rsidR="00000000" w:rsidRPr="00000000">
        <w:rPr>
          <w:rtl w:val="0"/>
        </w:rPr>
      </w:r>
    </w:p>
    <w:p w:rsidR="00000000" w:rsidDel="00000000" w:rsidP="00000000" w:rsidRDefault="00000000" w:rsidRPr="00000000" w14:paraId="0000002E">
      <w:pPr>
        <w:spacing w:after="240" w:before="240" w:line="276" w:lineRule="auto"/>
        <w:jc w:val="both"/>
        <w:rPr/>
      </w:pPr>
      <w:r w:rsidDel="00000000" w:rsidR="00000000" w:rsidRPr="00000000">
        <w:rPr>
          <w:b w:val="1"/>
          <w:bCs w:val="1"/>
          <w:rtl w:val="0"/>
        </w:rPr>
        <w:t xml:space="preserve">PRIMER REFUTATIO.-</w:t>
      </w:r>
      <w:r w:rsidDel="00000000" w:rsidR="00000000" w:rsidRPr="00000000">
        <w:rPr>
          <w:rtl w:val="0"/>
        </w:rPr>
        <w:t xml:space="preserve"> </w:t>
      </w:r>
      <w:r w:rsidDel="00000000" w:rsidR="00000000" w:rsidRPr="00000000">
        <w:rPr>
          <w:rtl w:val="0"/>
        </w:rPr>
        <w:t xml:space="preserve">Desde la presentación de la demanda de amparo quedó acreditado documentalmente que la Secretaría de Medio Ambiente y Recursos Naturales reconoció de manera expresa a Proyectos Ejecutivos Sustentables, S.A. de C.V. como la persona moral legalmente autorizada para el manejo de mamíferos marinos en el inmueble conocido como “Punta Nizuc”. Dicho reconocimiento fue emitido mediante oficio número SPARN/DGVS/00111/2025, fechado el 17 de octubre de 2024, suscrito por la M.V.Z., M. en C. Fernando Gual Sill, autoridad competente en materia de vida silvestre. Ese documento no es una opinión privada, es un reconocimiento administrativo federal.</w:t>
      </w:r>
    </w:p>
    <w:p w:rsidR="00000000" w:rsidDel="00000000" w:rsidP="00000000" w:rsidRDefault="00000000" w:rsidRPr="00000000" w14:paraId="0000002F">
      <w:pPr>
        <w:spacing w:after="240" w:before="240" w:line="276" w:lineRule="auto"/>
        <w:jc w:val="both"/>
        <w:rPr/>
      </w:pPr>
      <w:r w:rsidDel="00000000" w:rsidR="00000000" w:rsidRPr="00000000">
        <w:rPr>
          <w:rtl w:val="0"/>
        </w:rPr>
        <w:t xml:space="preserve">De conformidad con el principio de legalidad administrativa, solamente aquello que reconoce expresamente la autoridad tiene validez jurídica. Lo que no está reconocido por la autoridad simplemente no existe en el plano legal. En ninguna constancia administrativa obra reconocimiento alguno a favor de:</w:t>
      </w:r>
    </w:p>
    <w:p w:rsidR="00000000" w:rsidDel="00000000" w:rsidP="00000000" w:rsidRDefault="00000000" w:rsidRPr="00000000" w14:paraId="00000030">
      <w:pPr>
        <w:spacing w:after="240" w:before="240" w:line="276" w:lineRule="auto"/>
        <w:jc w:val="both"/>
        <w:rPr/>
      </w:pPr>
      <w:r w:rsidDel="00000000" w:rsidR="00000000" w:rsidRPr="00000000">
        <w:rPr>
          <w:rtl w:val="0"/>
        </w:rPr>
        <w:t xml:space="preserve">– Ejecutivos de Turismo Sustentable, S.A. de C.V. (ETS),</w:t>
        <w:br w:type="textWrapping"/>
        <w:t xml:space="preserve"> – “Grupo Dolphin”,</w:t>
        <w:br w:type="textWrapping"/>
        <w:t xml:space="preserve"> – O persona alguna diversa a Proyectos Ejecutivos Sustentables, S.A. de C.V.</w:t>
      </w:r>
    </w:p>
    <w:p w:rsidR="00000000" w:rsidDel="00000000" w:rsidP="00000000" w:rsidRDefault="00000000" w:rsidRPr="00000000" w14:paraId="00000031">
      <w:pPr>
        <w:spacing w:after="240" w:before="240" w:line="276" w:lineRule="auto"/>
        <w:jc w:val="both"/>
        <w:rPr/>
      </w:pPr>
      <w:r w:rsidDel="00000000" w:rsidR="00000000" w:rsidRPr="00000000">
        <w:rPr>
          <w:rtl w:val="0"/>
        </w:rPr>
        <w:t xml:space="preserve">Si esos entes tuvieran personalidad administrativa ante SEMARNAT, habrían sido ellos los receptores de inspecciones, requerimientos, actuaciones o medidas administrativas. Y sin embargo, todo ha sido dirigido a Proyectos Ejecutivos Sustentables, S.A. de C.V., eso demuestra indiscutiblemente que la autoridad ambiental jamás ha considerado a ningún otro sujeto como operador, custodio o responsable. Quien no existe ante SEMARNAT, no existe ante el Estado. El Estado no actúa con entes invisibles, actúa con personas jurídicas reconocidas y la única es Proyectos Ejecutivos Sustentables, S.A. de C.V.</w:t>
      </w:r>
    </w:p>
    <w:p w:rsidR="00000000" w:rsidDel="00000000" w:rsidP="00000000" w:rsidRDefault="00000000" w:rsidRPr="00000000" w14:paraId="00000032">
      <w:pPr>
        <w:spacing w:after="240" w:before="240" w:line="276" w:lineRule="auto"/>
        <w:jc w:val="both"/>
        <w:rPr/>
      </w:pPr>
      <w:r w:rsidDel="00000000" w:rsidR="00000000" w:rsidRPr="00000000">
        <w:rPr>
          <w:b w:val="1"/>
          <w:bCs w:val="1"/>
          <w:rtl w:val="0"/>
        </w:rPr>
        <w:t xml:space="preserve">SEGUNDO REFUTATIO.</w:t>
      </w:r>
      <w:r w:rsidDel="00000000" w:rsidR="00000000" w:rsidRPr="00000000">
        <w:rPr>
          <w:rtl w:val="0"/>
        </w:rPr>
        <w:t xml:space="preserve">- Los delfines ubicados en el inmueble Nizuc no son bienes muebles de libre disposición. Son especies sujetas a regulación federal, bajo la Ley General de Vida Silvestre. La custodia de estos ejemplares sólo puede recaer en una persona moral expresamente autorizada por SEMARNAT, y la única persona autorizada es Proyectos Ejecutivos Sustentables, S.A. de C.V. (PES), y en ello consta en el Oficio SPARN/DGVS/00111/2025, las Resoluciones administrativas de SEMARNAT, la Acta de inspección de PROFEPA, Aseguramiento vigente del predio, Constancias del PIMVS oficialmente actualizado, mismas que se exhibieron dentro del cuadernillo incidental, lo cual es un hecho notorio para este H. Juzgado de Distrito dichas documentales presentadas. La autoridad federal jamás ha autorizado a Ejecutivos de Turismo Sustentable, S.A. de C.V, mucho menos a “Grupo Dolphin”, que ni siquiera existe jurídicamente. Por lo que, despojar a Proyectos Ejecutivos Sustentables, S.A. de C.V. del inmueble implica despojarlo también del cuidado de los delfines, aun cuando es la única entidad reconocida legalmente para su manejo. Cualquier desposesión que coloque a los ejemplares en manos de un ente no autorizado constituye una violación directa a la Ley General de Vida Silvestre, a regulaciones federales y a los estándares técnicos de bienestar animal.</w:t>
      </w:r>
    </w:p>
    <w:p w:rsidR="00000000" w:rsidDel="00000000" w:rsidP="00000000" w:rsidRDefault="00000000" w:rsidRPr="00000000" w14:paraId="00000033">
      <w:pPr>
        <w:spacing w:after="240" w:before="240" w:line="276" w:lineRule="auto"/>
        <w:jc w:val="both"/>
        <w:rPr/>
      </w:pPr>
      <w:r w:rsidDel="00000000" w:rsidR="00000000" w:rsidRPr="00000000">
        <w:rPr>
          <w:b w:val="1"/>
          <w:bCs w:val="1"/>
          <w:rtl w:val="0"/>
        </w:rPr>
        <w:t xml:space="preserve">TERCER REFUTATIO.</w:t>
      </w:r>
      <w:r w:rsidDel="00000000" w:rsidR="00000000" w:rsidRPr="00000000">
        <w:rPr>
          <w:rtl w:val="0"/>
        </w:rPr>
        <w:t xml:space="preserve">- Es claro precisar que el inmueble está bajo tutela federal y no puede ser entregado por un juzgado civil a una persona existente, por lo que el Juez de Distrito debe de considerar el aseguramiento, la inspección, las medidas federales, el riesgo sanitario, la obligatoriedad de que solo Proyectos Ejecutivos Sustentables, S.A. de C.V., puede acceder legalmente al inmueble para continuar con el manejo especializado de los ejemplares. Por lo que, si se realiza una falta de esta valoración no es un error; es una omisión grave que compromete la vida de los animales y viola directamente el deber constitucional de protección ambiental, pues estaría en la omisión de considerar a los delfines como una cuestión secundaria, PROFEPA acreditó la existencia de agentes infecciosos y estableció que la supervivencia de los ejemplares depende del manejo continuo, especializado y autorizado por Proyectos Ejecutivos Sustentables, S.A. de C.V.</w:t>
      </w:r>
    </w:p>
    <w:p w:rsidR="00000000" w:rsidDel="00000000" w:rsidP="00000000" w:rsidRDefault="00000000" w:rsidRPr="00000000" w14:paraId="00000034">
      <w:pPr>
        <w:spacing w:after="240" w:before="240" w:line="276" w:lineRule="auto"/>
        <w:jc w:val="both"/>
        <w:rPr/>
      </w:pPr>
      <w:r w:rsidDel="00000000" w:rsidR="00000000" w:rsidRPr="00000000">
        <w:rPr>
          <w:rtl w:val="0"/>
        </w:rPr>
        <w:t xml:space="preserve">Es claro precisar, que el derecho ambiental no reconoce “posesión civil” como parámetro para determinar quién puede manejar fauna sujeta a regulación federal. La autoridad ambiental sí reconoce a Proyectos Ejecutivos Sustentables, S.A. de C.V., como titular operativo; el juez civil y el juez de distrito no pueden sustituir esa determinación técnica y especializada. A mayor abundamiento, resulta especialmente grave que la autoridad federal jamás ha dirigido comunicación administrativa alguna a Ejecutivos de Turismo Sustentable, S.A. de C.V. o al inexistente Grupo Dolphin, lo que demuestra que ambas carecen absolutamente de legitimación para intervenir en el predio o manejar las especies. La única conclusión posible es que SEMARNAT y PROFEPA deben intervenir de manera inmediata en el juicio, pues su función constitucional está directamente comprometida.</w:t>
      </w:r>
    </w:p>
    <w:p w:rsidR="00000000" w:rsidDel="00000000" w:rsidP="00000000" w:rsidRDefault="00000000" w:rsidRPr="00000000" w14:paraId="00000035">
      <w:pPr>
        <w:spacing w:after="240" w:before="240" w:line="276" w:lineRule="auto"/>
        <w:jc w:val="both"/>
        <w:rPr/>
      </w:pPr>
      <w:r w:rsidDel="00000000" w:rsidR="00000000" w:rsidRPr="00000000">
        <w:rPr>
          <w:rtl w:val="0"/>
        </w:rPr>
        <w:t xml:space="preserve">Por lo expuesto, a Usted C. Juez de Cuarto de Distrito, atentamente solicito:</w:t>
      </w:r>
    </w:p>
    <w:p w:rsidR="00000000" w:rsidDel="00000000" w:rsidP="00000000" w:rsidRDefault="00000000" w:rsidRPr="00000000" w14:paraId="00000036">
      <w:pPr>
        <w:spacing w:before="240" w:line="276" w:lineRule="auto"/>
        <w:jc w:val="both"/>
        <w:rPr/>
      </w:pPr>
      <w:r w:rsidDel="00000000" w:rsidR="00000000" w:rsidRPr="00000000">
        <w:rPr>
          <w:b w:val="1"/>
          <w:bCs w:val="1"/>
          <w:rtl w:val="0"/>
        </w:rPr>
        <w:t xml:space="preserve">ÚNICO. </w:t>
      </w:r>
      <w:r w:rsidDel="00000000" w:rsidR="00000000" w:rsidRPr="00000000">
        <w:rPr>
          <w:rtl w:val="0"/>
        </w:rPr>
        <w:t xml:space="preserve">Tenerme por presentado formulando alegatos en el presente asunto.</w:t>
      </w:r>
    </w:p>
    <w:p w:rsidR="00000000" w:rsidDel="00000000" w:rsidP="00000000" w:rsidRDefault="00000000" w:rsidRPr="00000000" w14:paraId="00000037">
      <w:pPr>
        <w:spacing w:before="240" w:line="276" w:lineRule="auto"/>
        <w:jc w:val="both"/>
        <w:rPr/>
      </w:pPr>
      <w:r w:rsidDel="00000000" w:rsidR="00000000" w:rsidRPr="00000000">
        <w:rPr>
          <w:rtl w:val="0"/>
        </w:rPr>
      </w:r>
    </w:p>
    <w:p w:rsidR="00000000" w:rsidDel="00000000" w:rsidP="00000000" w:rsidRDefault="00000000" w:rsidRPr="00000000" w14:paraId="00000038">
      <w:pPr>
        <w:spacing w:before="240" w:line="276" w:lineRule="auto"/>
        <w:jc w:val="both"/>
        <w:rPr/>
      </w:pPr>
      <w:r w:rsidDel="00000000" w:rsidR="00000000" w:rsidRPr="00000000">
        <w:rPr>
          <w:rtl w:val="0"/>
        </w:rPr>
        <w:t xml:space="preserve"> </w:t>
      </w:r>
    </w:p>
    <w:p w:rsidR="00000000" w:rsidDel="00000000" w:rsidP="00000000" w:rsidRDefault="00000000" w:rsidRPr="00000000" w14:paraId="00000039">
      <w:pPr>
        <w:spacing w:before="240" w:line="276" w:lineRule="auto"/>
        <w:jc w:val="center"/>
        <w:rPr>
          <w:b w:val="1"/>
          <w:bCs w:val="1"/>
        </w:rPr>
      </w:pPr>
      <w:r w:rsidDel="00000000" w:rsidR="00000000" w:rsidRPr="00000000">
        <w:rPr>
          <w:b w:val="1"/>
          <w:bCs w:val="1"/>
          <w:rtl w:val="0"/>
        </w:rPr>
        <w:t xml:space="preserve">PROTESTO LO NECESARIO</w:t>
      </w:r>
    </w:p>
    <w:p w:rsidR="00000000" w:rsidDel="00000000" w:rsidP="00000000" w:rsidRDefault="00000000" w:rsidRPr="00000000" w14:paraId="0000003A">
      <w:pPr>
        <w:spacing w:before="240" w:line="276" w:lineRule="auto"/>
        <w:jc w:val="center"/>
        <w:rPr/>
      </w:pPr>
      <w:r w:rsidDel="00000000" w:rsidR="00000000" w:rsidRPr="00000000">
        <w:rPr>
          <w:rtl w:val="0"/>
        </w:rPr>
        <w:t xml:space="preserve"> </w:t>
      </w:r>
    </w:p>
    <w:p w:rsidR="00000000" w:rsidDel="00000000" w:rsidP="00000000" w:rsidRDefault="00000000" w:rsidRPr="00000000" w14:paraId="0000003B">
      <w:pPr>
        <w:spacing w:before="240" w:line="276"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03C">
      <w:pPr>
        <w:spacing w:before="240" w:line="276" w:lineRule="auto"/>
        <w:jc w:val="center"/>
        <w:rPr>
          <w:b w:val="1"/>
          <w:bCs w:val="1"/>
        </w:rPr>
      </w:pPr>
      <w:r w:rsidDel="00000000" w:rsidR="00000000" w:rsidRPr="00000000">
        <w:rPr>
          <w:b w:val="1"/>
          <w:bCs w:val="1"/>
          <w:rtl w:val="0"/>
        </w:rPr>
        <w:t xml:space="preserve">FIDEL ARTURO LADRON DE GUEVARA BRAVO</w:t>
      </w:r>
    </w:p>
    <w:p w:rsidR="00000000" w:rsidDel="00000000" w:rsidP="00000000" w:rsidRDefault="00000000" w:rsidRPr="00000000" w14:paraId="0000003D">
      <w:pPr>
        <w:spacing w:before="240" w:line="276" w:lineRule="auto"/>
        <w:jc w:val="center"/>
        <w:rPr>
          <w:b w:val="1"/>
          <w:bCs w:val="1"/>
        </w:rPr>
      </w:pPr>
      <w:r w:rsidDel="00000000" w:rsidR="00000000" w:rsidRPr="00000000">
        <w:rPr>
          <w:b w:val="1"/>
          <w:bCs w:val="1"/>
          <w:rtl w:val="0"/>
        </w:rPr>
        <w:t xml:space="preserve">08 DE DICIEMBRE DEL AÑO 2025, CANCÚN, QUINTANA ROO.</w:t>
      </w:r>
    </w:p>
    <w:p w:rsidR="00000000" w:rsidDel="00000000" w:rsidP="00000000" w:rsidRDefault="00000000" w:rsidRPr="00000000" w14:paraId="0000003E">
      <w:pPr>
        <w:spacing w:before="240" w:line="276" w:lineRule="auto"/>
        <w:jc w:val="center"/>
        <w:rPr/>
      </w:pPr>
      <w:r w:rsidDel="00000000" w:rsidR="00000000" w:rsidRPr="00000000">
        <w:rPr>
          <w:rtl w:val="0"/>
        </w:rPr>
        <w:t xml:space="preserve"> </w:t>
      </w:r>
    </w:p>
    <w:p w:rsidR="00000000" w:rsidDel="00000000" w:rsidP="00000000" w:rsidRDefault="00000000" w:rsidRPr="00000000" w14:paraId="0000003F">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40">
      <w:pPr>
        <w:spacing w:after="0" w:before="240" w:line="276" w:lineRule="auto"/>
        <w:ind w:left="1800" w:hanging="360"/>
        <w:jc w:val="both"/>
        <w:rPr>
          <w:sz w:val="20"/>
          <w:szCs w:val="20"/>
        </w:rPr>
      </w:pPr>
      <w:r w:rsidDel="00000000" w:rsidR="00000000" w:rsidRPr="00000000">
        <w:rPr>
          <w:sz w:val="14"/>
          <w:szCs w:val="14"/>
          <w:rtl w:val="0"/>
        </w:rPr>
        <w:tab/>
      </w:r>
      <w:r w:rsidDel="00000000" w:rsidR="00000000" w:rsidRPr="00000000">
        <w:rPr>
          <w:rtl w:val="0"/>
        </w:rPr>
      </w:r>
    </w:p>
    <w:p w:rsidR="00000000" w:rsidDel="00000000" w:rsidP="00000000" w:rsidRDefault="00000000" w:rsidRPr="00000000" w14:paraId="00000041">
      <w:pPr>
        <w:spacing w:after="0" w:before="240" w:line="276" w:lineRule="auto"/>
        <w:ind w:left="1440" w:firstLine="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2">
      <w:pPr>
        <w:spacing w:after="240"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3">
      <w:pPr>
        <w:ind w:left="720" w:firstLine="0"/>
        <w:jc w:val="both"/>
        <w:rPr>
          <w:rFonts w:ascii="Arial" w:cs="Arial" w:eastAsia="Arial" w:hAnsi="Arial"/>
          <w:b w:val="1"/>
          <w:bCs w:val="1"/>
        </w:rPr>
      </w:pPr>
      <w:r w:rsidDel="00000000" w:rsidR="00000000" w:rsidRPr="00000000">
        <w:rPr>
          <w:rtl w:val="0"/>
        </w:rPr>
      </w:r>
    </w:p>
    <w:sectPr>
      <w:headerReference r:id="rId7"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200B9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200B9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200B9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200B9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200B9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200B9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200B9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200B9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200B9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200B9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200B9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200B9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200B9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200B9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200B9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200B92"/>
    <w:rPr>
      <w:i w:val="1"/>
      <w:iCs w:val="1"/>
      <w:color w:val="404040" w:themeColor="text1" w:themeTint="0000BF"/>
    </w:rPr>
  </w:style>
  <w:style w:type="paragraph" w:styleId="Prrafodelista">
    <w:name w:val="List Paragraph"/>
    <w:basedOn w:val="Normal"/>
    <w:uiPriority w:val="34"/>
    <w:qFormat w:val="1"/>
    <w:rsid w:val="00200B92"/>
    <w:pPr>
      <w:ind w:left="720"/>
      <w:contextualSpacing w:val="1"/>
    </w:pPr>
  </w:style>
  <w:style w:type="character" w:styleId="nfasisintenso">
    <w:name w:val="Intense Emphasis"/>
    <w:basedOn w:val="Fuentedeprrafopredeter"/>
    <w:uiPriority w:val="21"/>
    <w:qFormat w:val="1"/>
    <w:rsid w:val="00200B92"/>
    <w:rPr>
      <w:i w:val="1"/>
      <w:iCs w:val="1"/>
      <w:color w:val="0f4761" w:themeColor="accent1" w:themeShade="0000BF"/>
    </w:rPr>
  </w:style>
  <w:style w:type="paragraph" w:styleId="Citadestacada">
    <w:name w:val="Intense Quote"/>
    <w:basedOn w:val="Normal"/>
    <w:next w:val="Normal"/>
    <w:link w:val="CitadestacadaCar"/>
    <w:uiPriority w:val="30"/>
    <w:qFormat w:val="1"/>
    <w:rsid w:val="00200B9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200B92"/>
    <w:rPr>
      <w:i w:val="1"/>
      <w:iCs w:val="1"/>
      <w:color w:val="0f4761" w:themeColor="accent1" w:themeShade="0000BF"/>
    </w:rPr>
  </w:style>
  <w:style w:type="character" w:styleId="Referenciaintensa">
    <w:name w:val="Intense Reference"/>
    <w:basedOn w:val="Fuentedeprrafopredeter"/>
    <w:uiPriority w:val="32"/>
    <w:qFormat w:val="1"/>
    <w:rsid w:val="00200B92"/>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284E6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84E60"/>
  </w:style>
  <w:style w:type="paragraph" w:styleId="Piedepgina">
    <w:name w:val="footer"/>
    <w:basedOn w:val="Normal"/>
    <w:link w:val="PiedepginaCar"/>
    <w:uiPriority w:val="99"/>
    <w:unhideWhenUsed w:val="1"/>
    <w:rsid w:val="00284E6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84E6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dVuXy5EKfFv9WIRB71S8NfJQA==">CgMxLjA4AHIhMVJiMzF4WDk1R3A4eDZBZ3o1WXpMakQtWkFFVmFFdjBP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2025-10-01T23:33:00Z</dcterms:created>
  <dc:creator>Amissadai villalta peralta</dc:creator>
</cp:coreProperties>
</file>