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A888A" w14:textId="1D8AE9FF" w:rsidR="00C40634" w:rsidRDefault="008304AC" w:rsidP="008304AC">
      <w:pPr>
        <w:jc w:val="center"/>
      </w:pPr>
      <w:r>
        <w:rPr>
          <w:noProof/>
        </w:rPr>
        <w:drawing>
          <wp:inline distT="0" distB="0" distL="0" distR="0" wp14:anchorId="03652B39" wp14:editId="72C26D43">
            <wp:extent cx="2324100" cy="986099"/>
            <wp:effectExtent l="0" t="0" r="0" b="0"/>
            <wp:docPr id="63485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0203" cy="988689"/>
                    </a:xfrm>
                    <a:prstGeom prst="rect">
                      <a:avLst/>
                    </a:prstGeom>
                    <a:noFill/>
                    <a:ln>
                      <a:noFill/>
                    </a:ln>
                  </pic:spPr>
                </pic:pic>
              </a:graphicData>
            </a:graphic>
          </wp:inline>
        </w:drawing>
      </w:r>
    </w:p>
    <w:p w14:paraId="0DFA6BA9" w14:textId="2DF38B65" w:rsidR="008304AC" w:rsidRDefault="001A1767" w:rsidP="008304AC">
      <w:pPr>
        <w:jc w:val="center"/>
        <w:rPr>
          <w:b/>
          <w:bCs/>
        </w:rPr>
      </w:pPr>
      <w:r>
        <w:rPr>
          <w:b/>
          <w:bCs/>
        </w:rPr>
        <w:t>Equality, Diversity and Inclusion Policy</w:t>
      </w:r>
    </w:p>
    <w:p w14:paraId="6A7F6689" w14:textId="009DE0A6" w:rsidR="001A1767" w:rsidRPr="001A1767" w:rsidRDefault="001A1767" w:rsidP="003C397F">
      <w:pPr>
        <w:rPr>
          <w:rFonts w:eastAsiaTheme="majorEastAsia" w:cstheme="minorHAnsi"/>
          <w:spacing w:val="-10"/>
          <w:kern w:val="28"/>
          <w:sz w:val="28"/>
          <w:szCs w:val="28"/>
        </w:rPr>
      </w:pPr>
      <w:r w:rsidRPr="002D3B39">
        <w:t>FSASC is committed to the fair treatment of all children in its care, all employees (present or prospective), contractors and other temporary personnel, parents and carers. It is club policy that no child, employee or other person will receive less favourable treatment on the grounds of gender, disability, race, marital status, age, sexual orientation, responsibility for dependents, religion or beliefs, HIV status or any other inappropriate distinction or disadvantaged by conditions or requirements which cannot be shown to be justifiable. (Equality Act 2010</w:t>
      </w:r>
      <w:r>
        <w:t>)</w:t>
      </w:r>
    </w:p>
    <w:p w14:paraId="2321359A" w14:textId="348D72C2" w:rsidR="001A1767" w:rsidRPr="001A1767" w:rsidRDefault="001A1767" w:rsidP="001A1767">
      <w:pPr>
        <w:rPr>
          <w:rFonts w:cstheme="minorHAnsi"/>
          <w:b/>
          <w:bCs/>
        </w:rPr>
      </w:pPr>
      <w:r w:rsidRPr="00941CC7">
        <w:rPr>
          <w:rFonts w:cstheme="minorHAnsi"/>
          <w:b/>
          <w:bCs/>
        </w:rPr>
        <w:t>The law:</w:t>
      </w:r>
    </w:p>
    <w:p w14:paraId="6EF5F992" w14:textId="5A8D52DC" w:rsidR="001A1767" w:rsidRPr="00941CC7" w:rsidRDefault="001A1767" w:rsidP="001A1767">
      <w:pPr>
        <w:rPr>
          <w:rFonts w:cstheme="minorHAnsi"/>
        </w:rPr>
      </w:pPr>
      <w:r w:rsidRPr="00941CC7">
        <w:rPr>
          <w:rFonts w:cstheme="minorHAnsi"/>
        </w:rPr>
        <w:t>The Equality Act 2010 makes it is unlawful to discriminate directly or indirectly in recruitment or employment on the grounds of the protected characteristics defined in the act. These protected characteristics are:</w:t>
      </w:r>
    </w:p>
    <w:p w14:paraId="6D7449A7"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Age</w:t>
      </w:r>
    </w:p>
    <w:p w14:paraId="213A7000"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Disability</w:t>
      </w:r>
    </w:p>
    <w:p w14:paraId="59E76BDE"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Gender reassignment</w:t>
      </w:r>
    </w:p>
    <w:p w14:paraId="1E220283"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Marriage and civil partnership</w:t>
      </w:r>
    </w:p>
    <w:p w14:paraId="19C70D6B"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Pregnancy and maternity</w:t>
      </w:r>
    </w:p>
    <w:p w14:paraId="045A93B2"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Race (including colour, nationality, ethnic or national origin)</w:t>
      </w:r>
    </w:p>
    <w:p w14:paraId="21E0D4A1"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Religion or belief</w:t>
      </w:r>
    </w:p>
    <w:p w14:paraId="4949EA79"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Sex</w:t>
      </w:r>
    </w:p>
    <w:p w14:paraId="33B4F076" w14:textId="77777777" w:rsidR="001A1767" w:rsidRPr="00941CC7" w:rsidRDefault="001A1767" w:rsidP="001A1767">
      <w:pPr>
        <w:pStyle w:val="ListParagraph"/>
        <w:numPr>
          <w:ilvl w:val="0"/>
          <w:numId w:val="6"/>
        </w:numPr>
        <w:spacing w:after="0" w:line="240" w:lineRule="auto"/>
        <w:rPr>
          <w:rFonts w:cstheme="minorHAnsi"/>
        </w:rPr>
      </w:pPr>
      <w:r w:rsidRPr="00941CC7">
        <w:rPr>
          <w:rFonts w:cstheme="minorHAnsi"/>
        </w:rPr>
        <w:t>Sexual orientation</w:t>
      </w:r>
    </w:p>
    <w:p w14:paraId="3F79A3CD" w14:textId="77777777" w:rsidR="001A1767" w:rsidRPr="00941CC7" w:rsidRDefault="001A1767" w:rsidP="001A1767">
      <w:pPr>
        <w:rPr>
          <w:rFonts w:cstheme="minorHAnsi"/>
        </w:rPr>
      </w:pPr>
    </w:p>
    <w:p w14:paraId="3311CC7E" w14:textId="31783FEA" w:rsidR="001A1767" w:rsidRPr="00941CC7" w:rsidRDefault="001A1767" w:rsidP="001A1767">
      <w:pPr>
        <w:rPr>
          <w:rFonts w:cstheme="minorHAnsi"/>
        </w:rPr>
      </w:pPr>
      <w:r w:rsidRPr="00941CC7">
        <w:rPr>
          <w:rFonts w:cstheme="minorHAnsi"/>
        </w:rPr>
        <w:t>Discrimination after employment may also be unlawful, e.g. refusing to give a reference for a reason related to one of the protected characteristics.</w:t>
      </w:r>
    </w:p>
    <w:p w14:paraId="4CDED690" w14:textId="77777777" w:rsidR="001A1767" w:rsidRPr="00941CC7" w:rsidRDefault="001A1767" w:rsidP="001A1767">
      <w:pPr>
        <w:rPr>
          <w:rFonts w:cstheme="minorHAnsi"/>
          <w:b/>
        </w:rPr>
      </w:pPr>
      <w:r w:rsidRPr="00941CC7">
        <w:rPr>
          <w:rFonts w:cstheme="minorHAnsi"/>
        </w:rPr>
        <w:t>Subject to limited exceptions in some circumstances for religion or belief and sexual orientation, it is unlawful to discriminate directly or indirectly, harass or victimise a member of the public based on any of the protected characteristics in the provision of services or goods. It is unlawful to fail to make reasonable adjustments to overcome barriers to using services caused by disability. The duty to make reasonable adjustments includes the 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r w:rsidRPr="00941CC7">
        <w:rPr>
          <w:rFonts w:cstheme="minorHAnsi"/>
          <w:b/>
        </w:rPr>
        <w:t>.</w:t>
      </w:r>
    </w:p>
    <w:p w14:paraId="1BDA3585" w14:textId="77777777" w:rsidR="001A1767" w:rsidRPr="00941CC7" w:rsidRDefault="001A1767" w:rsidP="001A1767">
      <w:pPr>
        <w:rPr>
          <w:rFonts w:cstheme="minorHAnsi"/>
          <w:b/>
        </w:rPr>
      </w:pPr>
    </w:p>
    <w:p w14:paraId="343B722A" w14:textId="77777777" w:rsidR="001A1767" w:rsidRDefault="001A1767" w:rsidP="001A1767">
      <w:pPr>
        <w:rPr>
          <w:rFonts w:cstheme="minorHAnsi"/>
          <w:b/>
        </w:rPr>
      </w:pPr>
    </w:p>
    <w:p w14:paraId="68620AD3" w14:textId="77777777" w:rsidR="001A1767" w:rsidRDefault="001A1767" w:rsidP="001A1767">
      <w:pPr>
        <w:rPr>
          <w:rFonts w:cstheme="minorHAnsi"/>
          <w:b/>
        </w:rPr>
      </w:pPr>
    </w:p>
    <w:p w14:paraId="3573D747" w14:textId="77777777" w:rsidR="001015FC" w:rsidRDefault="001015FC" w:rsidP="001A1767">
      <w:pPr>
        <w:rPr>
          <w:rFonts w:cstheme="minorHAnsi"/>
          <w:b/>
        </w:rPr>
      </w:pPr>
    </w:p>
    <w:p w14:paraId="5334B6D4" w14:textId="43BFF055" w:rsidR="001A1767" w:rsidRPr="00941CC7" w:rsidRDefault="001A1767" w:rsidP="001A1767">
      <w:pPr>
        <w:rPr>
          <w:rFonts w:cstheme="minorHAnsi"/>
          <w:b/>
        </w:rPr>
      </w:pPr>
      <w:r w:rsidRPr="00941CC7">
        <w:rPr>
          <w:rFonts w:cstheme="minorHAnsi"/>
          <w:b/>
        </w:rPr>
        <w:lastRenderedPageBreak/>
        <w:t>Equality, Diversity and Inclusion Policy</w:t>
      </w:r>
    </w:p>
    <w:p w14:paraId="221F34AA" w14:textId="3B17923D" w:rsidR="001A1767" w:rsidRDefault="001A1767" w:rsidP="001A1767">
      <w:pPr>
        <w:rPr>
          <w:rFonts w:cstheme="minorHAnsi"/>
        </w:rPr>
      </w:pPr>
      <w:r w:rsidRPr="00941CC7">
        <w:rPr>
          <w:rFonts w:cstheme="minorHAnsi"/>
        </w:rPr>
        <w:t>It is the policy of the organisation to be firmly committed to equal opportunities by promoting equality and diversity whilst eliminating discrimination. Any form of discrimination against an employee</w:t>
      </w:r>
      <w:r>
        <w:rPr>
          <w:rFonts w:cstheme="minorHAnsi"/>
        </w:rPr>
        <w:t>,</w:t>
      </w:r>
      <w:r w:rsidRPr="00941CC7">
        <w:rPr>
          <w:rFonts w:cstheme="minorHAnsi"/>
        </w:rPr>
        <w:t xml:space="preserve"> job applicant</w:t>
      </w:r>
      <w:r>
        <w:rPr>
          <w:rFonts w:cstheme="minorHAnsi"/>
        </w:rPr>
        <w:t>, family, service user or child</w:t>
      </w:r>
      <w:r w:rsidRPr="00941CC7">
        <w:rPr>
          <w:rFonts w:cstheme="minorHAnsi"/>
        </w:rPr>
        <w:t xml:space="preserve"> relating to the characteristics protected under the Equality Act (2010) will not be tolerated, and complaints of discrimination, bullying, harassment and victimisation will be taken seriously. Through the channels of the </w:t>
      </w:r>
      <w:r>
        <w:rPr>
          <w:rFonts w:cstheme="minorHAnsi"/>
        </w:rPr>
        <w:t>Flora Stevenson After School Club’s</w:t>
      </w:r>
      <w:r w:rsidRPr="00941CC7">
        <w:rPr>
          <w:rFonts w:cstheme="minorHAnsi"/>
        </w:rPr>
        <w:t xml:space="preserve"> grievance and disciplinary procedures, such acts will be treated as misconduct, or in particularly serious incidences, gross misconduct, which could lead to dismissal without notice. </w:t>
      </w:r>
    </w:p>
    <w:p w14:paraId="6F9D44FE" w14:textId="125208C0" w:rsidR="001A1767" w:rsidRPr="001A1767" w:rsidRDefault="001A1767" w:rsidP="001A1767">
      <w:r w:rsidRPr="002D3B39">
        <w:t xml:space="preserve">In accordance with the individual’s statutory protection against victimization, the club will seek to protect individuals from any form of victimization arising from their </w:t>
      </w:r>
      <w:proofErr w:type="gramStart"/>
      <w:r w:rsidRPr="002D3B39">
        <w:t>taking action</w:t>
      </w:r>
      <w:proofErr w:type="gramEnd"/>
      <w:r w:rsidRPr="002D3B39">
        <w:t xml:space="preserve"> in relation to their rights under the relevant legislation or making any complaint under the procedure.</w:t>
      </w:r>
    </w:p>
    <w:p w14:paraId="061CE326" w14:textId="70267860" w:rsidR="001A1767" w:rsidRDefault="001A1767" w:rsidP="001A1767">
      <w:pPr>
        <w:rPr>
          <w:rFonts w:cstheme="minorHAnsi"/>
        </w:rPr>
      </w:pPr>
      <w:r w:rsidRPr="00941CC7">
        <w:rPr>
          <w:rFonts w:cstheme="minorHAnsi"/>
        </w:rPr>
        <w:t xml:space="preserve">All employees are entitled to be treated with respect and dignity and </w:t>
      </w:r>
      <w:r w:rsidRPr="002D3B39">
        <w:rPr>
          <w:rFonts w:cstheme="minorHAnsi"/>
          <w:bCs/>
          <w:color w:val="000000" w:themeColor="text1"/>
        </w:rPr>
        <w:t>Flora Stevenson After School Club</w:t>
      </w:r>
      <w:r w:rsidRPr="00941CC7">
        <w:rPr>
          <w:rFonts w:cstheme="minorHAnsi"/>
          <w:bCs/>
          <w:color w:val="FF0000"/>
        </w:rPr>
        <w:t xml:space="preserve"> </w:t>
      </w:r>
      <w:r w:rsidRPr="00941CC7">
        <w:rPr>
          <w:rFonts w:cstheme="minorHAnsi"/>
        </w:rPr>
        <w:t xml:space="preserve">will not tolerate the victimisation, bullying behaviour or harassment of employees on the grounds of holding the protected characteristics, or believed to be holding such protected characteristics. In addition, </w:t>
      </w:r>
      <w:r w:rsidRPr="002D3B39">
        <w:rPr>
          <w:rFonts w:cstheme="minorHAnsi"/>
          <w:bCs/>
          <w:color w:val="000000" w:themeColor="text1"/>
        </w:rPr>
        <w:t>Flora Stevenson After School Club</w:t>
      </w:r>
      <w:r w:rsidRPr="00941CC7">
        <w:rPr>
          <w:rFonts w:cstheme="minorHAnsi"/>
          <w:bCs/>
          <w:color w:val="FF0000"/>
        </w:rPr>
        <w:t xml:space="preserve"> </w:t>
      </w:r>
      <w:r w:rsidRPr="00941CC7">
        <w:rPr>
          <w:rFonts w:cstheme="minorHAnsi"/>
        </w:rPr>
        <w:t xml:space="preserve">does not tolerate bullying behaviour and harassment due to a person’s class or cultural background, physical appearance, accent or such characteristics attributed to them as a basis for bullying behaviour or harassment. </w:t>
      </w:r>
    </w:p>
    <w:p w14:paraId="29D87E85" w14:textId="0EE4F7C9" w:rsidR="001A1767" w:rsidRPr="00941CC7" w:rsidRDefault="001A1767" w:rsidP="001A1767">
      <w:pPr>
        <w:rPr>
          <w:rFonts w:cstheme="minorHAnsi"/>
        </w:rPr>
      </w:pPr>
      <w:proofErr w:type="gramStart"/>
      <w:r>
        <w:rPr>
          <w:rFonts w:cstheme="minorHAnsi"/>
        </w:rPr>
        <w:t>Again</w:t>
      </w:r>
      <w:proofErr w:type="gramEnd"/>
      <w:r>
        <w:rPr>
          <w:rFonts w:cstheme="minorHAnsi"/>
        </w:rPr>
        <w:t xml:space="preserve"> as stated above </w:t>
      </w:r>
      <w:r w:rsidRPr="002D3B39">
        <w:t>The Club will treat a breach of this policy extremely seriously and will take appropriate disciplinary action (including summary dismissal and termination of contract) as deemed necessary</w:t>
      </w:r>
      <w:r>
        <w:t>.</w:t>
      </w:r>
    </w:p>
    <w:p w14:paraId="0162579C" w14:textId="010285B5" w:rsidR="001A1767" w:rsidRPr="00941CC7" w:rsidRDefault="001A1767" w:rsidP="001A1767">
      <w:pPr>
        <w:rPr>
          <w:rFonts w:cstheme="minorHAnsi"/>
        </w:rPr>
      </w:pPr>
      <w:r w:rsidRPr="00941CC7">
        <w:rPr>
          <w:rFonts w:cstheme="minorHAnsi"/>
        </w:rPr>
        <w:t xml:space="preserve">All employees have a personal responsibility for the implementation of this policy. </w:t>
      </w:r>
    </w:p>
    <w:p w14:paraId="6BB994EC" w14:textId="3A1B066E" w:rsidR="001A1767" w:rsidRPr="001015FC" w:rsidRDefault="001A1767" w:rsidP="001A1767">
      <w:pPr>
        <w:pStyle w:val="Heading1"/>
        <w:rPr>
          <w:rFonts w:asciiTheme="minorHAnsi" w:hAnsiTheme="minorHAnsi" w:cstheme="minorHAnsi"/>
          <w:b/>
          <w:bCs/>
          <w:color w:val="auto"/>
          <w:sz w:val="22"/>
          <w:szCs w:val="22"/>
        </w:rPr>
      </w:pPr>
      <w:r w:rsidRPr="001015FC">
        <w:rPr>
          <w:rFonts w:asciiTheme="minorHAnsi" w:hAnsiTheme="minorHAnsi" w:cstheme="minorHAnsi"/>
          <w:b/>
          <w:bCs/>
          <w:color w:val="auto"/>
          <w:sz w:val="22"/>
          <w:szCs w:val="22"/>
        </w:rPr>
        <w:t>Application of Policy</w:t>
      </w:r>
    </w:p>
    <w:p w14:paraId="2C88560A" w14:textId="39D27989" w:rsidR="001A1767" w:rsidRPr="00941CC7" w:rsidRDefault="001A1767" w:rsidP="001A1767">
      <w:pPr>
        <w:rPr>
          <w:rFonts w:cstheme="minorHAnsi"/>
        </w:rPr>
      </w:pPr>
      <w:r w:rsidRPr="00941CC7">
        <w:rPr>
          <w:rFonts w:cstheme="minorHAnsi"/>
        </w:rPr>
        <w:t>This policy applies to:</w:t>
      </w:r>
    </w:p>
    <w:p w14:paraId="05597D2D"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Pay and benefits</w:t>
      </w:r>
    </w:p>
    <w:p w14:paraId="5523DC05"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Terms and conditions of employment</w:t>
      </w:r>
    </w:p>
    <w:p w14:paraId="5BBCA041"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Dealing with grievances and discipline</w:t>
      </w:r>
    </w:p>
    <w:p w14:paraId="6E5CC1CA"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Dismissal</w:t>
      </w:r>
    </w:p>
    <w:p w14:paraId="77835CF6"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Redundancy</w:t>
      </w:r>
    </w:p>
    <w:p w14:paraId="05924FDE"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Leave for parents</w:t>
      </w:r>
    </w:p>
    <w:p w14:paraId="590EACEC"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Requests for flexible working</w:t>
      </w:r>
    </w:p>
    <w:p w14:paraId="230CB932"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 xml:space="preserve">Selection for employment, promotion, training or other developmental opportunities </w:t>
      </w:r>
    </w:p>
    <w:p w14:paraId="3A297660" w14:textId="77777777" w:rsidR="001A1767" w:rsidRPr="00941CC7" w:rsidRDefault="001A1767" w:rsidP="001A1767">
      <w:pPr>
        <w:pStyle w:val="ListParagraph"/>
        <w:numPr>
          <w:ilvl w:val="0"/>
          <w:numId w:val="7"/>
        </w:numPr>
        <w:spacing w:after="200" w:line="276" w:lineRule="auto"/>
        <w:rPr>
          <w:rFonts w:cstheme="minorHAnsi"/>
        </w:rPr>
      </w:pPr>
      <w:r w:rsidRPr="00941CC7">
        <w:rPr>
          <w:rFonts w:cstheme="minorHAnsi"/>
        </w:rPr>
        <w:t>All other aspects of employment</w:t>
      </w:r>
    </w:p>
    <w:p w14:paraId="63AF1817" w14:textId="77777777" w:rsidR="001A1767" w:rsidRPr="00941CC7" w:rsidRDefault="001A1767" w:rsidP="001A1767">
      <w:pPr>
        <w:rPr>
          <w:rFonts w:cstheme="minorHAnsi"/>
        </w:rPr>
      </w:pPr>
      <w:r w:rsidRPr="00941CC7">
        <w:rPr>
          <w:rFonts w:cstheme="minorHAnsi"/>
        </w:rPr>
        <w:t>All terms and conditions of employment and related benefits shall be non-discriminatory, other than where there are legal grounds for discriminating such as in the case of gender specific jobs.  Applicants for employment will be assessed according to their skills, experience and suitably for the job.</w:t>
      </w:r>
    </w:p>
    <w:p w14:paraId="4F3C14AE" w14:textId="77777777" w:rsidR="001A1767" w:rsidRDefault="001A1767" w:rsidP="001A1767">
      <w:pPr>
        <w:rPr>
          <w:rFonts w:cstheme="minorHAnsi"/>
        </w:rPr>
      </w:pPr>
    </w:p>
    <w:p w14:paraId="49EA7504" w14:textId="77777777" w:rsidR="00E04C11" w:rsidRPr="00941CC7" w:rsidRDefault="00E04C11" w:rsidP="001A1767">
      <w:pPr>
        <w:rPr>
          <w:rFonts w:cstheme="minorHAnsi"/>
        </w:rPr>
      </w:pPr>
    </w:p>
    <w:p w14:paraId="3ADDC214" w14:textId="4297F5CA" w:rsidR="001A1767" w:rsidRPr="00941CC7" w:rsidRDefault="001A1767" w:rsidP="001A1767">
      <w:pPr>
        <w:rPr>
          <w:rFonts w:cstheme="minorHAnsi"/>
        </w:rPr>
      </w:pPr>
      <w:r w:rsidRPr="00941CC7">
        <w:rPr>
          <w:rFonts w:cstheme="minorHAnsi"/>
        </w:rPr>
        <w:lastRenderedPageBreak/>
        <w:t>This policy also applies to the treatment of our</w:t>
      </w:r>
      <w:r>
        <w:rPr>
          <w:rFonts w:cstheme="minorHAnsi"/>
        </w:rPr>
        <w:t xml:space="preserve"> service users,</w:t>
      </w:r>
      <w:r w:rsidRPr="00941CC7">
        <w:rPr>
          <w:rFonts w:cstheme="minorHAnsi"/>
        </w:rPr>
        <w:t xml:space="preserve"> </w:t>
      </w:r>
      <w:r>
        <w:rPr>
          <w:rFonts w:cstheme="minorHAnsi"/>
        </w:rPr>
        <w:t>families</w:t>
      </w:r>
      <w:r w:rsidRPr="00941CC7">
        <w:rPr>
          <w:rFonts w:cstheme="minorHAnsi"/>
        </w:rPr>
        <w:t xml:space="preserve"> and c</w:t>
      </w:r>
      <w:r>
        <w:rPr>
          <w:rFonts w:cstheme="minorHAnsi"/>
        </w:rPr>
        <w:t>hildren</w:t>
      </w:r>
      <w:r w:rsidRPr="00941CC7">
        <w:rPr>
          <w:rFonts w:cstheme="minorHAnsi"/>
        </w:rPr>
        <w:t xml:space="preserve">.  </w:t>
      </w:r>
    </w:p>
    <w:p w14:paraId="686B4D2F" w14:textId="77777777" w:rsidR="001A1767" w:rsidRPr="00941CC7" w:rsidRDefault="001A1767" w:rsidP="001A1767">
      <w:pPr>
        <w:rPr>
          <w:rFonts w:cstheme="minorHAnsi"/>
        </w:rPr>
      </w:pPr>
      <w:r w:rsidRPr="00941CC7">
        <w:rPr>
          <w:rFonts w:cstheme="minorHAnsi"/>
        </w:rPr>
        <w:t xml:space="preserve">If employees have any doubts as to the applicability of this policy, advice should be sought from the </w:t>
      </w:r>
      <w:proofErr w:type="gramStart"/>
      <w:r w:rsidRPr="00941CC7">
        <w:rPr>
          <w:rFonts w:cstheme="minorHAnsi"/>
        </w:rPr>
        <w:t>Ch</w:t>
      </w:r>
      <w:r>
        <w:rPr>
          <w:rFonts w:cstheme="minorHAnsi"/>
        </w:rPr>
        <w:t>air Person</w:t>
      </w:r>
      <w:proofErr w:type="gramEnd"/>
      <w:r w:rsidRPr="00941CC7">
        <w:rPr>
          <w:rFonts w:cstheme="minorHAnsi"/>
        </w:rPr>
        <w:t xml:space="preserve">.  </w:t>
      </w:r>
    </w:p>
    <w:p w14:paraId="777CEEB2" w14:textId="77777777" w:rsidR="001A1767" w:rsidRPr="00941CC7" w:rsidRDefault="001A1767" w:rsidP="001A1767">
      <w:pPr>
        <w:rPr>
          <w:rFonts w:cstheme="minorHAnsi"/>
        </w:rPr>
      </w:pPr>
    </w:p>
    <w:p w14:paraId="77E73341" w14:textId="5ABD3055" w:rsidR="001A1767" w:rsidRPr="001015FC" w:rsidRDefault="001A1767" w:rsidP="00E04C11">
      <w:pPr>
        <w:pStyle w:val="Heading2"/>
        <w:rPr>
          <w:rFonts w:asciiTheme="minorHAnsi" w:hAnsiTheme="minorHAnsi" w:cstheme="minorHAnsi"/>
          <w:b/>
          <w:bCs/>
          <w:color w:val="auto"/>
          <w:sz w:val="22"/>
          <w:szCs w:val="22"/>
        </w:rPr>
      </w:pPr>
      <w:r w:rsidRPr="001015FC">
        <w:rPr>
          <w:rFonts w:asciiTheme="minorHAnsi" w:hAnsiTheme="minorHAnsi" w:cstheme="minorHAnsi"/>
          <w:b/>
          <w:bCs/>
          <w:color w:val="auto"/>
          <w:sz w:val="22"/>
          <w:szCs w:val="22"/>
        </w:rPr>
        <w:t>Remedies</w:t>
      </w:r>
    </w:p>
    <w:p w14:paraId="3617E753" w14:textId="26F40093" w:rsidR="001A1767" w:rsidRPr="00941CC7" w:rsidRDefault="001A1767" w:rsidP="001A1767">
      <w:pPr>
        <w:rPr>
          <w:rFonts w:cstheme="minorHAnsi"/>
        </w:rPr>
      </w:pPr>
      <w:r w:rsidRPr="00941CC7">
        <w:rPr>
          <w:rFonts w:cstheme="minorHAnsi"/>
        </w:rPr>
        <w:t xml:space="preserve">If any employee believes that they have been discriminated against on any of the grounds referred to above, they may raise the matter informally with their immediate line manager or the </w:t>
      </w:r>
      <w:proofErr w:type="gramStart"/>
      <w:r>
        <w:rPr>
          <w:rFonts w:cstheme="minorHAnsi"/>
        </w:rPr>
        <w:t>Chair Person</w:t>
      </w:r>
      <w:proofErr w:type="gramEnd"/>
      <w:r w:rsidRPr="00941CC7">
        <w:rPr>
          <w:rFonts w:cstheme="minorHAnsi"/>
        </w:rPr>
        <w:t xml:space="preserve">.  If the employee wishes to raise the matter further, they should invoke </w:t>
      </w:r>
      <w:r>
        <w:rPr>
          <w:rFonts w:cstheme="minorHAnsi"/>
          <w:bCs/>
          <w:color w:val="000000" w:themeColor="text1"/>
        </w:rPr>
        <w:t xml:space="preserve">the </w:t>
      </w:r>
      <w:proofErr w:type="gramStart"/>
      <w:r>
        <w:rPr>
          <w:rFonts w:cstheme="minorHAnsi"/>
          <w:bCs/>
          <w:color w:val="000000" w:themeColor="text1"/>
        </w:rPr>
        <w:t>clubs</w:t>
      </w:r>
      <w:proofErr w:type="gramEnd"/>
      <w:r w:rsidRPr="00941CC7">
        <w:rPr>
          <w:rFonts w:cstheme="minorHAnsi"/>
          <w:bCs/>
          <w:color w:val="FF0000"/>
        </w:rPr>
        <w:t xml:space="preserve"> </w:t>
      </w:r>
      <w:r w:rsidRPr="00941CC7">
        <w:rPr>
          <w:rFonts w:cstheme="minorHAnsi"/>
        </w:rPr>
        <w:t>grievance procedure.</w:t>
      </w:r>
    </w:p>
    <w:p w14:paraId="29DE5916" w14:textId="79C6DD1E" w:rsidR="001A1767" w:rsidRPr="00E04C11" w:rsidRDefault="001A1767" w:rsidP="00E04C11">
      <w:pPr>
        <w:rPr>
          <w:rFonts w:cstheme="minorHAnsi"/>
          <w:b/>
          <w:bCs/>
        </w:rPr>
      </w:pPr>
      <w:r w:rsidRPr="00941CC7">
        <w:rPr>
          <w:rFonts w:cstheme="minorHAnsi"/>
          <w:b/>
          <w:bCs/>
        </w:rPr>
        <w:t>Inclusion</w:t>
      </w:r>
    </w:p>
    <w:p w14:paraId="520C767C" w14:textId="77777777" w:rsidR="001A1767" w:rsidRPr="00941CC7" w:rsidRDefault="001A1767" w:rsidP="001A1767">
      <w:pPr>
        <w:pStyle w:val="BodyText"/>
        <w:jc w:val="left"/>
        <w:rPr>
          <w:rFonts w:asciiTheme="minorHAnsi" w:hAnsiTheme="minorHAnsi" w:cstheme="minorHAnsi"/>
          <w:lang w:val="en-GB"/>
        </w:rPr>
      </w:pPr>
      <w:r w:rsidRPr="00941CC7">
        <w:rPr>
          <w:rFonts w:asciiTheme="minorHAnsi" w:hAnsiTheme="minorHAnsi" w:cstheme="minorHAnsi"/>
          <w:lang w:val="en-GB"/>
        </w:rPr>
        <w:t>Reasonable steps must be taken to ensure that events, publications and policies of the organisation are inclusive.</w:t>
      </w:r>
    </w:p>
    <w:p w14:paraId="432A568D" w14:textId="77777777" w:rsidR="001A1767" w:rsidRPr="00941CC7" w:rsidRDefault="001A1767" w:rsidP="001A1767">
      <w:pPr>
        <w:pStyle w:val="BodyText"/>
        <w:jc w:val="left"/>
        <w:rPr>
          <w:rFonts w:asciiTheme="minorHAnsi" w:hAnsiTheme="minorHAnsi" w:cstheme="minorHAnsi"/>
          <w:lang w:val="en-GB"/>
        </w:rPr>
      </w:pPr>
    </w:p>
    <w:p w14:paraId="4A474174" w14:textId="77777777" w:rsidR="001A1767" w:rsidRPr="001015FC" w:rsidRDefault="001A1767" w:rsidP="001A1767">
      <w:pPr>
        <w:pStyle w:val="BodyText"/>
        <w:jc w:val="left"/>
        <w:rPr>
          <w:rFonts w:asciiTheme="minorHAnsi" w:hAnsiTheme="minorHAnsi" w:cstheme="minorHAnsi"/>
          <w:sz w:val="22"/>
          <w:szCs w:val="22"/>
          <w:lang w:val="en-GB"/>
        </w:rPr>
      </w:pPr>
      <w:r w:rsidRPr="001015FC">
        <w:rPr>
          <w:rFonts w:asciiTheme="minorHAnsi" w:hAnsiTheme="minorHAnsi" w:cstheme="minorHAnsi"/>
          <w:b/>
          <w:bCs/>
          <w:sz w:val="22"/>
          <w:szCs w:val="22"/>
          <w:lang w:val="en-GB"/>
        </w:rPr>
        <w:t>Monitoring</w:t>
      </w:r>
    </w:p>
    <w:p w14:paraId="2AA6DE00" w14:textId="77777777" w:rsidR="001A1767" w:rsidRPr="00941CC7" w:rsidRDefault="001A1767" w:rsidP="001A1767">
      <w:pPr>
        <w:pStyle w:val="BodyText"/>
        <w:jc w:val="left"/>
        <w:rPr>
          <w:rFonts w:asciiTheme="minorHAnsi" w:hAnsiTheme="minorHAnsi" w:cstheme="minorHAnsi"/>
          <w:lang w:val="en-GB"/>
        </w:rPr>
      </w:pPr>
    </w:p>
    <w:p w14:paraId="5E9F7E30" w14:textId="77777777" w:rsidR="001A1767" w:rsidRPr="00941CC7" w:rsidRDefault="001A1767" w:rsidP="001A1767">
      <w:pPr>
        <w:pStyle w:val="BodyText"/>
        <w:jc w:val="left"/>
        <w:rPr>
          <w:rFonts w:asciiTheme="minorHAnsi" w:hAnsiTheme="minorHAnsi" w:cstheme="minorHAnsi"/>
          <w:lang w:val="en-GB"/>
        </w:rPr>
      </w:pPr>
      <w:r w:rsidRPr="00941CC7">
        <w:rPr>
          <w:rFonts w:asciiTheme="minorHAnsi" w:hAnsiTheme="minorHAnsi" w:cstheme="minorHAnsi"/>
          <w:lang w:val="en-GB"/>
        </w:rPr>
        <w:t>There should be statistical monitoring and regular reviews to determine the inclusiveness of the organisation.</w:t>
      </w:r>
    </w:p>
    <w:p w14:paraId="27B8EFA0" w14:textId="77777777" w:rsidR="001A1767" w:rsidRPr="00941CC7" w:rsidRDefault="001A1767" w:rsidP="001A1767">
      <w:pPr>
        <w:pStyle w:val="BodyText"/>
        <w:jc w:val="left"/>
        <w:rPr>
          <w:rFonts w:asciiTheme="minorHAnsi" w:hAnsiTheme="minorHAnsi" w:cstheme="minorHAnsi"/>
          <w:lang w:val="en-GB"/>
        </w:rPr>
      </w:pPr>
    </w:p>
    <w:p w14:paraId="7CCD8E16" w14:textId="77777777" w:rsidR="001A1767" w:rsidRPr="001015FC" w:rsidRDefault="001A1767" w:rsidP="001A1767">
      <w:pPr>
        <w:pStyle w:val="BodyText"/>
        <w:jc w:val="left"/>
        <w:rPr>
          <w:rFonts w:asciiTheme="minorHAnsi" w:hAnsiTheme="minorHAnsi" w:cstheme="minorHAnsi"/>
          <w:b/>
          <w:bCs/>
          <w:sz w:val="22"/>
          <w:szCs w:val="22"/>
          <w:lang w:val="en-GB"/>
        </w:rPr>
      </w:pPr>
      <w:r w:rsidRPr="001015FC">
        <w:rPr>
          <w:rFonts w:asciiTheme="minorHAnsi" w:hAnsiTheme="minorHAnsi" w:cstheme="minorHAnsi"/>
          <w:b/>
          <w:bCs/>
          <w:sz w:val="22"/>
          <w:szCs w:val="22"/>
          <w:lang w:val="en-GB"/>
        </w:rPr>
        <w:t>Rights of the Child</w:t>
      </w:r>
    </w:p>
    <w:p w14:paraId="74D0CE56" w14:textId="77777777" w:rsidR="001A1767" w:rsidRPr="00941CC7" w:rsidRDefault="001A1767" w:rsidP="001A1767">
      <w:pPr>
        <w:pStyle w:val="BodyText"/>
        <w:jc w:val="left"/>
        <w:rPr>
          <w:rFonts w:asciiTheme="minorHAnsi" w:hAnsiTheme="minorHAnsi" w:cstheme="minorHAnsi"/>
          <w:b/>
          <w:bCs/>
          <w:lang w:val="en-GB"/>
        </w:rPr>
      </w:pPr>
    </w:p>
    <w:p w14:paraId="0988AC43" w14:textId="77777777" w:rsidR="001A1767" w:rsidRDefault="001A1767" w:rsidP="001A1767">
      <w:pPr>
        <w:rPr>
          <w:rFonts w:cstheme="minorHAnsi"/>
        </w:rPr>
      </w:pPr>
      <w:r w:rsidRPr="00941CC7">
        <w:rPr>
          <w:rFonts w:cstheme="minorHAnsi"/>
        </w:rPr>
        <w:t xml:space="preserve">The organisation is committed to the principles enshrined in the UN Convention on the Rights of the Child (1989) and recognises the need to promote such rights, particularly articles: 31, the child’s right to culture, leisure, rest and play; 12, the child’s right to consultation; 23; supporting the particular needs of children with disabilities; and 18, state’s duty to support parents. The organisation is committed to GIRFEC and the SHANARRI framework. </w:t>
      </w:r>
    </w:p>
    <w:p w14:paraId="5B4532EC" w14:textId="77777777" w:rsidR="001A1767" w:rsidRDefault="001A1767" w:rsidP="001A1767">
      <w:pPr>
        <w:rPr>
          <w:rFonts w:cstheme="minorHAnsi"/>
        </w:rPr>
      </w:pPr>
    </w:p>
    <w:p w14:paraId="08BF6480" w14:textId="77777777" w:rsidR="001A1767" w:rsidRPr="002D3B39" w:rsidRDefault="001A1767" w:rsidP="001A1767">
      <w:pPr>
        <w:rPr>
          <w:b/>
        </w:rPr>
      </w:pPr>
      <w:r w:rsidRPr="002D3B39">
        <w:rPr>
          <w:b/>
        </w:rPr>
        <w:t>Part Time Employees</w:t>
      </w:r>
    </w:p>
    <w:p w14:paraId="56EE3361" w14:textId="28CA48EA" w:rsidR="001A1767" w:rsidRPr="00E04C11" w:rsidRDefault="001A1767" w:rsidP="001A1767">
      <w:r w:rsidRPr="002D3B39">
        <w:t xml:space="preserve">The club will not treat part-time workers less </w:t>
      </w:r>
      <w:r w:rsidR="00E04C11" w:rsidRPr="002D3B39">
        <w:t>favourably</w:t>
      </w:r>
      <w:r w:rsidRPr="002D3B39">
        <w:t xml:space="preserve"> than their full-time counterparts, just because they work part-time, unless there is an objective justification for such treatment. </w:t>
      </w:r>
    </w:p>
    <w:p w14:paraId="2EB24F51" w14:textId="735BF3D3" w:rsidR="001A1767" w:rsidRPr="00941CC7" w:rsidRDefault="001A1767" w:rsidP="001A1767">
      <w:pPr>
        <w:rPr>
          <w:rFonts w:cstheme="minorHAnsi"/>
        </w:rPr>
      </w:pPr>
      <w:r w:rsidRPr="00941CC7">
        <w:rPr>
          <w:rFonts w:cstheme="minorHAnsi"/>
          <w:b/>
          <w:bCs/>
        </w:rPr>
        <w:t>Training</w:t>
      </w:r>
    </w:p>
    <w:p w14:paraId="67EF33AB" w14:textId="29A5D60C" w:rsidR="001A1767" w:rsidRPr="00941CC7" w:rsidRDefault="001A1767" w:rsidP="001A1767">
      <w:pPr>
        <w:rPr>
          <w:rFonts w:cstheme="minorHAnsi"/>
        </w:rPr>
      </w:pPr>
      <w:r w:rsidRPr="00941CC7">
        <w:rPr>
          <w:rFonts w:cstheme="minorHAnsi"/>
        </w:rPr>
        <w:t>The organisation will provide suitable training material and courses to staff, management and committee members on equality, diversity and inclusion as part of:</w:t>
      </w:r>
    </w:p>
    <w:p w14:paraId="5E9E035B" w14:textId="77777777" w:rsidR="001A1767" w:rsidRPr="00941CC7" w:rsidRDefault="001A1767" w:rsidP="001A1767">
      <w:pPr>
        <w:numPr>
          <w:ilvl w:val="0"/>
          <w:numId w:val="5"/>
        </w:numPr>
        <w:spacing w:after="0" w:line="240" w:lineRule="auto"/>
        <w:rPr>
          <w:rFonts w:cstheme="minorHAnsi"/>
        </w:rPr>
      </w:pPr>
      <w:r w:rsidRPr="00941CC7">
        <w:rPr>
          <w:rFonts w:cstheme="minorHAnsi"/>
        </w:rPr>
        <w:t>Induction training for new staff/management committee</w:t>
      </w:r>
    </w:p>
    <w:p w14:paraId="6EF3AAE6" w14:textId="77777777" w:rsidR="001A1767" w:rsidRPr="00941CC7" w:rsidRDefault="001A1767" w:rsidP="001A1767">
      <w:pPr>
        <w:numPr>
          <w:ilvl w:val="0"/>
          <w:numId w:val="5"/>
        </w:numPr>
        <w:spacing w:after="0" w:line="240" w:lineRule="auto"/>
        <w:rPr>
          <w:rFonts w:cstheme="minorHAnsi"/>
        </w:rPr>
      </w:pPr>
      <w:r w:rsidRPr="00941CC7">
        <w:rPr>
          <w:rFonts w:cstheme="minorHAnsi"/>
        </w:rPr>
        <w:t>Introducing new legislation</w:t>
      </w:r>
    </w:p>
    <w:p w14:paraId="14F02887" w14:textId="77777777" w:rsidR="001A1767" w:rsidRDefault="001A1767" w:rsidP="001A1767">
      <w:pPr>
        <w:numPr>
          <w:ilvl w:val="0"/>
          <w:numId w:val="5"/>
        </w:numPr>
        <w:spacing w:after="0" w:line="240" w:lineRule="auto"/>
        <w:rPr>
          <w:rFonts w:cstheme="minorHAnsi"/>
        </w:rPr>
      </w:pPr>
      <w:r w:rsidRPr="00941CC7">
        <w:rPr>
          <w:rFonts w:cstheme="minorHAnsi"/>
        </w:rPr>
        <w:t>Supporting staff or committee members dealing with discriminatory practice</w:t>
      </w:r>
    </w:p>
    <w:p w14:paraId="65246DE4" w14:textId="77777777" w:rsidR="00E04C11" w:rsidRDefault="00E04C11" w:rsidP="00E04C11">
      <w:pPr>
        <w:spacing w:after="0" w:line="240" w:lineRule="auto"/>
        <w:rPr>
          <w:rFonts w:cstheme="minorHAnsi"/>
        </w:rPr>
      </w:pPr>
    </w:p>
    <w:p w14:paraId="1A8E90A3" w14:textId="77777777" w:rsidR="00E04C11" w:rsidRDefault="00E04C11" w:rsidP="00E04C11">
      <w:pPr>
        <w:spacing w:after="0" w:line="240" w:lineRule="auto"/>
        <w:rPr>
          <w:rFonts w:cstheme="minorHAnsi"/>
        </w:rPr>
      </w:pPr>
    </w:p>
    <w:p w14:paraId="04750A0C" w14:textId="77777777" w:rsidR="00E04C11" w:rsidRDefault="00E04C11" w:rsidP="00E04C11">
      <w:pPr>
        <w:spacing w:after="0" w:line="240" w:lineRule="auto"/>
        <w:rPr>
          <w:rFonts w:cstheme="minorHAnsi"/>
        </w:rPr>
      </w:pPr>
    </w:p>
    <w:p w14:paraId="72E2B3CF" w14:textId="77777777" w:rsidR="00E04C11" w:rsidRDefault="00E04C11" w:rsidP="00E04C11">
      <w:pPr>
        <w:spacing w:after="0" w:line="240" w:lineRule="auto"/>
        <w:rPr>
          <w:rFonts w:cstheme="minorHAnsi"/>
        </w:rPr>
      </w:pPr>
    </w:p>
    <w:p w14:paraId="22931671" w14:textId="77777777" w:rsidR="00E04C11" w:rsidRDefault="00E04C11" w:rsidP="00E04C11">
      <w:pPr>
        <w:spacing w:after="0" w:line="240" w:lineRule="auto"/>
        <w:rPr>
          <w:rFonts w:cstheme="minorHAnsi"/>
        </w:rPr>
      </w:pPr>
    </w:p>
    <w:tbl>
      <w:tblPr>
        <w:tblStyle w:val="TableGrid"/>
        <w:tblW w:w="0" w:type="auto"/>
        <w:tblLook w:val="04A0" w:firstRow="1" w:lastRow="0" w:firstColumn="1" w:lastColumn="0" w:noHBand="0" w:noVBand="1"/>
      </w:tblPr>
      <w:tblGrid>
        <w:gridCol w:w="4508"/>
        <w:gridCol w:w="4508"/>
      </w:tblGrid>
      <w:tr w:rsidR="001A1767" w14:paraId="6F93DD36" w14:textId="77777777" w:rsidTr="003C159F">
        <w:trPr>
          <w:trHeight w:val="69"/>
        </w:trPr>
        <w:tc>
          <w:tcPr>
            <w:tcW w:w="9016" w:type="dxa"/>
            <w:gridSpan w:val="2"/>
            <w:shd w:val="clear" w:color="auto" w:fill="83CAEB" w:themeFill="accent1" w:themeFillTint="66"/>
          </w:tcPr>
          <w:p w14:paraId="5C4F76F8" w14:textId="77777777" w:rsidR="001A1767" w:rsidRDefault="001A1767" w:rsidP="003C159F">
            <w:pPr>
              <w:pStyle w:val="policy-paragraph"/>
              <w:ind w:firstLine="720"/>
            </w:pPr>
          </w:p>
        </w:tc>
      </w:tr>
      <w:tr w:rsidR="001A1767" w14:paraId="28CB805E" w14:textId="77777777" w:rsidTr="003C159F">
        <w:tc>
          <w:tcPr>
            <w:tcW w:w="4508" w:type="dxa"/>
          </w:tcPr>
          <w:p w14:paraId="169A47A5" w14:textId="77777777" w:rsidR="001A1767" w:rsidRDefault="001A1767" w:rsidP="003C159F">
            <w:pPr>
              <w:pStyle w:val="policy-paragraph"/>
            </w:pPr>
            <w:r>
              <w:t>This policy was adopted on date</w:t>
            </w:r>
          </w:p>
        </w:tc>
        <w:tc>
          <w:tcPr>
            <w:tcW w:w="4508" w:type="dxa"/>
          </w:tcPr>
          <w:p w14:paraId="37BB557D" w14:textId="77777777" w:rsidR="001A1767" w:rsidRDefault="001A1767" w:rsidP="003C159F">
            <w:pPr>
              <w:pStyle w:val="policy-paragraph"/>
            </w:pPr>
            <w:r>
              <w:t>18</w:t>
            </w:r>
            <w:r w:rsidRPr="008D0D1C">
              <w:rPr>
                <w:vertAlign w:val="superscript"/>
              </w:rPr>
              <w:t>th</w:t>
            </w:r>
            <w:r>
              <w:t xml:space="preserve"> of May 2014</w:t>
            </w:r>
          </w:p>
        </w:tc>
      </w:tr>
      <w:tr w:rsidR="001A1767" w14:paraId="4A86D639" w14:textId="77777777" w:rsidTr="003C159F">
        <w:tc>
          <w:tcPr>
            <w:tcW w:w="4508" w:type="dxa"/>
          </w:tcPr>
          <w:p w14:paraId="22085577" w14:textId="77777777" w:rsidR="001A1767" w:rsidRDefault="001A1767" w:rsidP="003C159F">
            <w:pPr>
              <w:pStyle w:val="policy-paragraph"/>
            </w:pPr>
            <w:r>
              <w:t>Last review date</w:t>
            </w:r>
          </w:p>
        </w:tc>
        <w:tc>
          <w:tcPr>
            <w:tcW w:w="4508" w:type="dxa"/>
          </w:tcPr>
          <w:p w14:paraId="34C37C5D" w14:textId="77777777" w:rsidR="001A1767" w:rsidRDefault="001A1767" w:rsidP="003C159F">
            <w:pPr>
              <w:pStyle w:val="policy-paragraph"/>
            </w:pPr>
            <w:r>
              <w:t>27</w:t>
            </w:r>
            <w:r w:rsidRPr="008D0D1C">
              <w:rPr>
                <w:vertAlign w:val="superscript"/>
              </w:rPr>
              <w:t>th</w:t>
            </w:r>
            <w:r>
              <w:t xml:space="preserve"> of August 2025</w:t>
            </w:r>
          </w:p>
        </w:tc>
      </w:tr>
      <w:tr w:rsidR="001A1767" w14:paraId="4EF6E959" w14:textId="77777777" w:rsidTr="003C159F">
        <w:tc>
          <w:tcPr>
            <w:tcW w:w="4508" w:type="dxa"/>
          </w:tcPr>
          <w:p w14:paraId="31D52BC3" w14:textId="77777777" w:rsidR="001A1767" w:rsidRDefault="001A1767" w:rsidP="003C159F">
            <w:pPr>
              <w:pStyle w:val="policy-paragraph"/>
            </w:pPr>
            <w:r>
              <w:t>Next Review date</w:t>
            </w:r>
          </w:p>
        </w:tc>
        <w:tc>
          <w:tcPr>
            <w:tcW w:w="4508" w:type="dxa"/>
          </w:tcPr>
          <w:p w14:paraId="59FCB69F" w14:textId="48DE3757" w:rsidR="001A1767" w:rsidRDefault="00E04C11" w:rsidP="003C159F">
            <w:pPr>
              <w:pStyle w:val="policy-paragraph"/>
            </w:pPr>
            <w:r>
              <w:t>January 13</w:t>
            </w:r>
            <w:r w:rsidRPr="00E04C11">
              <w:rPr>
                <w:vertAlign w:val="superscript"/>
              </w:rPr>
              <w:t>th</w:t>
            </w:r>
            <w:r>
              <w:t xml:space="preserve"> 2026</w:t>
            </w:r>
          </w:p>
        </w:tc>
      </w:tr>
      <w:tr w:rsidR="001A1767" w14:paraId="5555E641" w14:textId="77777777" w:rsidTr="003C159F">
        <w:tc>
          <w:tcPr>
            <w:tcW w:w="4508" w:type="dxa"/>
          </w:tcPr>
          <w:p w14:paraId="7162D146" w14:textId="77777777" w:rsidR="001A1767" w:rsidRDefault="001A1767" w:rsidP="003C159F">
            <w:pPr>
              <w:pStyle w:val="policy-paragraph"/>
            </w:pPr>
            <w:r>
              <w:t>Implemented by</w:t>
            </w:r>
          </w:p>
        </w:tc>
        <w:tc>
          <w:tcPr>
            <w:tcW w:w="4508" w:type="dxa"/>
          </w:tcPr>
          <w:p w14:paraId="77035161" w14:textId="52887B92" w:rsidR="001A1767" w:rsidRPr="00A0583A" w:rsidRDefault="001A1767" w:rsidP="003C159F">
            <w:pPr>
              <w:pStyle w:val="policy-paragraph"/>
              <w:rPr>
                <w:rStyle w:val="insert-paragraph"/>
              </w:rPr>
            </w:pPr>
            <w:r w:rsidRPr="00E04C11">
              <w:rPr>
                <w:rStyle w:val="insert-paragraph"/>
                <w:color w:val="auto"/>
              </w:rPr>
              <w:t xml:space="preserve">Ali Phillips Operations Assistant </w:t>
            </w:r>
          </w:p>
        </w:tc>
      </w:tr>
      <w:tr w:rsidR="001A1767" w14:paraId="3A6911E7" w14:textId="77777777" w:rsidTr="003C159F">
        <w:tc>
          <w:tcPr>
            <w:tcW w:w="4508" w:type="dxa"/>
          </w:tcPr>
          <w:p w14:paraId="5B6F3ABB" w14:textId="77777777" w:rsidR="001A1767" w:rsidRDefault="001A1767" w:rsidP="003C159F">
            <w:pPr>
              <w:pStyle w:val="policy-paragraph"/>
            </w:pPr>
            <w:r>
              <w:t>Reviewed by</w:t>
            </w:r>
          </w:p>
        </w:tc>
        <w:tc>
          <w:tcPr>
            <w:tcW w:w="4508" w:type="dxa"/>
          </w:tcPr>
          <w:p w14:paraId="552D0015" w14:textId="0D2EABFB" w:rsidR="001A1767" w:rsidRPr="00A0583A" w:rsidRDefault="00E04C11" w:rsidP="003C159F">
            <w:pPr>
              <w:pStyle w:val="policy-paragraph"/>
              <w:rPr>
                <w:rStyle w:val="insert-paragraph"/>
              </w:rPr>
            </w:pPr>
            <w:r w:rsidRPr="00E04C11">
              <w:rPr>
                <w:rStyle w:val="insert-paragraph"/>
                <w:color w:val="auto"/>
              </w:rPr>
              <w:t xml:space="preserve">FSASC Parent Committee </w:t>
            </w:r>
          </w:p>
        </w:tc>
      </w:tr>
    </w:tbl>
    <w:p w14:paraId="6BE09073" w14:textId="77777777" w:rsidR="001A1767" w:rsidRPr="008D0D1C" w:rsidRDefault="001A1767" w:rsidP="001A1767">
      <w:pPr>
        <w:ind w:left="720"/>
        <w:rPr>
          <w:rFonts w:cstheme="minorHAnsi"/>
        </w:rPr>
      </w:pPr>
    </w:p>
    <w:p w14:paraId="7023EC4A" w14:textId="77777777" w:rsidR="00520E79" w:rsidRDefault="00520E79" w:rsidP="008304AC"/>
    <w:sectPr w:rsidR="00520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D552A"/>
    <w:multiLevelType w:val="hybridMultilevel"/>
    <w:tmpl w:val="F8DEF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26B9A"/>
    <w:multiLevelType w:val="hybridMultilevel"/>
    <w:tmpl w:val="9DB4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5785A"/>
    <w:multiLevelType w:val="hybridMultilevel"/>
    <w:tmpl w:val="C51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269A7"/>
    <w:multiLevelType w:val="hybridMultilevel"/>
    <w:tmpl w:val="FD9A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FF41C1"/>
    <w:multiLevelType w:val="hybridMultilevel"/>
    <w:tmpl w:val="767865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5E2C7B3C"/>
    <w:multiLevelType w:val="hybridMultilevel"/>
    <w:tmpl w:val="1F9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40A9A"/>
    <w:multiLevelType w:val="hybridMultilevel"/>
    <w:tmpl w:val="BAD4D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3400878">
    <w:abstractNumId w:val="3"/>
  </w:num>
  <w:num w:numId="2" w16cid:durableId="1861778542">
    <w:abstractNumId w:val="5"/>
  </w:num>
  <w:num w:numId="3" w16cid:durableId="2098746798">
    <w:abstractNumId w:val="1"/>
  </w:num>
  <w:num w:numId="4" w16cid:durableId="786388334">
    <w:abstractNumId w:val="0"/>
  </w:num>
  <w:num w:numId="5" w16cid:durableId="1912695631">
    <w:abstractNumId w:val="6"/>
  </w:num>
  <w:num w:numId="6" w16cid:durableId="1405109423">
    <w:abstractNumId w:val="2"/>
  </w:num>
  <w:num w:numId="7" w16cid:durableId="2144226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AC"/>
    <w:rsid w:val="000B31BA"/>
    <w:rsid w:val="001015FC"/>
    <w:rsid w:val="001A1767"/>
    <w:rsid w:val="003B2E91"/>
    <w:rsid w:val="003C397F"/>
    <w:rsid w:val="00440324"/>
    <w:rsid w:val="00520E79"/>
    <w:rsid w:val="008304AC"/>
    <w:rsid w:val="00975DED"/>
    <w:rsid w:val="00A003B3"/>
    <w:rsid w:val="00B20230"/>
    <w:rsid w:val="00C40634"/>
    <w:rsid w:val="00D64301"/>
    <w:rsid w:val="00DF08AC"/>
    <w:rsid w:val="00E04C11"/>
    <w:rsid w:val="00EA7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447C7"/>
  <w15:chartTrackingRefBased/>
  <w15:docId w15:val="{13521B74-689B-43A2-B620-B53C3BBB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0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30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0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0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0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0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30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0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0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0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0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4AC"/>
    <w:rPr>
      <w:rFonts w:eastAsiaTheme="majorEastAsia" w:cstheme="majorBidi"/>
      <w:color w:val="272727" w:themeColor="text1" w:themeTint="D8"/>
    </w:rPr>
  </w:style>
  <w:style w:type="paragraph" w:styleId="Title">
    <w:name w:val="Title"/>
    <w:basedOn w:val="Normal"/>
    <w:next w:val="Normal"/>
    <w:link w:val="TitleChar"/>
    <w:uiPriority w:val="10"/>
    <w:qFormat/>
    <w:rsid w:val="00830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4AC"/>
    <w:pPr>
      <w:spacing w:before="160"/>
      <w:jc w:val="center"/>
    </w:pPr>
    <w:rPr>
      <w:i/>
      <w:iCs/>
      <w:color w:val="404040" w:themeColor="text1" w:themeTint="BF"/>
    </w:rPr>
  </w:style>
  <w:style w:type="character" w:customStyle="1" w:styleId="QuoteChar">
    <w:name w:val="Quote Char"/>
    <w:basedOn w:val="DefaultParagraphFont"/>
    <w:link w:val="Quote"/>
    <w:uiPriority w:val="29"/>
    <w:rsid w:val="008304AC"/>
    <w:rPr>
      <w:i/>
      <w:iCs/>
      <w:color w:val="404040" w:themeColor="text1" w:themeTint="BF"/>
    </w:rPr>
  </w:style>
  <w:style w:type="paragraph" w:styleId="ListParagraph">
    <w:name w:val="List Paragraph"/>
    <w:basedOn w:val="Normal"/>
    <w:uiPriority w:val="34"/>
    <w:qFormat/>
    <w:rsid w:val="008304AC"/>
    <w:pPr>
      <w:ind w:left="720"/>
      <w:contextualSpacing/>
    </w:pPr>
  </w:style>
  <w:style w:type="character" w:styleId="IntenseEmphasis">
    <w:name w:val="Intense Emphasis"/>
    <w:basedOn w:val="DefaultParagraphFont"/>
    <w:uiPriority w:val="21"/>
    <w:qFormat/>
    <w:rsid w:val="008304AC"/>
    <w:rPr>
      <w:i/>
      <w:iCs/>
      <w:color w:val="0F4761" w:themeColor="accent1" w:themeShade="BF"/>
    </w:rPr>
  </w:style>
  <w:style w:type="paragraph" w:styleId="IntenseQuote">
    <w:name w:val="Intense Quote"/>
    <w:basedOn w:val="Normal"/>
    <w:next w:val="Normal"/>
    <w:link w:val="IntenseQuoteChar"/>
    <w:uiPriority w:val="30"/>
    <w:qFormat/>
    <w:rsid w:val="00830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04AC"/>
    <w:rPr>
      <w:i/>
      <w:iCs/>
      <w:color w:val="0F4761" w:themeColor="accent1" w:themeShade="BF"/>
    </w:rPr>
  </w:style>
  <w:style w:type="character" w:styleId="IntenseReference">
    <w:name w:val="Intense Reference"/>
    <w:basedOn w:val="DefaultParagraphFont"/>
    <w:uiPriority w:val="32"/>
    <w:qFormat/>
    <w:rsid w:val="008304AC"/>
    <w:rPr>
      <w:b/>
      <w:bCs/>
      <w:smallCaps/>
      <w:color w:val="0F4761" w:themeColor="accent1" w:themeShade="BF"/>
      <w:spacing w:val="5"/>
    </w:rPr>
  </w:style>
  <w:style w:type="paragraph" w:styleId="BodyText">
    <w:name w:val="Body Text"/>
    <w:basedOn w:val="Normal"/>
    <w:link w:val="BodyTextChar"/>
    <w:rsid w:val="001A1767"/>
    <w:pPr>
      <w:spacing w:after="0" w:line="240" w:lineRule="auto"/>
      <w:jc w:val="both"/>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rsid w:val="001A1767"/>
    <w:rPr>
      <w:rFonts w:ascii="Times New Roman" w:eastAsia="Times New Roman" w:hAnsi="Times New Roman" w:cs="Times New Roman"/>
      <w:kern w:val="0"/>
      <w:sz w:val="24"/>
      <w:szCs w:val="24"/>
      <w:lang w:val="en-US"/>
    </w:rPr>
  </w:style>
  <w:style w:type="table" w:styleId="TableGrid">
    <w:name w:val="Table Grid"/>
    <w:basedOn w:val="TableNormal"/>
    <w:uiPriority w:val="39"/>
    <w:rsid w:val="001A17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paragraph">
    <w:name w:val="policy-paragraph"/>
    <w:basedOn w:val="BodyText"/>
    <w:qFormat/>
    <w:rsid w:val="001A1767"/>
    <w:pPr>
      <w:spacing w:before="120" w:after="240"/>
      <w:jc w:val="left"/>
    </w:pPr>
    <w:rPr>
      <w:rFonts w:asciiTheme="minorHAnsi" w:eastAsiaTheme="minorHAnsi" w:hAnsiTheme="minorHAnsi" w:cstheme="minorBidi"/>
      <w:kern w:val="2"/>
      <w:lang w:val="en-GB"/>
    </w:rPr>
  </w:style>
  <w:style w:type="character" w:customStyle="1" w:styleId="insert-paragraph">
    <w:name w:val="insert-paragraph"/>
    <w:basedOn w:val="DefaultParagraphFont"/>
    <w:uiPriority w:val="1"/>
    <w:qFormat/>
    <w:rsid w:val="001A1767"/>
    <w:rPr>
      <w:color w:val="BF4E14"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949</Words>
  <Characters>5524</Characters>
  <Application>Microsoft Office Word</Application>
  <DocSecurity>0</DocSecurity>
  <Lines>149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Christie</dc:creator>
  <cp:keywords/>
  <dc:description/>
  <cp:lastModifiedBy>Alison Christie</cp:lastModifiedBy>
  <cp:revision>3</cp:revision>
  <dcterms:created xsi:type="dcterms:W3CDTF">2026-01-13T13:29:00Z</dcterms:created>
  <dcterms:modified xsi:type="dcterms:W3CDTF">2026-01-13T13:31:00Z</dcterms:modified>
</cp:coreProperties>
</file>