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0A0BF" w14:textId="77777777" w:rsidR="00D6478F" w:rsidRPr="00D6478F" w:rsidRDefault="00D6478F">
      <w:pPr>
        <w:spacing w:after="0" w:line="240" w:lineRule="auto"/>
        <w:rPr>
          <w:rFonts w:cstheme="majorHAnsi"/>
          <w:b/>
          <w:i/>
        </w:rPr>
      </w:pPr>
      <w:r w:rsidRPr="00D6478F">
        <w:rPr>
          <w:rFonts w:cstheme="majorHAnsi"/>
          <w:b/>
          <w:i/>
        </w:rPr>
        <w:t>Instructions:</w:t>
      </w:r>
    </w:p>
    <w:p w14:paraId="5E253DCD" w14:textId="77777777" w:rsidR="002353F9" w:rsidRDefault="00D6478F" w:rsidP="00562C42">
      <w:pPr>
        <w:spacing w:after="0" w:line="240" w:lineRule="auto"/>
        <w:rPr>
          <w:rFonts w:cstheme="majorHAnsi"/>
        </w:rPr>
      </w:pPr>
      <w:r>
        <w:rPr>
          <w:rFonts w:cstheme="majorHAnsi"/>
        </w:rPr>
        <w:t xml:space="preserve">This template uses form fields to organize responses to the required three-year planning prompts. You may easily navigate </w:t>
      </w:r>
      <w:r w:rsidR="00562C42">
        <w:rPr>
          <w:rFonts w:cstheme="majorHAnsi"/>
        </w:rPr>
        <w:t xml:space="preserve">the template </w:t>
      </w:r>
      <w:r>
        <w:rPr>
          <w:rFonts w:cstheme="majorHAnsi"/>
        </w:rPr>
        <w:t xml:space="preserve">by clicking on </w:t>
      </w:r>
      <w:r w:rsidR="00562C42">
        <w:rPr>
          <w:rFonts w:cstheme="majorHAnsi"/>
        </w:rPr>
        <w:t>each of the</w:t>
      </w:r>
      <w:r>
        <w:rPr>
          <w:rFonts w:cstheme="majorHAnsi"/>
        </w:rPr>
        <w:t xml:space="preserve"> shaded fields or by using the Tab key. </w:t>
      </w:r>
      <w:bookmarkStart w:id="0" w:name="_Toc527969651"/>
    </w:p>
    <w:p w14:paraId="6270A919" w14:textId="77777777" w:rsidR="002353F9" w:rsidRDefault="002353F9" w:rsidP="00562C42">
      <w:pPr>
        <w:spacing w:after="0" w:line="240" w:lineRule="auto"/>
        <w:rPr>
          <w:rFonts w:cstheme="majorHAnsi"/>
        </w:rPr>
      </w:pPr>
    </w:p>
    <w:p w14:paraId="01620CB9" w14:textId="025DB8FA" w:rsidR="00BD77C6" w:rsidRDefault="00BD77C6" w:rsidP="002353F9">
      <w:pPr>
        <w:spacing w:after="0" w:line="240" w:lineRule="auto"/>
        <w:rPr>
          <w:rFonts w:cstheme="majorHAnsi"/>
        </w:rPr>
      </w:pPr>
      <w:r>
        <w:rPr>
          <w:rFonts w:cstheme="majorHAnsi"/>
        </w:rPr>
        <w:t>This document has been protected to enable use of form fields and to guard against accidental edits to the template. Should the need arise, the document may be unlocked temporarily</w:t>
      </w:r>
      <w:r w:rsidR="00BD38F1">
        <w:rPr>
          <w:rFonts w:cstheme="majorHAnsi"/>
        </w:rPr>
        <w:t xml:space="preserve">. Use cases may include adding charts, tables, or graphics to narrative sections, </w:t>
      </w:r>
      <w:r w:rsidR="005863CF">
        <w:rPr>
          <w:rFonts w:cstheme="majorHAnsi"/>
        </w:rPr>
        <w:t>expanding</w:t>
      </w:r>
      <w:r w:rsidR="00037126">
        <w:rPr>
          <w:rFonts w:cstheme="majorHAnsi"/>
        </w:rPr>
        <w:t xml:space="preserve"> Table 1</w:t>
      </w:r>
      <w:r w:rsidR="005863CF">
        <w:rPr>
          <w:rFonts w:cstheme="majorHAnsi"/>
        </w:rPr>
        <w:t xml:space="preserve">, adding appendices, or </w:t>
      </w:r>
      <w:r w:rsidR="00037126">
        <w:rPr>
          <w:rFonts w:cstheme="majorHAnsi"/>
        </w:rPr>
        <w:t xml:space="preserve">updating the table of contents, among others. </w:t>
      </w:r>
      <w:r w:rsidR="005863CF">
        <w:rPr>
          <w:rFonts w:cstheme="majorHAnsi"/>
        </w:rPr>
        <w:t xml:space="preserve"> </w:t>
      </w:r>
      <w:r w:rsidR="00037126">
        <w:rPr>
          <w:rFonts w:cstheme="majorHAnsi"/>
        </w:rPr>
        <w:t xml:space="preserve">You may temporarily unlock the template by toggling the </w:t>
      </w:r>
      <w:r w:rsidR="00724378" w:rsidRPr="00724378">
        <w:rPr>
          <w:rFonts w:cstheme="majorHAnsi"/>
          <w:b/>
        </w:rPr>
        <w:t>Protect Form</w:t>
      </w:r>
      <w:r w:rsidR="00724378">
        <w:rPr>
          <w:rFonts w:cstheme="majorHAnsi"/>
        </w:rPr>
        <w:t xml:space="preserve"> button (</w:t>
      </w:r>
      <w:r w:rsidR="00724378">
        <w:rPr>
          <w:rFonts w:cstheme="majorHAnsi"/>
          <w:noProof/>
        </w:rPr>
        <w:drawing>
          <wp:inline distT="0" distB="0" distL="0" distR="0" wp14:anchorId="615F6083" wp14:editId="5E208559">
            <wp:extent cx="174758" cy="174758"/>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10-22 at 11.34.27 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758" cy="174758"/>
                    </a:xfrm>
                    <a:prstGeom prst="rect">
                      <a:avLst/>
                    </a:prstGeom>
                  </pic:spPr>
                </pic:pic>
              </a:graphicData>
            </a:graphic>
          </wp:inline>
        </w:drawing>
      </w:r>
      <w:r w:rsidR="00724378">
        <w:rPr>
          <w:rFonts w:cstheme="majorHAnsi"/>
        </w:rPr>
        <w:t xml:space="preserve">) on the </w:t>
      </w:r>
      <w:r w:rsidR="00724378" w:rsidRPr="00724378">
        <w:rPr>
          <w:rFonts w:cstheme="majorHAnsi"/>
          <w:b/>
        </w:rPr>
        <w:t>Developer Tab</w:t>
      </w:r>
      <w:r w:rsidR="00724378">
        <w:rPr>
          <w:rFonts w:cstheme="majorHAnsi"/>
        </w:rPr>
        <w:t xml:space="preserve"> on the Microsoft Office </w:t>
      </w:r>
      <w:r w:rsidR="002353F9">
        <w:rPr>
          <w:rFonts w:cstheme="majorHAnsi"/>
        </w:rPr>
        <w:t>ribbon</w:t>
      </w:r>
      <w:r w:rsidR="00724378">
        <w:rPr>
          <w:rFonts w:cstheme="majorHAnsi"/>
        </w:rPr>
        <w:t xml:space="preserve">. The Developer Tab does not appear by default, so it must first </w:t>
      </w:r>
      <w:r w:rsidR="002353F9">
        <w:rPr>
          <w:rFonts w:cstheme="majorHAnsi"/>
        </w:rPr>
        <w:t xml:space="preserve">be </w:t>
      </w:r>
      <w:r w:rsidR="00724378">
        <w:rPr>
          <w:rFonts w:cstheme="majorHAnsi"/>
        </w:rPr>
        <w:t>enable</w:t>
      </w:r>
      <w:r w:rsidR="002353F9">
        <w:rPr>
          <w:rFonts w:cstheme="majorHAnsi"/>
        </w:rPr>
        <w:t>d</w:t>
      </w:r>
      <w:r w:rsidR="00724378">
        <w:rPr>
          <w:rFonts w:cstheme="majorHAnsi"/>
        </w:rPr>
        <w:t xml:space="preserve"> </w:t>
      </w:r>
      <w:r w:rsidR="002353F9">
        <w:rPr>
          <w:rFonts w:cstheme="majorHAnsi"/>
        </w:rPr>
        <w:t>in order</w:t>
      </w:r>
      <w:r w:rsidR="00724378">
        <w:rPr>
          <w:rFonts w:cstheme="majorHAnsi"/>
        </w:rPr>
        <w:t xml:space="preserve"> to use this feature.</w:t>
      </w:r>
      <w:r w:rsidR="002353F9">
        <w:rPr>
          <w:rFonts w:cstheme="majorHAnsi"/>
        </w:rPr>
        <w:t xml:space="preserve"> </w:t>
      </w:r>
      <w:r w:rsidR="00724378">
        <w:rPr>
          <w:rFonts w:cstheme="majorHAnsi"/>
        </w:rPr>
        <w:t xml:space="preserve">Instructions for how to </w:t>
      </w:r>
      <w:r w:rsidR="002353F9">
        <w:rPr>
          <w:rFonts w:cstheme="majorHAnsi"/>
        </w:rPr>
        <w:t>enable the Developer Tab</w:t>
      </w:r>
      <w:r w:rsidR="00724378">
        <w:rPr>
          <w:rFonts w:cstheme="majorHAnsi"/>
        </w:rPr>
        <w:t xml:space="preserve"> may be found here</w:t>
      </w:r>
      <w:proofErr w:type="gramStart"/>
      <w:r w:rsidR="00724378">
        <w:rPr>
          <w:rFonts w:cstheme="majorHAnsi"/>
        </w:rPr>
        <w:t xml:space="preserve">:  </w:t>
      </w:r>
      <w:proofErr w:type="gramEnd"/>
      <w:r w:rsidR="004E08A5">
        <w:fldChar w:fldCharType="begin"/>
      </w:r>
      <w:r w:rsidR="004E08A5">
        <w:instrText xml:space="preserve"> HYPERLINK "https://docs.microsoft.com/en-us/visualstudio/vsto/how-to-show-the-developer-tab-on-the-ribbon?view=vs-2017" </w:instrText>
      </w:r>
      <w:r w:rsidR="004E08A5">
        <w:fldChar w:fldCharType="separate"/>
      </w:r>
      <w:r w:rsidR="00724378" w:rsidRPr="00014C69">
        <w:rPr>
          <w:rStyle w:val="Hyperlink"/>
          <w:rFonts w:ascii="Avenir Next" w:hAnsi="Avenir Next" w:cstheme="majorHAnsi"/>
        </w:rPr>
        <w:t>https://docs.microsoft.com/en-us/visualstudio/vsto/how-to-show-the-developer-tab-on-the-ribbon?view=vs-2017</w:t>
      </w:r>
      <w:r w:rsidR="004E08A5">
        <w:rPr>
          <w:rStyle w:val="Hyperlink"/>
          <w:rFonts w:ascii="Avenir Next" w:hAnsi="Avenir Next" w:cstheme="majorHAnsi"/>
        </w:rPr>
        <w:fldChar w:fldCharType="end"/>
      </w:r>
    </w:p>
    <w:p w14:paraId="7E41284F" w14:textId="24B464E6" w:rsidR="002353F9" w:rsidRDefault="002353F9" w:rsidP="002353F9">
      <w:pPr>
        <w:spacing w:after="0" w:line="240" w:lineRule="auto"/>
        <w:rPr>
          <w:rFonts w:cstheme="majorHAnsi"/>
        </w:rPr>
      </w:pPr>
    </w:p>
    <w:p w14:paraId="378F8B52" w14:textId="5B6DF682" w:rsidR="002353F9" w:rsidRPr="002353F9" w:rsidRDefault="002353F9" w:rsidP="002353F9">
      <w:pPr>
        <w:spacing w:after="0" w:line="240" w:lineRule="auto"/>
        <w:rPr>
          <w:rFonts w:cstheme="majorHAnsi"/>
        </w:rPr>
      </w:pPr>
      <w:r w:rsidRPr="002353F9">
        <w:rPr>
          <w:rFonts w:cstheme="majorHAnsi"/>
          <w:b/>
        </w:rPr>
        <w:t>Please note</w:t>
      </w:r>
      <w:r>
        <w:rPr>
          <w:rFonts w:cstheme="majorHAnsi"/>
        </w:rPr>
        <w:t xml:space="preserve">: Form fields will not work correctly unless form protection is on. Please be sure to remember to re-enable it once you have finished your work and before submitting to the AEP office. </w:t>
      </w:r>
    </w:p>
    <w:p w14:paraId="0D8F3E64" w14:textId="77777777" w:rsidR="002353F9" w:rsidRDefault="002353F9" w:rsidP="00562C42">
      <w:pPr>
        <w:pStyle w:val="Heading1"/>
        <w:sectPr w:rsidR="002353F9" w:rsidSect="00603443">
          <w:headerReference w:type="even" r:id="rId13"/>
          <w:headerReference w:type="default" r:id="rId14"/>
          <w:footerReference w:type="even" r:id="rId15"/>
          <w:footerReference w:type="default" r:id="rId16"/>
          <w:headerReference w:type="first" r:id="rId17"/>
          <w:footerReference w:type="first" r:id="rId18"/>
          <w:pgSz w:w="12240" w:h="15840"/>
          <w:pgMar w:top="1739" w:right="1440" w:bottom="1440" w:left="1440" w:header="720" w:footer="720" w:gutter="0"/>
          <w:pgNumType w:fmt="lowerRoman" w:start="1"/>
          <w:cols w:space="720"/>
          <w:titlePg/>
          <w:docGrid w:linePitch="299"/>
        </w:sectPr>
      </w:pPr>
    </w:p>
    <w:p w14:paraId="284A7EA7" w14:textId="6099F66B" w:rsidR="00600745" w:rsidRDefault="00600745" w:rsidP="00225F0B">
      <w:pPr>
        <w:pStyle w:val="Heading1"/>
        <w:jc w:val="center"/>
      </w:pPr>
      <w:r w:rsidRPr="003711FD">
        <w:lastRenderedPageBreak/>
        <w:t>Section</w:t>
      </w:r>
      <w:r>
        <w:t xml:space="preserve"> </w:t>
      </w:r>
      <w:r w:rsidRPr="003711FD">
        <w:t>1:</w:t>
      </w:r>
      <w:r>
        <w:t xml:space="preserve"> </w:t>
      </w:r>
      <w:r w:rsidRPr="003711FD">
        <w:t>Consortium</w:t>
      </w:r>
      <w:r>
        <w:t xml:space="preserve"> </w:t>
      </w:r>
      <w:r w:rsidRPr="003711FD">
        <w:t>Information</w:t>
      </w:r>
      <w:bookmarkEnd w:id="0"/>
    </w:p>
    <w:p w14:paraId="3370AB46" w14:textId="77777777" w:rsidR="00225F0B" w:rsidRDefault="00225F0B" w:rsidP="00225F0B">
      <w:pPr>
        <w:pStyle w:val="Title"/>
        <w:spacing w:after="240"/>
        <w:ind w:left="2610"/>
        <w:rPr>
          <w:color w:val="04326C"/>
          <w:sz w:val="72"/>
        </w:rPr>
      </w:pPr>
    </w:p>
    <w:p w14:paraId="7F0624A7" w14:textId="29B92164" w:rsidR="00225F0B" w:rsidRDefault="00225F0B" w:rsidP="00225F0B">
      <w:pPr>
        <w:pStyle w:val="Title"/>
        <w:spacing w:after="240"/>
        <w:ind w:left="2880"/>
        <w:rPr>
          <w:color w:val="04326C"/>
          <w:sz w:val="72"/>
        </w:rPr>
      </w:pPr>
      <w:r w:rsidRPr="00225F0B">
        <w:rPr>
          <w:noProof/>
        </w:rPr>
        <w:drawing>
          <wp:inline distT="0" distB="0" distL="0" distR="0" wp14:anchorId="3E42C395" wp14:editId="780A050D">
            <wp:extent cx="2188028" cy="1914525"/>
            <wp:effectExtent l="0" t="0" r="0" b="0"/>
            <wp:docPr id="7" name="Picture 7" descr="Macintosh HD:Users:praunlinde:Desktop:Screen Shot 2019-04-04 at 12.27.0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raunlinde:Desktop:Screen Shot 2019-04-04 at 12.27.04 PM.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88584" cy="1915011"/>
                    </a:xfrm>
                    <a:prstGeom prst="rect">
                      <a:avLst/>
                    </a:prstGeom>
                    <a:noFill/>
                    <a:ln>
                      <a:noFill/>
                    </a:ln>
                  </pic:spPr>
                </pic:pic>
              </a:graphicData>
            </a:graphic>
          </wp:inline>
        </w:drawing>
      </w:r>
    </w:p>
    <w:p w14:paraId="04677779" w14:textId="77777777" w:rsidR="00225F0B" w:rsidRDefault="00225F0B" w:rsidP="009B0576">
      <w:pPr>
        <w:pStyle w:val="Title"/>
        <w:spacing w:after="240"/>
        <w:rPr>
          <w:color w:val="04326C"/>
          <w:sz w:val="72"/>
        </w:rPr>
      </w:pPr>
    </w:p>
    <w:p w14:paraId="4CF6DAF9" w14:textId="0C41C499" w:rsidR="000A6B81" w:rsidRPr="009B0576" w:rsidRDefault="0028169B" w:rsidP="00225F0B">
      <w:pPr>
        <w:pStyle w:val="Title"/>
        <w:spacing w:after="240"/>
        <w:jc w:val="center"/>
        <w:rPr>
          <w:color w:val="04326C"/>
          <w:sz w:val="72"/>
        </w:rPr>
      </w:pPr>
      <w:r>
        <w:rPr>
          <w:color w:val="04326C"/>
          <w:sz w:val="72"/>
        </w:rPr>
        <w:fldChar w:fldCharType="begin">
          <w:ffData>
            <w:name w:val="txt_consortum"/>
            <w:enabled/>
            <w:calcOnExit w:val="0"/>
            <w:exitMacro w:val="UpdateHeader"/>
            <w:statusText w:type="text" w:val="Please provide the name of your consortium"/>
            <w:textInput>
              <w:default w:val="Consortium Name"/>
              <w:format w:val="TITLE CASE"/>
            </w:textInput>
          </w:ffData>
        </w:fldChar>
      </w:r>
      <w:bookmarkStart w:id="1" w:name="txt_consortum"/>
      <w:r>
        <w:rPr>
          <w:color w:val="04326C"/>
          <w:sz w:val="72"/>
        </w:rPr>
        <w:instrText xml:space="preserve"> FORMTEXT </w:instrText>
      </w:r>
      <w:r>
        <w:rPr>
          <w:color w:val="04326C"/>
          <w:sz w:val="72"/>
        </w:rPr>
      </w:r>
      <w:r>
        <w:rPr>
          <w:color w:val="04326C"/>
          <w:sz w:val="72"/>
        </w:rPr>
        <w:fldChar w:fldCharType="separate"/>
      </w:r>
      <w:r w:rsidR="00D877A5">
        <w:rPr>
          <w:noProof/>
          <w:color w:val="04326C"/>
          <w:sz w:val="72"/>
        </w:rPr>
        <w:t>North Santa Clara County  (17)</w:t>
      </w:r>
      <w:r>
        <w:rPr>
          <w:color w:val="04326C"/>
          <w:sz w:val="72"/>
        </w:rPr>
        <w:fldChar w:fldCharType="end"/>
      </w:r>
      <w:bookmarkEnd w:id="1"/>
    </w:p>
    <w:p w14:paraId="5A494D63" w14:textId="492AA774" w:rsidR="00225F0B" w:rsidRDefault="00225F0B" w:rsidP="00225F0B">
      <w:pPr>
        <w:spacing w:after="0"/>
        <w:jc w:val="center"/>
        <w:rPr>
          <w:rFonts w:asciiTheme="minorHAnsi" w:hAnsiTheme="minorHAnsi" w:cs="Arial"/>
          <w:b/>
          <w:color w:val="04326C"/>
          <w:sz w:val="24"/>
        </w:rPr>
      </w:pPr>
      <w:r>
        <w:rPr>
          <w:rFonts w:asciiTheme="minorHAnsi" w:hAnsiTheme="minorHAnsi" w:cs="Arial"/>
          <w:b/>
          <w:color w:val="04326C"/>
          <w:sz w:val="24"/>
        </w:rPr>
        <w:t xml:space="preserve">Submitted by: </w:t>
      </w:r>
    </w:p>
    <w:p w14:paraId="6421A4F7" w14:textId="268F15F0" w:rsidR="009C284F" w:rsidRPr="00225F0B" w:rsidRDefault="009C284F" w:rsidP="00225F0B">
      <w:pPr>
        <w:spacing w:after="0"/>
        <w:jc w:val="center"/>
        <w:rPr>
          <w:rFonts w:asciiTheme="minorHAnsi" w:hAnsiTheme="minorHAnsi" w:cs="Arial"/>
          <w:color w:val="04326C"/>
          <w:sz w:val="24"/>
        </w:rPr>
      </w:pPr>
      <w:r w:rsidRPr="00225F0B">
        <w:rPr>
          <w:rFonts w:asciiTheme="minorHAnsi" w:hAnsiTheme="minorHAnsi" w:cs="Arial"/>
          <w:color w:val="04326C"/>
          <w:sz w:val="24"/>
        </w:rPr>
        <w:fldChar w:fldCharType="begin">
          <w:ffData>
            <w:name w:val="primary_contact"/>
            <w:enabled/>
            <w:calcOnExit w:val="0"/>
            <w:textInput>
              <w:default w:val="Primary Contact Name"/>
              <w:format w:val="TITLE CASE"/>
            </w:textInput>
          </w:ffData>
        </w:fldChar>
      </w:r>
      <w:bookmarkStart w:id="2" w:name="primary_contact"/>
      <w:r w:rsidRPr="00225F0B">
        <w:rPr>
          <w:rFonts w:asciiTheme="minorHAnsi" w:hAnsiTheme="minorHAnsi" w:cs="Arial"/>
          <w:color w:val="04326C"/>
          <w:sz w:val="24"/>
        </w:rPr>
        <w:instrText xml:space="preserve"> FORMTEXT </w:instrText>
      </w:r>
      <w:r w:rsidRPr="00225F0B">
        <w:rPr>
          <w:rFonts w:asciiTheme="minorHAnsi" w:hAnsiTheme="minorHAnsi" w:cs="Arial"/>
          <w:color w:val="04326C"/>
          <w:sz w:val="24"/>
        </w:rPr>
      </w:r>
      <w:r w:rsidRPr="00225F0B">
        <w:rPr>
          <w:rFonts w:asciiTheme="minorHAnsi" w:hAnsiTheme="minorHAnsi" w:cs="Arial"/>
          <w:color w:val="04326C"/>
          <w:sz w:val="24"/>
        </w:rPr>
        <w:fldChar w:fldCharType="separate"/>
      </w:r>
      <w:r w:rsidR="00461FF8" w:rsidRPr="00225F0B">
        <w:rPr>
          <w:rFonts w:asciiTheme="minorHAnsi" w:hAnsiTheme="minorHAnsi" w:cs="Arial"/>
          <w:noProof/>
          <w:color w:val="04326C"/>
          <w:sz w:val="24"/>
        </w:rPr>
        <w:t>Peggy Raun-Linde</w:t>
      </w:r>
      <w:r w:rsidRPr="00225F0B">
        <w:rPr>
          <w:rFonts w:asciiTheme="minorHAnsi" w:hAnsiTheme="minorHAnsi" w:cs="Arial"/>
          <w:color w:val="04326C"/>
          <w:sz w:val="24"/>
        </w:rPr>
        <w:fldChar w:fldCharType="end"/>
      </w:r>
      <w:bookmarkEnd w:id="2"/>
      <w:r w:rsidR="00225F0B" w:rsidRPr="00225F0B">
        <w:rPr>
          <w:rFonts w:asciiTheme="minorHAnsi" w:hAnsiTheme="minorHAnsi" w:cs="Arial"/>
          <w:color w:val="04326C"/>
          <w:sz w:val="24"/>
        </w:rPr>
        <w:t>, Ed.D.</w:t>
      </w:r>
    </w:p>
    <w:p w14:paraId="3B7CBEAF" w14:textId="55C1643B" w:rsidR="009C284F" w:rsidRPr="00A324A7" w:rsidRDefault="009C284F" w:rsidP="00225F0B">
      <w:pPr>
        <w:spacing w:after="0"/>
        <w:jc w:val="center"/>
        <w:rPr>
          <w:rFonts w:asciiTheme="minorHAnsi" w:hAnsiTheme="minorHAnsi" w:cs="Arial"/>
          <w:color w:val="04326C"/>
          <w:sz w:val="24"/>
        </w:rPr>
      </w:pPr>
      <w:r w:rsidRPr="00A324A7">
        <w:rPr>
          <w:rFonts w:asciiTheme="minorHAnsi" w:hAnsiTheme="minorHAnsi" w:cs="Arial"/>
          <w:color w:val="04326C"/>
          <w:sz w:val="24"/>
        </w:rPr>
        <w:fldChar w:fldCharType="begin">
          <w:ffData>
            <w:name w:val=""/>
            <w:enabled/>
            <w:calcOnExit w:val="0"/>
            <w:textInput>
              <w:default w:val="Title"/>
              <w:format w:val="TITLE CASE"/>
            </w:textInput>
          </w:ffData>
        </w:fldChar>
      </w:r>
      <w:r w:rsidRPr="00A324A7">
        <w:rPr>
          <w:rFonts w:asciiTheme="minorHAnsi" w:hAnsiTheme="minorHAnsi" w:cs="Arial"/>
          <w:color w:val="04326C"/>
          <w:sz w:val="24"/>
        </w:rPr>
        <w:instrText xml:space="preserve"> FORMTEXT </w:instrText>
      </w:r>
      <w:r w:rsidRPr="00A324A7">
        <w:rPr>
          <w:rFonts w:asciiTheme="minorHAnsi" w:hAnsiTheme="minorHAnsi" w:cs="Arial"/>
          <w:color w:val="04326C"/>
          <w:sz w:val="24"/>
        </w:rPr>
      </w:r>
      <w:r w:rsidRPr="00A324A7">
        <w:rPr>
          <w:rFonts w:asciiTheme="minorHAnsi" w:hAnsiTheme="minorHAnsi" w:cs="Arial"/>
          <w:color w:val="04326C"/>
          <w:sz w:val="24"/>
        </w:rPr>
        <w:fldChar w:fldCharType="separate"/>
      </w:r>
      <w:r w:rsidR="00461FF8">
        <w:rPr>
          <w:rFonts w:asciiTheme="minorHAnsi" w:hAnsiTheme="minorHAnsi" w:cs="Arial"/>
          <w:noProof/>
          <w:color w:val="04326C"/>
          <w:sz w:val="24"/>
        </w:rPr>
        <w:t>Director</w:t>
      </w:r>
      <w:r w:rsidRPr="00A324A7">
        <w:rPr>
          <w:rFonts w:asciiTheme="minorHAnsi" w:hAnsiTheme="minorHAnsi" w:cs="Arial"/>
          <w:color w:val="04326C"/>
          <w:sz w:val="24"/>
        </w:rPr>
        <w:fldChar w:fldCharType="end"/>
      </w:r>
    </w:p>
    <w:p w14:paraId="0466FAD7" w14:textId="5F83DC62" w:rsidR="00225F0B" w:rsidRPr="00A324A7" w:rsidRDefault="00225F0B" w:rsidP="00225F0B">
      <w:pPr>
        <w:spacing w:after="0"/>
        <w:jc w:val="center"/>
        <w:rPr>
          <w:rFonts w:asciiTheme="minorHAnsi" w:hAnsiTheme="minorHAnsi" w:cs="Arial"/>
          <w:color w:val="04326C"/>
          <w:sz w:val="24"/>
        </w:rPr>
      </w:pPr>
      <w:r>
        <w:rPr>
          <w:rFonts w:asciiTheme="minorHAnsi" w:hAnsiTheme="minorHAnsi" w:cs="Arial"/>
          <w:color w:val="04326C"/>
          <w:sz w:val="24"/>
        </w:rPr>
        <w:t>DirectorNSCCC@gmail.com</w:t>
      </w:r>
    </w:p>
    <w:p w14:paraId="4A40551B" w14:textId="2842F84D" w:rsidR="00A861CB" w:rsidRPr="00A324A7" w:rsidRDefault="009C284F" w:rsidP="00A861CB">
      <w:pPr>
        <w:spacing w:after="0"/>
        <w:rPr>
          <w:rFonts w:asciiTheme="minorHAnsi" w:hAnsiTheme="minorHAnsi" w:cs="Arial"/>
          <w:color w:val="04326C"/>
          <w:sz w:val="24"/>
        </w:rPr>
      </w:pPr>
      <w:r w:rsidRPr="00A324A7">
        <w:rPr>
          <w:rFonts w:asciiTheme="minorHAnsi" w:hAnsiTheme="minorHAnsi" w:cs="Arial"/>
          <w:color w:val="04326C"/>
          <w:sz w:val="24"/>
        </w:rPr>
        <w:fldChar w:fldCharType="begin">
          <w:ffData>
            <w:name w:val=""/>
            <w:enabled/>
            <w:calcOnExit w:val="0"/>
            <w:textInput>
              <w:default w:val="Email"/>
            </w:textInput>
          </w:ffData>
        </w:fldChar>
      </w:r>
      <w:r w:rsidRPr="00A324A7">
        <w:rPr>
          <w:rFonts w:asciiTheme="minorHAnsi" w:hAnsiTheme="minorHAnsi" w:cs="Arial"/>
          <w:color w:val="04326C"/>
          <w:sz w:val="24"/>
        </w:rPr>
        <w:instrText xml:space="preserve"> FORMTEXT </w:instrText>
      </w:r>
      <w:r w:rsidRPr="00A324A7">
        <w:rPr>
          <w:rFonts w:asciiTheme="minorHAnsi" w:hAnsiTheme="minorHAnsi" w:cs="Arial"/>
          <w:color w:val="04326C"/>
          <w:sz w:val="24"/>
        </w:rPr>
      </w:r>
      <w:r w:rsidRPr="00A324A7">
        <w:rPr>
          <w:rFonts w:asciiTheme="minorHAnsi" w:hAnsiTheme="minorHAnsi" w:cs="Arial"/>
          <w:color w:val="04326C"/>
          <w:sz w:val="24"/>
        </w:rPr>
        <w:fldChar w:fldCharType="separate"/>
      </w:r>
      <w:r w:rsidR="00225F0B">
        <w:rPr>
          <w:rFonts w:asciiTheme="minorHAnsi" w:hAnsiTheme="minorHAnsi" w:cs="Arial"/>
          <w:noProof/>
          <w:color w:val="04326C"/>
          <w:sz w:val="24"/>
        </w:rPr>
        <w:t> </w:t>
      </w:r>
      <w:r w:rsidR="00225F0B">
        <w:rPr>
          <w:rFonts w:asciiTheme="minorHAnsi" w:hAnsiTheme="minorHAnsi" w:cs="Arial"/>
          <w:noProof/>
          <w:color w:val="04326C"/>
          <w:sz w:val="24"/>
        </w:rPr>
        <w:t> </w:t>
      </w:r>
      <w:r w:rsidR="00225F0B">
        <w:rPr>
          <w:rFonts w:asciiTheme="minorHAnsi" w:hAnsiTheme="minorHAnsi" w:cs="Arial"/>
          <w:noProof/>
          <w:color w:val="04326C"/>
          <w:sz w:val="24"/>
        </w:rPr>
        <w:t> </w:t>
      </w:r>
      <w:r w:rsidR="00225F0B">
        <w:rPr>
          <w:rFonts w:asciiTheme="minorHAnsi" w:hAnsiTheme="minorHAnsi" w:cs="Arial"/>
          <w:noProof/>
          <w:color w:val="04326C"/>
          <w:sz w:val="24"/>
        </w:rPr>
        <w:t> </w:t>
      </w:r>
      <w:r w:rsidR="00225F0B">
        <w:rPr>
          <w:rFonts w:asciiTheme="minorHAnsi" w:hAnsiTheme="minorHAnsi" w:cs="Arial"/>
          <w:noProof/>
          <w:color w:val="04326C"/>
          <w:sz w:val="24"/>
        </w:rPr>
        <w:t> </w:t>
      </w:r>
      <w:r w:rsidRPr="00A324A7">
        <w:rPr>
          <w:rFonts w:asciiTheme="minorHAnsi" w:hAnsiTheme="minorHAnsi" w:cs="Arial"/>
          <w:color w:val="04326C"/>
          <w:sz w:val="24"/>
        </w:rPr>
        <w:fldChar w:fldCharType="end"/>
      </w:r>
    </w:p>
    <w:p w14:paraId="2751598A" w14:textId="77777777" w:rsidR="00A861CB" w:rsidRDefault="00A861CB" w:rsidP="00A861CB">
      <w:pPr>
        <w:spacing w:after="0"/>
      </w:pPr>
    </w:p>
    <w:p w14:paraId="420CF003" w14:textId="77777777" w:rsidR="00A861CB" w:rsidRDefault="00A861CB" w:rsidP="00A861CB">
      <w:pPr>
        <w:spacing w:after="0"/>
      </w:pPr>
    </w:p>
    <w:p w14:paraId="6268FF56" w14:textId="77777777" w:rsidR="00A861CB" w:rsidRDefault="00A861CB" w:rsidP="00A861CB">
      <w:pPr>
        <w:spacing w:after="0"/>
      </w:pPr>
    </w:p>
    <w:p w14:paraId="5318EA09" w14:textId="77777777" w:rsidR="00A861CB" w:rsidRDefault="00A861CB" w:rsidP="00A861CB">
      <w:pPr>
        <w:spacing w:after="0"/>
      </w:pPr>
    </w:p>
    <w:p w14:paraId="465C2AFA" w14:textId="77777777" w:rsidR="00A861CB" w:rsidRDefault="00A861CB" w:rsidP="00A861CB">
      <w:pPr>
        <w:spacing w:after="0"/>
      </w:pPr>
    </w:p>
    <w:p w14:paraId="16978D72" w14:textId="53F87DFD" w:rsidR="00A861CB" w:rsidRDefault="00A861CB" w:rsidP="00A861CB">
      <w:pPr>
        <w:spacing w:after="0"/>
      </w:pPr>
    </w:p>
    <w:p w14:paraId="341D959F" w14:textId="77777777" w:rsidR="00A861CB" w:rsidRDefault="00A861CB" w:rsidP="00A861CB">
      <w:pPr>
        <w:spacing w:after="0"/>
      </w:pPr>
    </w:p>
    <w:p w14:paraId="60AA8F24" w14:textId="77777777" w:rsidR="00225F0B" w:rsidRDefault="00225F0B" w:rsidP="00A861CB">
      <w:pPr>
        <w:spacing w:after="0"/>
      </w:pPr>
    </w:p>
    <w:p w14:paraId="771C336E" w14:textId="700A6BD9" w:rsidR="00A861CB" w:rsidRDefault="00A861CB" w:rsidP="00A861CB">
      <w:pPr>
        <w:spacing w:after="0"/>
      </w:pPr>
      <w:r>
        <w:t>Submitted</w:t>
      </w:r>
      <w:r w:rsidR="00775D42">
        <w:t>:</w:t>
      </w:r>
    </w:p>
    <w:p w14:paraId="13A324F4" w14:textId="6C79501C" w:rsidR="00A861CB" w:rsidRPr="00A324A7" w:rsidRDefault="00C7558E" w:rsidP="00A861CB">
      <w:pPr>
        <w:spacing w:after="0"/>
        <w:rPr>
          <w:rFonts w:asciiTheme="minorHAnsi" w:hAnsiTheme="minorHAnsi" w:cs="Arial"/>
          <w:color w:val="04326C"/>
          <w:sz w:val="24"/>
        </w:rPr>
      </w:pPr>
      <w:r>
        <w:rPr>
          <w:rFonts w:asciiTheme="minorHAnsi" w:hAnsiTheme="minorHAnsi" w:cs="Arial"/>
          <w:color w:val="04326C"/>
          <w:sz w:val="24"/>
        </w:rPr>
        <w:t>June 1, 2019</w:t>
      </w:r>
    </w:p>
    <w:p w14:paraId="710C99F5" w14:textId="77777777" w:rsidR="00A861CB" w:rsidRDefault="00A861CB" w:rsidP="00A861CB">
      <w:pPr>
        <w:spacing w:after="0"/>
      </w:pPr>
    </w:p>
    <w:p w14:paraId="52C49A1A" w14:textId="616EB36B" w:rsidR="009C284F" w:rsidRPr="00A861CB" w:rsidRDefault="009C284F" w:rsidP="00A861CB">
      <w:pPr>
        <w:spacing w:after="0"/>
        <w:rPr>
          <w:rFonts w:asciiTheme="minorHAnsi" w:hAnsiTheme="minorHAnsi" w:cs="Arial"/>
          <w:color w:val="0070C0"/>
          <w:sz w:val="24"/>
        </w:rPr>
      </w:pPr>
    </w:p>
    <w:sdt>
      <w:sdtPr>
        <w:rPr>
          <w:rFonts w:cs="Lato"/>
          <w:color w:val="404040" w:themeColor="text1" w:themeTint="BF"/>
          <w:sz w:val="22"/>
          <w:szCs w:val="22"/>
        </w:rPr>
        <w:id w:val="-233626198"/>
        <w:docPartObj>
          <w:docPartGallery w:val="Table of Contents"/>
          <w:docPartUnique/>
        </w:docPartObj>
      </w:sdtPr>
      <w:sdtEndPr>
        <w:rPr>
          <w:b/>
          <w:bCs/>
          <w:noProof/>
        </w:rPr>
      </w:sdtEndPr>
      <w:sdtContent>
        <w:p w14:paraId="2AEF4CEE" w14:textId="26457C77" w:rsidR="006117E8" w:rsidRPr="001E3A1C" w:rsidRDefault="006117E8" w:rsidP="001E3A1C">
          <w:pPr>
            <w:pStyle w:val="TOCHeading"/>
          </w:pPr>
          <w:r w:rsidRPr="001E3A1C">
            <w:t>Table of Contents</w:t>
          </w:r>
        </w:p>
        <w:p w14:paraId="0AB7B068" w14:textId="2E6188DC" w:rsidR="00D6478F" w:rsidRDefault="006117E8">
          <w:pPr>
            <w:pStyle w:val="TOC1"/>
            <w:rPr>
              <w:rFonts w:eastAsiaTheme="minorEastAsia" w:cstheme="minorBidi"/>
              <w:b w:val="0"/>
              <w:bCs w:val="0"/>
              <w:iCs w:val="0"/>
              <w:color w:val="auto"/>
            </w:rPr>
          </w:pPr>
          <w:r>
            <w:fldChar w:fldCharType="begin"/>
          </w:r>
          <w:r>
            <w:instrText xml:space="preserve"> TOC \o "1-3" \h \z \u </w:instrText>
          </w:r>
          <w:r>
            <w:fldChar w:fldCharType="separate"/>
          </w:r>
          <w:hyperlink w:anchor="_Toc527969651" w:history="1">
            <w:r w:rsidR="00D6478F" w:rsidRPr="00764F8C">
              <w:rPr>
                <w:rStyle w:val="Hyperlink"/>
              </w:rPr>
              <w:t>Section 1: Consortium Information</w:t>
            </w:r>
            <w:r w:rsidR="00D6478F">
              <w:rPr>
                <w:webHidden/>
              </w:rPr>
              <w:tab/>
            </w:r>
            <w:r w:rsidR="00D6478F">
              <w:rPr>
                <w:webHidden/>
              </w:rPr>
              <w:fldChar w:fldCharType="begin"/>
            </w:r>
            <w:r w:rsidR="00D6478F">
              <w:rPr>
                <w:webHidden/>
              </w:rPr>
              <w:instrText xml:space="preserve"> PAGEREF _Toc527969651 \h </w:instrText>
            </w:r>
            <w:r w:rsidR="00D6478F">
              <w:rPr>
                <w:webHidden/>
              </w:rPr>
            </w:r>
            <w:r w:rsidR="00D6478F">
              <w:rPr>
                <w:webHidden/>
              </w:rPr>
              <w:fldChar w:fldCharType="separate"/>
            </w:r>
            <w:r w:rsidR="006F1B1E">
              <w:rPr>
                <w:webHidden/>
              </w:rPr>
              <w:t>i</w:t>
            </w:r>
            <w:r w:rsidR="00D6478F">
              <w:rPr>
                <w:webHidden/>
              </w:rPr>
              <w:fldChar w:fldCharType="end"/>
            </w:r>
          </w:hyperlink>
        </w:p>
        <w:p w14:paraId="43F729F9" w14:textId="57657EDD" w:rsidR="00D6478F" w:rsidRDefault="008C0695">
          <w:pPr>
            <w:pStyle w:val="TOC1"/>
            <w:rPr>
              <w:rFonts w:eastAsiaTheme="minorEastAsia" w:cstheme="minorBidi"/>
              <w:b w:val="0"/>
              <w:bCs w:val="0"/>
              <w:iCs w:val="0"/>
              <w:color w:val="auto"/>
            </w:rPr>
          </w:pPr>
          <w:hyperlink w:anchor="_Toc527969652" w:history="1">
            <w:r w:rsidR="00D6478F" w:rsidRPr="00764F8C">
              <w:rPr>
                <w:rStyle w:val="Hyperlink"/>
              </w:rPr>
              <w:t>Section 2: Comprehensive Regional Three-Year Plan</w:t>
            </w:r>
            <w:r w:rsidR="00D6478F">
              <w:rPr>
                <w:webHidden/>
              </w:rPr>
              <w:tab/>
            </w:r>
            <w:r w:rsidR="00D6478F">
              <w:rPr>
                <w:webHidden/>
              </w:rPr>
              <w:fldChar w:fldCharType="begin"/>
            </w:r>
            <w:r w:rsidR="00D6478F">
              <w:rPr>
                <w:webHidden/>
              </w:rPr>
              <w:instrText xml:space="preserve"> PAGEREF _Toc527969652 \h </w:instrText>
            </w:r>
            <w:r w:rsidR="00D6478F">
              <w:rPr>
                <w:webHidden/>
              </w:rPr>
            </w:r>
            <w:r w:rsidR="00D6478F">
              <w:rPr>
                <w:webHidden/>
              </w:rPr>
              <w:fldChar w:fldCharType="separate"/>
            </w:r>
            <w:r w:rsidR="006F1B1E">
              <w:rPr>
                <w:webHidden/>
              </w:rPr>
              <w:t>1</w:t>
            </w:r>
            <w:r w:rsidR="00D6478F">
              <w:rPr>
                <w:webHidden/>
              </w:rPr>
              <w:fldChar w:fldCharType="end"/>
            </w:r>
          </w:hyperlink>
        </w:p>
        <w:p w14:paraId="7C120507" w14:textId="28290AD4" w:rsidR="00D6478F" w:rsidRDefault="008C0695">
          <w:pPr>
            <w:pStyle w:val="TOC2"/>
            <w:tabs>
              <w:tab w:val="right" w:leader="dot" w:pos="9350"/>
            </w:tabs>
            <w:rPr>
              <w:rFonts w:eastAsiaTheme="minorEastAsia" w:cstheme="minorBidi"/>
              <w:b w:val="0"/>
              <w:bCs w:val="0"/>
              <w:noProof/>
              <w:color w:val="auto"/>
              <w:sz w:val="24"/>
              <w:szCs w:val="24"/>
            </w:rPr>
          </w:pPr>
          <w:hyperlink w:anchor="_Toc527969653" w:history="1">
            <w:r w:rsidR="00D6478F" w:rsidRPr="00764F8C">
              <w:rPr>
                <w:rStyle w:val="Hyperlink"/>
                <w:noProof/>
              </w:rPr>
              <w:t>2.1 Executive Summary</w:t>
            </w:r>
            <w:r w:rsidR="00D6478F">
              <w:rPr>
                <w:noProof/>
                <w:webHidden/>
              </w:rPr>
              <w:tab/>
            </w:r>
            <w:r w:rsidR="00D6478F">
              <w:rPr>
                <w:noProof/>
                <w:webHidden/>
              </w:rPr>
              <w:fldChar w:fldCharType="begin"/>
            </w:r>
            <w:r w:rsidR="00D6478F">
              <w:rPr>
                <w:noProof/>
                <w:webHidden/>
              </w:rPr>
              <w:instrText xml:space="preserve"> PAGEREF _Toc527969653 \h </w:instrText>
            </w:r>
            <w:r w:rsidR="00D6478F">
              <w:rPr>
                <w:noProof/>
                <w:webHidden/>
              </w:rPr>
            </w:r>
            <w:r w:rsidR="00D6478F">
              <w:rPr>
                <w:noProof/>
                <w:webHidden/>
              </w:rPr>
              <w:fldChar w:fldCharType="separate"/>
            </w:r>
            <w:r w:rsidR="006F1B1E">
              <w:rPr>
                <w:noProof/>
                <w:webHidden/>
              </w:rPr>
              <w:t>1</w:t>
            </w:r>
            <w:r w:rsidR="00D6478F">
              <w:rPr>
                <w:noProof/>
                <w:webHidden/>
              </w:rPr>
              <w:fldChar w:fldCharType="end"/>
            </w:r>
          </w:hyperlink>
        </w:p>
        <w:p w14:paraId="5A57D9FF" w14:textId="029AE41C" w:rsidR="00D6478F" w:rsidRDefault="008C0695">
          <w:pPr>
            <w:pStyle w:val="TOC2"/>
            <w:tabs>
              <w:tab w:val="right" w:leader="dot" w:pos="9350"/>
            </w:tabs>
            <w:rPr>
              <w:rFonts w:eastAsiaTheme="minorEastAsia" w:cstheme="minorBidi"/>
              <w:b w:val="0"/>
              <w:bCs w:val="0"/>
              <w:noProof/>
              <w:color w:val="auto"/>
              <w:sz w:val="24"/>
              <w:szCs w:val="24"/>
            </w:rPr>
          </w:pPr>
          <w:hyperlink w:anchor="_Toc527969654" w:history="1">
            <w:r w:rsidR="00D6478F" w:rsidRPr="00764F8C">
              <w:rPr>
                <w:rStyle w:val="Hyperlink"/>
                <w:noProof/>
              </w:rPr>
              <w:t>2.2 Pre-Planning Assessment</w:t>
            </w:r>
            <w:r w:rsidR="00D6478F">
              <w:rPr>
                <w:noProof/>
                <w:webHidden/>
              </w:rPr>
              <w:tab/>
            </w:r>
            <w:r w:rsidR="00D6478F">
              <w:rPr>
                <w:noProof/>
                <w:webHidden/>
              </w:rPr>
              <w:fldChar w:fldCharType="begin"/>
            </w:r>
            <w:r w:rsidR="00D6478F">
              <w:rPr>
                <w:noProof/>
                <w:webHidden/>
              </w:rPr>
              <w:instrText xml:space="preserve"> PAGEREF _Toc527969654 \h </w:instrText>
            </w:r>
            <w:r w:rsidR="00D6478F">
              <w:rPr>
                <w:noProof/>
                <w:webHidden/>
              </w:rPr>
            </w:r>
            <w:r w:rsidR="00D6478F">
              <w:rPr>
                <w:noProof/>
                <w:webHidden/>
              </w:rPr>
              <w:fldChar w:fldCharType="separate"/>
            </w:r>
            <w:r w:rsidR="006F1B1E">
              <w:rPr>
                <w:noProof/>
                <w:webHidden/>
              </w:rPr>
              <w:t>6</w:t>
            </w:r>
            <w:r w:rsidR="00D6478F">
              <w:rPr>
                <w:noProof/>
                <w:webHidden/>
              </w:rPr>
              <w:fldChar w:fldCharType="end"/>
            </w:r>
          </w:hyperlink>
        </w:p>
        <w:p w14:paraId="77530099" w14:textId="7F47A41E" w:rsidR="00D6478F" w:rsidRDefault="008C0695">
          <w:pPr>
            <w:pStyle w:val="TOC3"/>
            <w:tabs>
              <w:tab w:val="right" w:leader="dot" w:pos="9350"/>
            </w:tabs>
            <w:rPr>
              <w:rFonts w:eastAsiaTheme="minorEastAsia" w:cstheme="minorBidi"/>
              <w:noProof/>
              <w:color w:val="auto"/>
              <w:sz w:val="24"/>
              <w:szCs w:val="24"/>
            </w:rPr>
          </w:pPr>
          <w:hyperlink w:anchor="_Toc527969655" w:history="1">
            <w:r w:rsidR="00D6478F" w:rsidRPr="00764F8C">
              <w:rPr>
                <w:rStyle w:val="Hyperlink"/>
                <w:noProof/>
              </w:rPr>
              <w:t>Table 1. Regional Service Providers</w:t>
            </w:r>
            <w:r w:rsidR="00D6478F">
              <w:rPr>
                <w:noProof/>
                <w:webHidden/>
              </w:rPr>
              <w:tab/>
            </w:r>
            <w:r w:rsidR="00D6478F">
              <w:rPr>
                <w:noProof/>
                <w:webHidden/>
              </w:rPr>
              <w:fldChar w:fldCharType="begin"/>
            </w:r>
            <w:r w:rsidR="00D6478F">
              <w:rPr>
                <w:noProof/>
                <w:webHidden/>
              </w:rPr>
              <w:instrText xml:space="preserve"> PAGEREF _Toc527969655 \h </w:instrText>
            </w:r>
            <w:r w:rsidR="00D6478F">
              <w:rPr>
                <w:noProof/>
                <w:webHidden/>
              </w:rPr>
            </w:r>
            <w:r w:rsidR="00D6478F">
              <w:rPr>
                <w:noProof/>
                <w:webHidden/>
              </w:rPr>
              <w:fldChar w:fldCharType="separate"/>
            </w:r>
            <w:r w:rsidR="006F1B1E">
              <w:rPr>
                <w:noProof/>
                <w:webHidden/>
              </w:rPr>
              <w:t>13</w:t>
            </w:r>
            <w:r w:rsidR="00D6478F">
              <w:rPr>
                <w:noProof/>
                <w:webHidden/>
              </w:rPr>
              <w:fldChar w:fldCharType="end"/>
            </w:r>
          </w:hyperlink>
        </w:p>
        <w:p w14:paraId="464ADC2D" w14:textId="2FCBFE97" w:rsidR="00D6478F" w:rsidRDefault="008C0695">
          <w:pPr>
            <w:pStyle w:val="TOC3"/>
            <w:tabs>
              <w:tab w:val="right" w:leader="dot" w:pos="9350"/>
            </w:tabs>
            <w:rPr>
              <w:rFonts w:eastAsiaTheme="minorEastAsia" w:cstheme="minorBidi"/>
              <w:noProof/>
              <w:color w:val="auto"/>
              <w:sz w:val="24"/>
              <w:szCs w:val="24"/>
            </w:rPr>
          </w:pPr>
          <w:hyperlink w:anchor="_Toc527969656" w:history="1">
            <w:r w:rsidR="00D6478F" w:rsidRPr="00764F8C">
              <w:rPr>
                <w:rStyle w:val="Hyperlink"/>
                <w:noProof/>
              </w:rPr>
              <w:t>Table 2. Funding for Adult Education Programs and Services</w:t>
            </w:r>
            <w:r w:rsidR="00D6478F">
              <w:rPr>
                <w:noProof/>
                <w:webHidden/>
              </w:rPr>
              <w:tab/>
            </w:r>
            <w:r w:rsidR="00D6478F">
              <w:rPr>
                <w:noProof/>
                <w:webHidden/>
              </w:rPr>
              <w:fldChar w:fldCharType="begin"/>
            </w:r>
            <w:r w:rsidR="00D6478F">
              <w:rPr>
                <w:noProof/>
                <w:webHidden/>
              </w:rPr>
              <w:instrText xml:space="preserve"> PAGEREF _Toc527969656 \h </w:instrText>
            </w:r>
            <w:r w:rsidR="00D6478F">
              <w:rPr>
                <w:noProof/>
                <w:webHidden/>
              </w:rPr>
            </w:r>
            <w:r w:rsidR="00D6478F">
              <w:rPr>
                <w:noProof/>
                <w:webHidden/>
              </w:rPr>
              <w:fldChar w:fldCharType="separate"/>
            </w:r>
            <w:r w:rsidR="006F1B1E">
              <w:rPr>
                <w:noProof/>
                <w:webHidden/>
              </w:rPr>
              <w:t>15</w:t>
            </w:r>
            <w:r w:rsidR="00D6478F">
              <w:rPr>
                <w:noProof/>
                <w:webHidden/>
              </w:rPr>
              <w:fldChar w:fldCharType="end"/>
            </w:r>
          </w:hyperlink>
        </w:p>
        <w:p w14:paraId="40ED8815" w14:textId="26EC1577" w:rsidR="00D6478F" w:rsidRDefault="008C0695">
          <w:pPr>
            <w:pStyle w:val="TOC2"/>
            <w:tabs>
              <w:tab w:val="right" w:leader="dot" w:pos="9350"/>
            </w:tabs>
            <w:rPr>
              <w:rFonts w:eastAsiaTheme="minorEastAsia" w:cstheme="minorBidi"/>
              <w:b w:val="0"/>
              <w:bCs w:val="0"/>
              <w:noProof/>
              <w:color w:val="auto"/>
              <w:sz w:val="24"/>
              <w:szCs w:val="24"/>
            </w:rPr>
          </w:pPr>
          <w:hyperlink w:anchor="_Toc527969657" w:history="1">
            <w:r w:rsidR="00D6478F" w:rsidRPr="00764F8C">
              <w:rPr>
                <w:rStyle w:val="Hyperlink"/>
                <w:noProof/>
              </w:rPr>
              <w:t>2.3 Community Need and Customers</w:t>
            </w:r>
            <w:r w:rsidR="00D6478F">
              <w:rPr>
                <w:noProof/>
                <w:webHidden/>
              </w:rPr>
              <w:tab/>
            </w:r>
            <w:r w:rsidR="00D6478F">
              <w:rPr>
                <w:noProof/>
                <w:webHidden/>
              </w:rPr>
              <w:fldChar w:fldCharType="begin"/>
            </w:r>
            <w:r w:rsidR="00D6478F">
              <w:rPr>
                <w:noProof/>
                <w:webHidden/>
              </w:rPr>
              <w:instrText xml:space="preserve"> PAGEREF _Toc527969657 \h </w:instrText>
            </w:r>
            <w:r w:rsidR="00D6478F">
              <w:rPr>
                <w:noProof/>
                <w:webHidden/>
              </w:rPr>
            </w:r>
            <w:r w:rsidR="00D6478F">
              <w:rPr>
                <w:noProof/>
                <w:webHidden/>
              </w:rPr>
              <w:fldChar w:fldCharType="separate"/>
            </w:r>
            <w:r w:rsidR="006F1B1E">
              <w:rPr>
                <w:noProof/>
                <w:webHidden/>
              </w:rPr>
              <w:t>16</w:t>
            </w:r>
            <w:r w:rsidR="00D6478F">
              <w:rPr>
                <w:noProof/>
                <w:webHidden/>
              </w:rPr>
              <w:fldChar w:fldCharType="end"/>
            </w:r>
          </w:hyperlink>
        </w:p>
        <w:p w14:paraId="738A7062" w14:textId="65782AF8" w:rsidR="00D6478F" w:rsidRDefault="008C0695">
          <w:pPr>
            <w:pStyle w:val="TOC2"/>
            <w:tabs>
              <w:tab w:val="right" w:leader="dot" w:pos="9350"/>
            </w:tabs>
            <w:rPr>
              <w:rFonts w:eastAsiaTheme="minorEastAsia" w:cstheme="minorBidi"/>
              <w:b w:val="0"/>
              <w:bCs w:val="0"/>
              <w:noProof/>
              <w:color w:val="auto"/>
              <w:sz w:val="24"/>
              <w:szCs w:val="24"/>
            </w:rPr>
          </w:pPr>
          <w:hyperlink w:anchor="_Toc527969658" w:history="1">
            <w:r w:rsidR="00D6478F" w:rsidRPr="00764F8C">
              <w:rPr>
                <w:rStyle w:val="Hyperlink"/>
                <w:noProof/>
              </w:rPr>
              <w:t>2.4 Identifying Goals and Strategies</w:t>
            </w:r>
            <w:r w:rsidR="00D6478F">
              <w:rPr>
                <w:noProof/>
                <w:webHidden/>
              </w:rPr>
              <w:tab/>
            </w:r>
            <w:r w:rsidR="00D6478F">
              <w:rPr>
                <w:noProof/>
                <w:webHidden/>
              </w:rPr>
              <w:fldChar w:fldCharType="begin"/>
            </w:r>
            <w:r w:rsidR="00D6478F">
              <w:rPr>
                <w:noProof/>
                <w:webHidden/>
              </w:rPr>
              <w:instrText xml:space="preserve"> PAGEREF _Toc527969658 \h </w:instrText>
            </w:r>
            <w:r w:rsidR="00D6478F">
              <w:rPr>
                <w:noProof/>
                <w:webHidden/>
              </w:rPr>
            </w:r>
            <w:r w:rsidR="00D6478F">
              <w:rPr>
                <w:noProof/>
                <w:webHidden/>
              </w:rPr>
              <w:fldChar w:fldCharType="separate"/>
            </w:r>
            <w:r w:rsidR="006F1B1E">
              <w:rPr>
                <w:noProof/>
                <w:webHidden/>
              </w:rPr>
              <w:t>19</w:t>
            </w:r>
            <w:r w:rsidR="00D6478F">
              <w:rPr>
                <w:noProof/>
                <w:webHidden/>
              </w:rPr>
              <w:fldChar w:fldCharType="end"/>
            </w:r>
          </w:hyperlink>
        </w:p>
        <w:p w14:paraId="210648E1" w14:textId="17FBFAFE" w:rsidR="00D6478F" w:rsidRDefault="008C0695">
          <w:pPr>
            <w:pStyle w:val="TOC3"/>
            <w:tabs>
              <w:tab w:val="right" w:leader="dot" w:pos="9350"/>
            </w:tabs>
            <w:rPr>
              <w:rFonts w:eastAsiaTheme="minorEastAsia" w:cstheme="minorBidi"/>
              <w:noProof/>
              <w:color w:val="auto"/>
              <w:sz w:val="24"/>
              <w:szCs w:val="24"/>
            </w:rPr>
          </w:pPr>
          <w:hyperlink w:anchor="_Toc527969659" w:history="1">
            <w:r w:rsidR="00D6478F" w:rsidRPr="00764F8C">
              <w:rPr>
                <w:rStyle w:val="Hyperlink"/>
                <w:noProof/>
              </w:rPr>
              <w:t>Figure 1. Logic Model</w:t>
            </w:r>
            <w:r w:rsidR="00D6478F">
              <w:rPr>
                <w:noProof/>
                <w:webHidden/>
              </w:rPr>
              <w:tab/>
            </w:r>
            <w:r w:rsidR="00D6478F">
              <w:rPr>
                <w:noProof/>
                <w:webHidden/>
              </w:rPr>
              <w:fldChar w:fldCharType="begin"/>
            </w:r>
            <w:r w:rsidR="00D6478F">
              <w:rPr>
                <w:noProof/>
                <w:webHidden/>
              </w:rPr>
              <w:instrText xml:space="preserve"> PAGEREF _Toc527969659 \h </w:instrText>
            </w:r>
            <w:r w:rsidR="00D6478F">
              <w:rPr>
                <w:noProof/>
                <w:webHidden/>
              </w:rPr>
            </w:r>
            <w:r w:rsidR="00D6478F">
              <w:rPr>
                <w:noProof/>
                <w:webHidden/>
              </w:rPr>
              <w:fldChar w:fldCharType="separate"/>
            </w:r>
            <w:r w:rsidR="006F1B1E">
              <w:rPr>
                <w:noProof/>
                <w:webHidden/>
              </w:rPr>
              <w:t>22</w:t>
            </w:r>
            <w:r w:rsidR="00D6478F">
              <w:rPr>
                <w:noProof/>
                <w:webHidden/>
              </w:rPr>
              <w:fldChar w:fldCharType="end"/>
            </w:r>
          </w:hyperlink>
        </w:p>
        <w:p w14:paraId="09269B29" w14:textId="74AE4AD5" w:rsidR="00D6478F" w:rsidRDefault="008C0695">
          <w:pPr>
            <w:pStyle w:val="TOC3"/>
            <w:tabs>
              <w:tab w:val="right" w:leader="dot" w:pos="9350"/>
            </w:tabs>
            <w:rPr>
              <w:rFonts w:eastAsiaTheme="minorEastAsia" w:cstheme="minorBidi"/>
              <w:noProof/>
              <w:color w:val="auto"/>
              <w:sz w:val="24"/>
              <w:szCs w:val="24"/>
            </w:rPr>
          </w:pPr>
          <w:hyperlink w:anchor="_Toc527969660" w:history="1">
            <w:r w:rsidR="00D6478F" w:rsidRPr="00764F8C">
              <w:rPr>
                <w:rStyle w:val="Hyperlink"/>
                <w:noProof/>
              </w:rPr>
              <w:t>Table 3. Progress Indicators</w:t>
            </w:r>
            <w:r w:rsidR="00D6478F">
              <w:rPr>
                <w:noProof/>
                <w:webHidden/>
              </w:rPr>
              <w:tab/>
            </w:r>
            <w:r w:rsidR="00D6478F">
              <w:rPr>
                <w:noProof/>
                <w:webHidden/>
              </w:rPr>
              <w:fldChar w:fldCharType="begin"/>
            </w:r>
            <w:r w:rsidR="00D6478F">
              <w:rPr>
                <w:noProof/>
                <w:webHidden/>
              </w:rPr>
              <w:instrText xml:space="preserve"> PAGEREF _Toc527969660 \h </w:instrText>
            </w:r>
            <w:r w:rsidR="00D6478F">
              <w:rPr>
                <w:noProof/>
                <w:webHidden/>
              </w:rPr>
            </w:r>
            <w:r w:rsidR="00D6478F">
              <w:rPr>
                <w:noProof/>
                <w:webHidden/>
              </w:rPr>
              <w:fldChar w:fldCharType="separate"/>
            </w:r>
            <w:r w:rsidR="006F1B1E">
              <w:rPr>
                <w:noProof/>
                <w:webHidden/>
              </w:rPr>
              <w:t>24</w:t>
            </w:r>
            <w:r w:rsidR="00D6478F">
              <w:rPr>
                <w:noProof/>
                <w:webHidden/>
              </w:rPr>
              <w:fldChar w:fldCharType="end"/>
            </w:r>
          </w:hyperlink>
        </w:p>
        <w:p w14:paraId="291B28F2" w14:textId="45F1021B" w:rsidR="00D6478F" w:rsidRDefault="008C0695">
          <w:pPr>
            <w:pStyle w:val="TOC2"/>
            <w:tabs>
              <w:tab w:val="right" w:leader="dot" w:pos="9350"/>
            </w:tabs>
            <w:rPr>
              <w:rFonts w:eastAsiaTheme="minorEastAsia" w:cstheme="minorBidi"/>
              <w:b w:val="0"/>
              <w:bCs w:val="0"/>
              <w:noProof/>
              <w:color w:val="auto"/>
              <w:sz w:val="24"/>
              <w:szCs w:val="24"/>
            </w:rPr>
          </w:pPr>
          <w:hyperlink w:anchor="_Toc527969661" w:history="1">
            <w:r w:rsidR="00D6478F" w:rsidRPr="00764F8C">
              <w:rPr>
                <w:rStyle w:val="Hyperlink"/>
                <w:noProof/>
              </w:rPr>
              <w:t>2.5 Piloting and Implementation</w:t>
            </w:r>
            <w:r w:rsidR="00D6478F">
              <w:rPr>
                <w:noProof/>
                <w:webHidden/>
              </w:rPr>
              <w:tab/>
            </w:r>
            <w:r w:rsidR="00D6478F">
              <w:rPr>
                <w:noProof/>
                <w:webHidden/>
              </w:rPr>
              <w:fldChar w:fldCharType="begin"/>
            </w:r>
            <w:r w:rsidR="00D6478F">
              <w:rPr>
                <w:noProof/>
                <w:webHidden/>
              </w:rPr>
              <w:instrText xml:space="preserve"> PAGEREF _Toc527969661 \h </w:instrText>
            </w:r>
            <w:r w:rsidR="00D6478F">
              <w:rPr>
                <w:noProof/>
                <w:webHidden/>
              </w:rPr>
            </w:r>
            <w:r w:rsidR="00D6478F">
              <w:rPr>
                <w:noProof/>
                <w:webHidden/>
              </w:rPr>
              <w:fldChar w:fldCharType="separate"/>
            </w:r>
            <w:r w:rsidR="006F1B1E">
              <w:rPr>
                <w:noProof/>
                <w:webHidden/>
              </w:rPr>
              <w:t>25</w:t>
            </w:r>
            <w:r w:rsidR="00D6478F">
              <w:rPr>
                <w:noProof/>
                <w:webHidden/>
              </w:rPr>
              <w:fldChar w:fldCharType="end"/>
            </w:r>
          </w:hyperlink>
        </w:p>
        <w:p w14:paraId="39671AE8" w14:textId="6E8F4E31" w:rsidR="006117E8" w:rsidRDefault="006117E8">
          <w:r>
            <w:rPr>
              <w:b/>
              <w:bCs/>
              <w:noProof/>
            </w:rPr>
            <w:fldChar w:fldCharType="end"/>
          </w:r>
        </w:p>
      </w:sdtContent>
    </w:sdt>
    <w:p w14:paraId="6814F1BB" w14:textId="77777777" w:rsidR="00603443" w:rsidRDefault="00603443" w:rsidP="00600745">
      <w:pPr>
        <w:pStyle w:val="Heading1"/>
        <w:rPr>
          <w:rFonts w:cstheme="majorHAnsi"/>
        </w:rPr>
        <w:sectPr w:rsidR="00603443" w:rsidSect="00603443">
          <w:pgSz w:w="12240" w:h="15840"/>
          <w:pgMar w:top="1739" w:right="1440" w:bottom="1440" w:left="1440" w:header="720" w:footer="720" w:gutter="0"/>
          <w:pgNumType w:fmt="lowerRoman" w:start="1"/>
          <w:cols w:space="720"/>
          <w:titlePg/>
          <w:docGrid w:linePitch="299"/>
        </w:sectPr>
      </w:pPr>
    </w:p>
    <w:p w14:paraId="5B089587" w14:textId="1377701E" w:rsidR="00600745" w:rsidRPr="003711FD" w:rsidRDefault="00600745" w:rsidP="00600745">
      <w:pPr>
        <w:pStyle w:val="Heading1"/>
        <w:rPr>
          <w:rFonts w:cstheme="majorHAnsi"/>
        </w:rPr>
      </w:pPr>
      <w:bookmarkStart w:id="3" w:name="_Toc527969652"/>
      <w:r w:rsidRPr="003711FD">
        <w:rPr>
          <w:rFonts w:cstheme="majorHAnsi"/>
        </w:rPr>
        <w:lastRenderedPageBreak/>
        <w:t>Section</w:t>
      </w:r>
      <w:r>
        <w:rPr>
          <w:rFonts w:cstheme="majorHAnsi"/>
        </w:rPr>
        <w:t xml:space="preserve"> </w:t>
      </w:r>
      <w:r w:rsidRPr="003711FD">
        <w:rPr>
          <w:rFonts w:cstheme="majorHAnsi"/>
        </w:rPr>
        <w:t>2:</w:t>
      </w:r>
      <w:r>
        <w:rPr>
          <w:rFonts w:cstheme="majorHAnsi"/>
        </w:rPr>
        <w:t xml:space="preserve"> </w:t>
      </w:r>
      <w:r w:rsidRPr="003711FD">
        <w:rPr>
          <w:rFonts w:cstheme="majorHAnsi"/>
        </w:rPr>
        <w:t>Comprehensive</w:t>
      </w:r>
      <w:r>
        <w:rPr>
          <w:rFonts w:cstheme="majorHAnsi"/>
        </w:rPr>
        <w:t xml:space="preserve"> </w:t>
      </w:r>
      <w:r w:rsidRPr="003711FD">
        <w:rPr>
          <w:rFonts w:cstheme="majorHAnsi"/>
        </w:rPr>
        <w:t>Regional</w:t>
      </w:r>
      <w:r>
        <w:rPr>
          <w:rFonts w:cstheme="majorHAnsi"/>
        </w:rPr>
        <w:t xml:space="preserve"> </w:t>
      </w:r>
      <w:r w:rsidRPr="003711FD">
        <w:rPr>
          <w:rFonts w:cstheme="majorHAnsi"/>
        </w:rPr>
        <w:t>Three-Year</w:t>
      </w:r>
      <w:r>
        <w:rPr>
          <w:rFonts w:cstheme="majorHAnsi"/>
        </w:rPr>
        <w:t xml:space="preserve"> </w:t>
      </w:r>
      <w:r w:rsidRPr="003711FD">
        <w:rPr>
          <w:rFonts w:cstheme="majorHAnsi"/>
        </w:rPr>
        <w:t>Plan</w:t>
      </w:r>
      <w:bookmarkEnd w:id="3"/>
    </w:p>
    <w:p w14:paraId="735D3189" w14:textId="25EA13F7" w:rsidR="00600745" w:rsidRPr="00C94148" w:rsidRDefault="00600745" w:rsidP="007C5BD1">
      <w:pPr>
        <w:pStyle w:val="Heading2"/>
      </w:pPr>
      <w:bookmarkStart w:id="4" w:name="_pbya56jnk6al" w:colFirst="0" w:colLast="0"/>
      <w:bookmarkStart w:id="5" w:name="_Toc527969653"/>
      <w:bookmarkEnd w:id="4"/>
      <w:r w:rsidRPr="00C94148">
        <w:t>2.1 Executive Summary</w:t>
      </w:r>
      <w:bookmarkEnd w:id="5"/>
    </w:p>
    <w:p w14:paraId="200CB7E9" w14:textId="131475A6" w:rsidR="00D95331" w:rsidRPr="002827DE" w:rsidRDefault="00EA5310" w:rsidP="009F4D08">
      <w:pPr>
        <w:rPr>
          <w:rFonts w:asciiTheme="minorHAnsi" w:hAnsiTheme="minorHAnsi" w:cs="Arial"/>
          <w:color w:val="04326C"/>
          <w:sz w:val="24"/>
          <w:szCs w:val="24"/>
        </w:rPr>
      </w:pPr>
      <w:r w:rsidRPr="002827DE">
        <w:rPr>
          <w:rFonts w:asciiTheme="minorHAnsi" w:hAnsiTheme="minorHAnsi" w:cs="Arial"/>
          <w:color w:val="04326C"/>
          <w:sz w:val="24"/>
          <w:szCs w:val="24"/>
        </w:rPr>
        <w:t xml:space="preserve">Since 2015, the North Santa Clara County Consortium (NSC) </w:t>
      </w:r>
      <w:r w:rsidR="00EE1C0A">
        <w:rPr>
          <w:rFonts w:asciiTheme="minorHAnsi" w:hAnsiTheme="minorHAnsi" w:cs="Arial"/>
          <w:color w:val="04326C"/>
          <w:sz w:val="24"/>
          <w:szCs w:val="24"/>
        </w:rPr>
        <w:t>is making</w:t>
      </w:r>
      <w:r w:rsidRPr="002827DE">
        <w:rPr>
          <w:rFonts w:asciiTheme="minorHAnsi" w:hAnsiTheme="minorHAnsi" w:cs="Arial"/>
          <w:color w:val="04326C"/>
          <w:sz w:val="24"/>
          <w:szCs w:val="24"/>
        </w:rPr>
        <w:t xml:space="preserve"> huge strides in developing collegial relationships and practic</w:t>
      </w:r>
      <w:r w:rsidR="00EE1C0A">
        <w:rPr>
          <w:rFonts w:asciiTheme="minorHAnsi" w:hAnsiTheme="minorHAnsi" w:cs="Arial"/>
          <w:color w:val="04326C"/>
          <w:sz w:val="24"/>
          <w:szCs w:val="24"/>
        </w:rPr>
        <w:t xml:space="preserve">es </w:t>
      </w:r>
      <w:r w:rsidRPr="002827DE">
        <w:rPr>
          <w:rFonts w:asciiTheme="minorHAnsi" w:hAnsiTheme="minorHAnsi" w:cs="Arial"/>
          <w:color w:val="04326C"/>
          <w:sz w:val="24"/>
          <w:szCs w:val="24"/>
        </w:rPr>
        <w:t xml:space="preserve">between Adult School and Community College staff to improve services and academic success for our region’s adult learners.  This collaboration, through the medium of outcome-driven </w:t>
      </w:r>
      <w:r w:rsidR="00BF7C58" w:rsidRPr="002827DE">
        <w:rPr>
          <w:rFonts w:asciiTheme="minorHAnsi" w:hAnsiTheme="minorHAnsi" w:cs="Arial"/>
          <w:color w:val="04326C"/>
          <w:sz w:val="24"/>
          <w:szCs w:val="24"/>
        </w:rPr>
        <w:t>W</w:t>
      </w:r>
      <w:r w:rsidRPr="002827DE">
        <w:rPr>
          <w:rFonts w:asciiTheme="minorHAnsi" w:hAnsiTheme="minorHAnsi" w:cs="Arial"/>
          <w:color w:val="04326C"/>
          <w:sz w:val="24"/>
          <w:szCs w:val="24"/>
        </w:rPr>
        <w:t>ork</w:t>
      </w:r>
      <w:r w:rsidR="00BF7C58" w:rsidRPr="002827DE">
        <w:rPr>
          <w:rFonts w:asciiTheme="minorHAnsi" w:hAnsiTheme="minorHAnsi" w:cs="Arial"/>
          <w:color w:val="04326C"/>
          <w:sz w:val="24"/>
          <w:szCs w:val="24"/>
        </w:rPr>
        <w:t xml:space="preserve"> Groups, </w:t>
      </w:r>
      <w:r w:rsidR="00EE1C0A">
        <w:rPr>
          <w:rFonts w:asciiTheme="minorHAnsi" w:hAnsiTheme="minorHAnsi" w:cs="Arial"/>
          <w:color w:val="04326C"/>
          <w:sz w:val="24"/>
          <w:szCs w:val="24"/>
        </w:rPr>
        <w:t>is overcoming</w:t>
      </w:r>
      <w:r w:rsidRPr="002827DE">
        <w:rPr>
          <w:rFonts w:asciiTheme="minorHAnsi" w:hAnsiTheme="minorHAnsi" w:cs="Arial"/>
          <w:color w:val="04326C"/>
          <w:sz w:val="24"/>
          <w:szCs w:val="24"/>
        </w:rPr>
        <w:t xml:space="preserve"> many hurdles through a collective and collaborative effort.</w:t>
      </w:r>
      <w:r w:rsidR="001B0DCC" w:rsidRPr="002827DE">
        <w:rPr>
          <w:rFonts w:asciiTheme="minorHAnsi" w:hAnsiTheme="minorHAnsi" w:cs="Arial"/>
          <w:color w:val="04326C"/>
          <w:sz w:val="24"/>
          <w:szCs w:val="24"/>
        </w:rPr>
        <w:t xml:space="preserve">  </w:t>
      </w:r>
      <w:r w:rsidR="00BF7C58" w:rsidRPr="002827DE">
        <w:rPr>
          <w:rFonts w:asciiTheme="minorHAnsi" w:hAnsiTheme="minorHAnsi" w:cs="Arial"/>
          <w:color w:val="04326C"/>
          <w:sz w:val="24"/>
          <w:szCs w:val="24"/>
        </w:rPr>
        <w:t xml:space="preserve">In addition, a clear mission and </w:t>
      </w:r>
      <w:r w:rsidR="00EE1C0A">
        <w:rPr>
          <w:rFonts w:asciiTheme="minorHAnsi" w:hAnsiTheme="minorHAnsi" w:cs="Arial"/>
          <w:color w:val="04326C"/>
          <w:sz w:val="24"/>
          <w:szCs w:val="24"/>
        </w:rPr>
        <w:t>vision is</w:t>
      </w:r>
      <w:r w:rsidR="00BF7C58" w:rsidRPr="002827DE">
        <w:rPr>
          <w:rFonts w:asciiTheme="minorHAnsi" w:hAnsiTheme="minorHAnsi" w:cs="Arial"/>
          <w:color w:val="04326C"/>
          <w:sz w:val="24"/>
          <w:szCs w:val="24"/>
        </w:rPr>
        <w:t xml:space="preserve"> continu</w:t>
      </w:r>
      <w:r w:rsidR="00EE1C0A">
        <w:rPr>
          <w:rFonts w:asciiTheme="minorHAnsi" w:hAnsiTheme="minorHAnsi" w:cs="Arial"/>
          <w:color w:val="04326C"/>
          <w:sz w:val="24"/>
          <w:szCs w:val="24"/>
        </w:rPr>
        <w:t>ing</w:t>
      </w:r>
      <w:r w:rsidR="00BF7C58" w:rsidRPr="002827DE">
        <w:rPr>
          <w:rFonts w:asciiTheme="minorHAnsi" w:hAnsiTheme="minorHAnsi" w:cs="Arial"/>
          <w:color w:val="04326C"/>
          <w:sz w:val="24"/>
          <w:szCs w:val="24"/>
        </w:rPr>
        <w:t xml:space="preserve"> to guide our work.</w:t>
      </w:r>
      <w:r w:rsidR="00BF7C58" w:rsidRPr="002827DE">
        <w:rPr>
          <w:rStyle w:val="FootnoteReference"/>
          <w:rFonts w:asciiTheme="minorHAnsi" w:hAnsiTheme="minorHAnsi" w:cs="Arial"/>
          <w:color w:val="04326C"/>
          <w:sz w:val="24"/>
          <w:szCs w:val="24"/>
        </w:rPr>
        <w:footnoteReference w:id="1"/>
      </w:r>
    </w:p>
    <w:p w14:paraId="7DE5696E" w14:textId="30AFE2DB" w:rsidR="00EA5310" w:rsidRPr="002827DE" w:rsidRDefault="00EA5310" w:rsidP="009F4D08">
      <w:pPr>
        <w:rPr>
          <w:rFonts w:asciiTheme="minorHAnsi" w:hAnsiTheme="minorHAnsi" w:cs="Arial"/>
          <w:color w:val="04326C"/>
          <w:sz w:val="24"/>
          <w:szCs w:val="24"/>
        </w:rPr>
      </w:pPr>
      <w:r w:rsidRPr="002827DE">
        <w:rPr>
          <w:rFonts w:asciiTheme="minorHAnsi" w:hAnsiTheme="minorHAnsi" w:cs="Arial"/>
          <w:color w:val="04326C"/>
          <w:sz w:val="24"/>
          <w:szCs w:val="24"/>
        </w:rPr>
        <w:t xml:space="preserve">There have been two </w:t>
      </w:r>
      <w:r w:rsidR="00BF7C58" w:rsidRPr="002827DE">
        <w:rPr>
          <w:rFonts w:asciiTheme="minorHAnsi" w:hAnsiTheme="minorHAnsi" w:cs="Arial"/>
          <w:color w:val="04326C"/>
          <w:sz w:val="24"/>
          <w:szCs w:val="24"/>
        </w:rPr>
        <w:t>W</w:t>
      </w:r>
      <w:r w:rsidRPr="002827DE">
        <w:rPr>
          <w:rFonts w:asciiTheme="minorHAnsi" w:hAnsiTheme="minorHAnsi" w:cs="Arial"/>
          <w:color w:val="04326C"/>
          <w:sz w:val="24"/>
          <w:szCs w:val="24"/>
        </w:rPr>
        <w:t>ork</w:t>
      </w:r>
      <w:r w:rsidR="00BF7C58" w:rsidRPr="002827DE">
        <w:rPr>
          <w:rFonts w:asciiTheme="minorHAnsi" w:hAnsiTheme="minorHAnsi" w:cs="Arial"/>
          <w:color w:val="04326C"/>
          <w:sz w:val="24"/>
          <w:szCs w:val="24"/>
        </w:rPr>
        <w:t xml:space="preserve"> G</w:t>
      </w:r>
      <w:r w:rsidRPr="002827DE">
        <w:rPr>
          <w:rFonts w:asciiTheme="minorHAnsi" w:hAnsiTheme="minorHAnsi" w:cs="Arial"/>
          <w:color w:val="04326C"/>
          <w:sz w:val="24"/>
          <w:szCs w:val="24"/>
        </w:rPr>
        <w:t>roups focusing on curriculum articulation and alignment, one with an emphasis on English as a Second Language (ESL) learners and one with a Career Technical Education (CTE)/Adult Secondary Education (ASE) focus.  These groups</w:t>
      </w:r>
      <w:r w:rsidR="00C11E03" w:rsidRPr="002827DE">
        <w:rPr>
          <w:rFonts w:asciiTheme="minorHAnsi" w:hAnsiTheme="minorHAnsi" w:cs="Arial"/>
          <w:color w:val="04326C"/>
          <w:sz w:val="24"/>
          <w:szCs w:val="24"/>
        </w:rPr>
        <w:t>, originally one large group in 2016,</w:t>
      </w:r>
      <w:r w:rsidRPr="002827DE">
        <w:rPr>
          <w:rFonts w:asciiTheme="minorHAnsi" w:hAnsiTheme="minorHAnsi" w:cs="Arial"/>
          <w:color w:val="04326C"/>
          <w:sz w:val="24"/>
          <w:szCs w:val="24"/>
        </w:rPr>
        <w:t xml:space="preserve"> have rejoined in 2019 to address </w:t>
      </w:r>
      <w:r w:rsidR="00C11E03" w:rsidRPr="002827DE">
        <w:rPr>
          <w:rFonts w:asciiTheme="minorHAnsi" w:hAnsiTheme="minorHAnsi" w:cs="Arial"/>
          <w:color w:val="04326C"/>
          <w:sz w:val="24"/>
          <w:szCs w:val="24"/>
        </w:rPr>
        <w:t>the new goals</w:t>
      </w:r>
      <w:r w:rsidRPr="002827DE">
        <w:rPr>
          <w:rFonts w:asciiTheme="minorHAnsi" w:hAnsiTheme="minorHAnsi" w:cs="Arial"/>
          <w:color w:val="04326C"/>
          <w:sz w:val="24"/>
          <w:szCs w:val="24"/>
        </w:rPr>
        <w:t xml:space="preserve"> for 2019-2022.  Accomplishment highlights for the Curriculum Alignment and Articulation </w:t>
      </w:r>
      <w:r w:rsidR="00C11E03" w:rsidRPr="002827DE">
        <w:rPr>
          <w:rFonts w:asciiTheme="minorHAnsi" w:hAnsiTheme="minorHAnsi" w:cs="Arial"/>
          <w:color w:val="04326C"/>
          <w:sz w:val="24"/>
          <w:szCs w:val="24"/>
        </w:rPr>
        <w:t>W</w:t>
      </w:r>
      <w:r w:rsidRPr="002827DE">
        <w:rPr>
          <w:rFonts w:asciiTheme="minorHAnsi" w:hAnsiTheme="minorHAnsi" w:cs="Arial"/>
          <w:color w:val="04326C"/>
          <w:sz w:val="24"/>
          <w:szCs w:val="24"/>
        </w:rPr>
        <w:t xml:space="preserve">ork </w:t>
      </w:r>
      <w:r w:rsidR="00C11E03" w:rsidRPr="002827DE">
        <w:rPr>
          <w:rFonts w:asciiTheme="minorHAnsi" w:hAnsiTheme="minorHAnsi" w:cs="Arial"/>
          <w:color w:val="04326C"/>
          <w:sz w:val="24"/>
          <w:szCs w:val="24"/>
        </w:rPr>
        <w:t>G</w:t>
      </w:r>
      <w:r w:rsidRPr="002827DE">
        <w:rPr>
          <w:rFonts w:asciiTheme="minorHAnsi" w:hAnsiTheme="minorHAnsi" w:cs="Arial"/>
          <w:color w:val="04326C"/>
          <w:sz w:val="24"/>
          <w:szCs w:val="24"/>
        </w:rPr>
        <w:t>roups include sharing course outlines, curriculum, textbooks and teaching practices.  Changes made as a result of sharing these resources include adjustment to Adult School curriculum to create seamless academics and successful student transition and success in community colleges.</w:t>
      </w:r>
    </w:p>
    <w:p w14:paraId="1222E22D" w14:textId="77777777" w:rsidR="00AE26E7" w:rsidRDefault="00306154" w:rsidP="009F4D08">
      <w:pPr>
        <w:rPr>
          <w:rFonts w:ascii="Times New Roman" w:eastAsia="Times New Roman" w:hAnsi="Times New Roman" w:cs="Times New Roman"/>
          <w:color w:val="auto"/>
          <w:sz w:val="20"/>
          <w:szCs w:val="20"/>
        </w:rPr>
      </w:pPr>
      <w:r>
        <w:rPr>
          <w:rFonts w:asciiTheme="minorHAnsi" w:hAnsiTheme="minorHAnsi" w:cs="Arial"/>
          <w:color w:val="04326C"/>
          <w:sz w:val="24"/>
          <w:szCs w:val="24"/>
        </w:rPr>
        <w:t xml:space="preserve">In addition, </w:t>
      </w:r>
      <w:r w:rsidR="00EA5310" w:rsidRPr="002827DE">
        <w:rPr>
          <w:rFonts w:asciiTheme="minorHAnsi" w:hAnsiTheme="minorHAnsi" w:cs="Arial"/>
          <w:color w:val="04326C"/>
          <w:sz w:val="24"/>
          <w:szCs w:val="24"/>
        </w:rPr>
        <w:t xml:space="preserve">course mapping </w:t>
      </w:r>
      <w:r>
        <w:rPr>
          <w:rFonts w:asciiTheme="minorHAnsi" w:hAnsiTheme="minorHAnsi" w:cs="Arial"/>
          <w:color w:val="04326C"/>
          <w:sz w:val="24"/>
          <w:szCs w:val="24"/>
        </w:rPr>
        <w:t xml:space="preserve">and a gap analysis for ESL programs </w:t>
      </w:r>
      <w:r w:rsidR="00EA5310" w:rsidRPr="002827DE">
        <w:rPr>
          <w:rFonts w:asciiTheme="minorHAnsi" w:hAnsiTheme="minorHAnsi" w:cs="Arial"/>
          <w:color w:val="04326C"/>
          <w:sz w:val="24"/>
          <w:szCs w:val="24"/>
        </w:rPr>
        <w:t>for the five agencies occurred.  This meant reaching out to faculty</w:t>
      </w:r>
      <w:r w:rsidR="00011670">
        <w:rPr>
          <w:rFonts w:asciiTheme="minorHAnsi" w:hAnsiTheme="minorHAnsi" w:cs="Arial"/>
          <w:color w:val="04326C"/>
          <w:sz w:val="24"/>
          <w:szCs w:val="24"/>
        </w:rPr>
        <w:t>,</w:t>
      </w:r>
      <w:r w:rsidR="00EA5310" w:rsidRPr="002827DE">
        <w:rPr>
          <w:rFonts w:asciiTheme="minorHAnsi" w:hAnsiTheme="minorHAnsi" w:cs="Arial"/>
          <w:color w:val="04326C"/>
          <w:sz w:val="24"/>
          <w:szCs w:val="24"/>
        </w:rPr>
        <w:t xml:space="preserve"> on all campuses, </w:t>
      </w:r>
      <w:r w:rsidR="00011670">
        <w:rPr>
          <w:rFonts w:asciiTheme="minorHAnsi" w:hAnsiTheme="minorHAnsi" w:cs="Arial"/>
          <w:color w:val="04326C"/>
          <w:sz w:val="24"/>
          <w:szCs w:val="24"/>
        </w:rPr>
        <w:t xml:space="preserve">and </w:t>
      </w:r>
      <w:r w:rsidR="00EA5310" w:rsidRPr="002827DE">
        <w:rPr>
          <w:rFonts w:asciiTheme="minorHAnsi" w:hAnsiTheme="minorHAnsi" w:cs="Arial"/>
          <w:color w:val="04326C"/>
          <w:sz w:val="24"/>
          <w:szCs w:val="24"/>
        </w:rPr>
        <w:t xml:space="preserve">building inter-agency relationships </w:t>
      </w:r>
      <w:r w:rsidR="00011670">
        <w:rPr>
          <w:rFonts w:asciiTheme="minorHAnsi" w:hAnsiTheme="minorHAnsi" w:cs="Arial"/>
          <w:color w:val="04326C"/>
          <w:sz w:val="24"/>
          <w:szCs w:val="24"/>
        </w:rPr>
        <w:t>while</w:t>
      </w:r>
      <w:r w:rsidR="00EA5310" w:rsidRPr="002827DE">
        <w:rPr>
          <w:rFonts w:asciiTheme="minorHAnsi" w:hAnsiTheme="minorHAnsi" w:cs="Arial"/>
          <w:color w:val="04326C"/>
          <w:sz w:val="24"/>
          <w:szCs w:val="24"/>
        </w:rPr>
        <w:t xml:space="preserve"> collaborating in the work group process.  Initial community college involvement was small but this has morphed into a healthy group of consistent participants.  Additional work that resulted from this collaboration included support services for both students and staff.  This included a resource matrix</w:t>
      </w:r>
      <w:r w:rsidR="0089185E" w:rsidRPr="002827DE">
        <w:rPr>
          <w:rFonts w:asciiTheme="minorHAnsi" w:hAnsiTheme="minorHAnsi" w:cs="Arial"/>
          <w:color w:val="04326C"/>
          <w:sz w:val="24"/>
          <w:szCs w:val="24"/>
        </w:rPr>
        <w:t xml:space="preserve"> for staff access.  In addition, a writing academy at Palo Alto Adult School was created to fill the gap in college readiness as a bridge.  Similarly, a college speech and communication class was held on the FUHSD Adult School campus and co-enrolled students from the adult schools as well as current community college students.  While we are still working to achieve dual enrollment fee waivers, adult school partner organizations (e.g. Rotary) gave scholarships to adult school students for the community college tuition.  Additional opportunities have been created as well such as the mirrored, non-credit auto tech program to support students with financial nee</w:t>
      </w:r>
      <w:r w:rsidR="00AE26E7">
        <w:rPr>
          <w:rFonts w:asciiTheme="minorHAnsi" w:hAnsiTheme="minorHAnsi" w:cs="Arial"/>
          <w:color w:val="04326C"/>
          <w:sz w:val="24"/>
          <w:szCs w:val="24"/>
        </w:rPr>
        <w:t>d and offer them a short-term, skills-based training program that transitions into the workforce without cost and time required of an Associate’s Degree program</w:t>
      </w:r>
      <w:r w:rsidR="0089185E" w:rsidRPr="002827DE">
        <w:rPr>
          <w:rFonts w:asciiTheme="minorHAnsi" w:hAnsiTheme="minorHAnsi" w:cs="Arial"/>
          <w:color w:val="04326C"/>
          <w:sz w:val="24"/>
          <w:szCs w:val="24"/>
        </w:rPr>
        <w:t>.</w:t>
      </w:r>
    </w:p>
    <w:p w14:paraId="3BC6E5B3" w14:textId="056C2672" w:rsidR="0089185E" w:rsidRPr="00AE26E7" w:rsidRDefault="0089185E" w:rsidP="009F4D08">
      <w:pPr>
        <w:rPr>
          <w:rFonts w:ascii="Times New Roman" w:eastAsia="Times New Roman" w:hAnsi="Times New Roman" w:cs="Times New Roman"/>
          <w:color w:val="auto"/>
          <w:sz w:val="20"/>
          <w:szCs w:val="20"/>
        </w:rPr>
      </w:pPr>
      <w:r w:rsidRPr="002827DE">
        <w:rPr>
          <w:rFonts w:asciiTheme="minorHAnsi" w:hAnsiTheme="minorHAnsi" w:cs="Arial"/>
          <w:color w:val="04326C"/>
          <w:sz w:val="24"/>
          <w:szCs w:val="24"/>
        </w:rPr>
        <w:lastRenderedPageBreak/>
        <w:t xml:space="preserve">Explicit transition conversations with adult school students by teaching and counseling staff </w:t>
      </w:r>
      <w:proofErr w:type="gramStart"/>
      <w:r w:rsidR="00EE1C0A">
        <w:rPr>
          <w:rFonts w:asciiTheme="minorHAnsi" w:hAnsiTheme="minorHAnsi" w:cs="Arial"/>
          <w:color w:val="04326C"/>
          <w:sz w:val="24"/>
          <w:szCs w:val="24"/>
        </w:rPr>
        <w:t xml:space="preserve">is </w:t>
      </w:r>
      <w:r w:rsidRPr="002827DE">
        <w:rPr>
          <w:rFonts w:asciiTheme="minorHAnsi" w:hAnsiTheme="minorHAnsi" w:cs="Arial"/>
          <w:color w:val="04326C"/>
          <w:sz w:val="24"/>
          <w:szCs w:val="24"/>
        </w:rPr>
        <w:t xml:space="preserve"> also</w:t>
      </w:r>
      <w:proofErr w:type="gramEnd"/>
      <w:r w:rsidRPr="002827DE">
        <w:rPr>
          <w:rFonts w:asciiTheme="minorHAnsi" w:hAnsiTheme="minorHAnsi" w:cs="Arial"/>
          <w:color w:val="04326C"/>
          <w:sz w:val="24"/>
          <w:szCs w:val="24"/>
        </w:rPr>
        <w:t xml:space="preserve"> an important part of this group as well as our Student Support Work Group.  Refining timelines for testing and enrolling at the community college before the end of the adult school term has been a change in practice to improve student transition.  This increased focus on personalized transition has also led to a greater focus on student goals beyond merely thei</w:t>
      </w:r>
      <w:r w:rsidR="00A300DF" w:rsidRPr="002827DE">
        <w:rPr>
          <w:rFonts w:asciiTheme="minorHAnsi" w:hAnsiTheme="minorHAnsi" w:cs="Arial"/>
          <w:color w:val="04326C"/>
          <w:sz w:val="24"/>
          <w:szCs w:val="24"/>
        </w:rPr>
        <w:t xml:space="preserve">r college and workforce goals; </w:t>
      </w:r>
      <w:r w:rsidRPr="002827DE">
        <w:rPr>
          <w:rFonts w:asciiTheme="minorHAnsi" w:hAnsiTheme="minorHAnsi" w:cs="Arial"/>
          <w:color w:val="04326C"/>
          <w:sz w:val="24"/>
          <w:szCs w:val="24"/>
        </w:rPr>
        <w:t>this, then, creates a more comprehensive service to students.</w:t>
      </w:r>
    </w:p>
    <w:p w14:paraId="7A85FFE8" w14:textId="501838AF" w:rsidR="0089185E" w:rsidRPr="002827DE" w:rsidRDefault="0089185E" w:rsidP="009F4D08">
      <w:pPr>
        <w:rPr>
          <w:rFonts w:asciiTheme="minorHAnsi" w:hAnsiTheme="minorHAnsi" w:cs="Arial"/>
          <w:color w:val="04326C"/>
          <w:sz w:val="24"/>
          <w:szCs w:val="24"/>
        </w:rPr>
      </w:pPr>
      <w:r w:rsidRPr="002827DE">
        <w:rPr>
          <w:rFonts w:asciiTheme="minorHAnsi" w:hAnsiTheme="minorHAnsi" w:cs="Arial"/>
          <w:color w:val="04326C"/>
          <w:sz w:val="24"/>
          <w:szCs w:val="24"/>
        </w:rPr>
        <w:t>Key issues that have been identified for future focus include students who transition from the adult school ESL program to the community college program</w:t>
      </w:r>
      <w:r w:rsidR="00BF7C58" w:rsidRPr="002827DE">
        <w:rPr>
          <w:rFonts w:asciiTheme="minorHAnsi" w:hAnsiTheme="minorHAnsi" w:cs="Arial"/>
          <w:color w:val="04326C"/>
          <w:sz w:val="24"/>
          <w:szCs w:val="24"/>
        </w:rPr>
        <w:t>,</w:t>
      </w:r>
      <w:r w:rsidRPr="002827DE">
        <w:rPr>
          <w:rFonts w:asciiTheme="minorHAnsi" w:hAnsiTheme="minorHAnsi" w:cs="Arial"/>
          <w:color w:val="04326C"/>
          <w:sz w:val="24"/>
          <w:szCs w:val="24"/>
        </w:rPr>
        <w:t xml:space="preserve"> </w:t>
      </w:r>
      <w:r w:rsidR="00BF7C58" w:rsidRPr="002827DE">
        <w:rPr>
          <w:rFonts w:asciiTheme="minorHAnsi" w:hAnsiTheme="minorHAnsi" w:cs="Arial"/>
          <w:color w:val="04326C"/>
          <w:sz w:val="24"/>
          <w:szCs w:val="24"/>
        </w:rPr>
        <w:t>yet</w:t>
      </w:r>
      <w:r w:rsidRPr="002827DE">
        <w:rPr>
          <w:rFonts w:asciiTheme="minorHAnsi" w:hAnsiTheme="minorHAnsi" w:cs="Arial"/>
          <w:color w:val="04326C"/>
          <w:sz w:val="24"/>
          <w:szCs w:val="24"/>
        </w:rPr>
        <w:t xml:space="preserve"> </w:t>
      </w:r>
      <w:r w:rsidR="00BF7C58" w:rsidRPr="002827DE">
        <w:rPr>
          <w:rFonts w:asciiTheme="minorHAnsi" w:hAnsiTheme="minorHAnsi" w:cs="Arial"/>
          <w:color w:val="04326C"/>
          <w:sz w:val="24"/>
          <w:szCs w:val="24"/>
        </w:rPr>
        <w:t xml:space="preserve">they </w:t>
      </w:r>
      <w:r w:rsidRPr="002827DE">
        <w:rPr>
          <w:rFonts w:asciiTheme="minorHAnsi" w:hAnsiTheme="minorHAnsi" w:cs="Arial"/>
          <w:color w:val="04326C"/>
          <w:sz w:val="24"/>
          <w:szCs w:val="24"/>
        </w:rPr>
        <w:t xml:space="preserve">do not persist.  In addition, student interviews demonstrate the need for additional non-credit options at DeAnza </w:t>
      </w:r>
      <w:r w:rsidR="00BF7C58" w:rsidRPr="002827DE">
        <w:rPr>
          <w:rFonts w:asciiTheme="minorHAnsi" w:hAnsiTheme="minorHAnsi" w:cs="Arial"/>
          <w:color w:val="04326C"/>
          <w:sz w:val="24"/>
          <w:szCs w:val="24"/>
        </w:rPr>
        <w:t>C</w:t>
      </w:r>
      <w:r w:rsidRPr="002827DE">
        <w:rPr>
          <w:rFonts w:asciiTheme="minorHAnsi" w:hAnsiTheme="minorHAnsi" w:cs="Arial"/>
          <w:color w:val="04326C"/>
          <w:sz w:val="24"/>
          <w:szCs w:val="24"/>
        </w:rPr>
        <w:t>ollege</w:t>
      </w:r>
      <w:r w:rsidR="003B5055" w:rsidRPr="002827DE">
        <w:rPr>
          <w:rFonts w:asciiTheme="minorHAnsi" w:hAnsiTheme="minorHAnsi" w:cs="Arial"/>
          <w:color w:val="04326C"/>
          <w:sz w:val="24"/>
          <w:szCs w:val="24"/>
        </w:rPr>
        <w:t>.</w:t>
      </w:r>
    </w:p>
    <w:p w14:paraId="446D4DDC" w14:textId="4EDC8C1D" w:rsidR="00871EB5" w:rsidRPr="002827DE" w:rsidRDefault="00871EB5" w:rsidP="009F4D08">
      <w:pPr>
        <w:rPr>
          <w:rFonts w:asciiTheme="minorHAnsi" w:hAnsiTheme="minorHAnsi" w:cs="Arial"/>
          <w:color w:val="04326C"/>
          <w:sz w:val="24"/>
          <w:szCs w:val="24"/>
        </w:rPr>
      </w:pPr>
      <w:r w:rsidRPr="002827DE">
        <w:rPr>
          <w:rFonts w:asciiTheme="minorHAnsi" w:hAnsiTheme="minorHAnsi" w:cs="Arial"/>
          <w:color w:val="04326C"/>
          <w:sz w:val="24"/>
          <w:szCs w:val="24"/>
        </w:rPr>
        <w:t xml:space="preserve">Within the </w:t>
      </w:r>
      <w:r w:rsidR="003B5055" w:rsidRPr="002827DE">
        <w:rPr>
          <w:rFonts w:asciiTheme="minorHAnsi" w:hAnsiTheme="minorHAnsi" w:cs="Arial"/>
          <w:color w:val="04326C"/>
          <w:sz w:val="24"/>
          <w:szCs w:val="24"/>
        </w:rPr>
        <w:t>C</w:t>
      </w:r>
      <w:r w:rsidRPr="002827DE">
        <w:rPr>
          <w:rFonts w:asciiTheme="minorHAnsi" w:hAnsiTheme="minorHAnsi" w:cs="Arial"/>
          <w:color w:val="04326C"/>
          <w:sz w:val="24"/>
          <w:szCs w:val="24"/>
        </w:rPr>
        <w:t xml:space="preserve">urriculum and </w:t>
      </w:r>
      <w:r w:rsidR="003B5055" w:rsidRPr="002827DE">
        <w:rPr>
          <w:rFonts w:asciiTheme="minorHAnsi" w:hAnsiTheme="minorHAnsi" w:cs="Arial"/>
          <w:color w:val="04326C"/>
          <w:sz w:val="24"/>
          <w:szCs w:val="24"/>
        </w:rPr>
        <w:t>A</w:t>
      </w:r>
      <w:r w:rsidRPr="002827DE">
        <w:rPr>
          <w:rFonts w:asciiTheme="minorHAnsi" w:hAnsiTheme="minorHAnsi" w:cs="Arial"/>
          <w:color w:val="04326C"/>
          <w:sz w:val="24"/>
          <w:szCs w:val="24"/>
        </w:rPr>
        <w:t xml:space="preserve">rticulation </w:t>
      </w:r>
      <w:r w:rsidR="003B5055" w:rsidRPr="002827DE">
        <w:rPr>
          <w:rFonts w:asciiTheme="minorHAnsi" w:hAnsiTheme="minorHAnsi" w:cs="Arial"/>
          <w:color w:val="04326C"/>
          <w:sz w:val="24"/>
          <w:szCs w:val="24"/>
        </w:rPr>
        <w:t>W</w:t>
      </w:r>
      <w:r w:rsidRPr="002827DE">
        <w:rPr>
          <w:rFonts w:asciiTheme="minorHAnsi" w:hAnsiTheme="minorHAnsi" w:cs="Arial"/>
          <w:color w:val="04326C"/>
          <w:sz w:val="24"/>
          <w:szCs w:val="24"/>
        </w:rPr>
        <w:t xml:space="preserve">ork </w:t>
      </w:r>
      <w:r w:rsidR="003B5055" w:rsidRPr="002827DE">
        <w:rPr>
          <w:rFonts w:asciiTheme="minorHAnsi" w:hAnsiTheme="minorHAnsi" w:cs="Arial"/>
          <w:color w:val="04326C"/>
          <w:sz w:val="24"/>
          <w:szCs w:val="24"/>
        </w:rPr>
        <w:t>G</w:t>
      </w:r>
      <w:r w:rsidRPr="002827DE">
        <w:rPr>
          <w:rFonts w:asciiTheme="minorHAnsi" w:hAnsiTheme="minorHAnsi" w:cs="Arial"/>
          <w:color w:val="04326C"/>
          <w:sz w:val="24"/>
          <w:szCs w:val="24"/>
        </w:rPr>
        <w:t>roups, faculty needs were also identified.  This resulted in an inter</w:t>
      </w:r>
      <w:r w:rsidR="003B5055" w:rsidRPr="002827DE">
        <w:rPr>
          <w:rFonts w:asciiTheme="minorHAnsi" w:hAnsiTheme="minorHAnsi" w:cs="Arial"/>
          <w:color w:val="04326C"/>
          <w:sz w:val="24"/>
          <w:szCs w:val="24"/>
        </w:rPr>
        <w:t>-</w:t>
      </w:r>
      <w:r w:rsidRPr="002827DE">
        <w:rPr>
          <w:rFonts w:asciiTheme="minorHAnsi" w:hAnsiTheme="minorHAnsi" w:cs="Arial"/>
          <w:color w:val="04326C"/>
          <w:sz w:val="24"/>
          <w:szCs w:val="24"/>
        </w:rPr>
        <w:t>agency professional development organized by the Professional De</w:t>
      </w:r>
      <w:r w:rsidR="00306154">
        <w:rPr>
          <w:rFonts w:asciiTheme="minorHAnsi" w:hAnsiTheme="minorHAnsi" w:cs="Arial"/>
          <w:color w:val="04326C"/>
          <w:sz w:val="24"/>
          <w:szCs w:val="24"/>
        </w:rPr>
        <w:t>velopment Work Group.  A joint a</w:t>
      </w:r>
      <w:r w:rsidRPr="002827DE">
        <w:rPr>
          <w:rFonts w:asciiTheme="minorHAnsi" w:hAnsiTheme="minorHAnsi" w:cs="Arial"/>
          <w:color w:val="04326C"/>
          <w:sz w:val="24"/>
          <w:szCs w:val="24"/>
        </w:rPr>
        <w:t>dult school/ community college event on the Foothill campus</w:t>
      </w:r>
      <w:r w:rsidR="003B5055" w:rsidRPr="002827DE">
        <w:rPr>
          <w:rFonts w:asciiTheme="minorHAnsi" w:hAnsiTheme="minorHAnsi" w:cs="Arial"/>
          <w:color w:val="04326C"/>
          <w:sz w:val="24"/>
          <w:szCs w:val="24"/>
        </w:rPr>
        <w:t xml:space="preserve"> resulted in </w:t>
      </w:r>
      <w:r w:rsidRPr="002827DE">
        <w:rPr>
          <w:rFonts w:asciiTheme="minorHAnsi" w:hAnsiTheme="minorHAnsi" w:cs="Arial"/>
          <w:color w:val="04326C"/>
          <w:sz w:val="24"/>
          <w:szCs w:val="24"/>
        </w:rPr>
        <w:t xml:space="preserve">staff received training in </w:t>
      </w:r>
      <w:r w:rsidR="00C10ABF">
        <w:rPr>
          <w:rFonts w:asciiTheme="minorHAnsi" w:hAnsiTheme="minorHAnsi" w:cs="Arial"/>
          <w:color w:val="04326C"/>
          <w:sz w:val="24"/>
          <w:szCs w:val="24"/>
        </w:rPr>
        <w:t xml:space="preserve">Universal Design for Learning which focuses on </w:t>
      </w:r>
      <w:r w:rsidRPr="002827DE">
        <w:rPr>
          <w:rFonts w:asciiTheme="minorHAnsi" w:hAnsiTheme="minorHAnsi" w:cs="Arial"/>
          <w:color w:val="04326C"/>
          <w:sz w:val="24"/>
          <w:szCs w:val="24"/>
        </w:rPr>
        <w:t xml:space="preserve">special need students, </w:t>
      </w:r>
      <w:r w:rsidR="00306154">
        <w:rPr>
          <w:rFonts w:asciiTheme="minorHAnsi" w:hAnsiTheme="minorHAnsi" w:cs="Arial"/>
          <w:color w:val="04326C"/>
          <w:sz w:val="24"/>
          <w:szCs w:val="24"/>
        </w:rPr>
        <w:t>accommodations and</w:t>
      </w:r>
      <w:r w:rsidRPr="002827DE">
        <w:rPr>
          <w:rFonts w:asciiTheme="minorHAnsi" w:hAnsiTheme="minorHAnsi" w:cs="Arial"/>
          <w:color w:val="04326C"/>
          <w:sz w:val="24"/>
          <w:szCs w:val="24"/>
        </w:rPr>
        <w:t xml:space="preserve"> support</w:t>
      </w:r>
      <w:r w:rsidR="00C10ABF">
        <w:rPr>
          <w:rFonts w:asciiTheme="minorHAnsi" w:hAnsiTheme="minorHAnsi" w:cs="Arial"/>
          <w:color w:val="04326C"/>
          <w:sz w:val="24"/>
          <w:szCs w:val="24"/>
        </w:rPr>
        <w:t>.</w:t>
      </w:r>
    </w:p>
    <w:p w14:paraId="58327115" w14:textId="01852731" w:rsidR="00871EB5" w:rsidRPr="002827DE" w:rsidRDefault="00871EB5" w:rsidP="009F4D08">
      <w:pPr>
        <w:rPr>
          <w:rFonts w:asciiTheme="minorHAnsi" w:hAnsiTheme="minorHAnsi" w:cs="Arial"/>
          <w:color w:val="04326C"/>
          <w:sz w:val="24"/>
          <w:szCs w:val="24"/>
        </w:rPr>
      </w:pPr>
      <w:r w:rsidRPr="002827DE">
        <w:rPr>
          <w:rFonts w:asciiTheme="minorHAnsi" w:hAnsiTheme="minorHAnsi" w:cs="Arial"/>
          <w:color w:val="04326C"/>
          <w:sz w:val="24"/>
          <w:szCs w:val="24"/>
        </w:rPr>
        <w:t>Another Work Group is Student Support</w:t>
      </w:r>
      <w:r w:rsidR="003B5055" w:rsidRPr="002827DE">
        <w:rPr>
          <w:rFonts w:asciiTheme="minorHAnsi" w:hAnsiTheme="minorHAnsi" w:cs="Arial"/>
          <w:color w:val="04326C"/>
          <w:sz w:val="24"/>
          <w:szCs w:val="24"/>
        </w:rPr>
        <w:t>.  This group</w:t>
      </w:r>
      <w:r w:rsidRPr="002827DE">
        <w:rPr>
          <w:rFonts w:asciiTheme="minorHAnsi" w:hAnsiTheme="minorHAnsi" w:cs="Arial"/>
          <w:color w:val="04326C"/>
          <w:sz w:val="24"/>
          <w:szCs w:val="24"/>
        </w:rPr>
        <w:t xml:space="preserve"> focuses on outreach and improving transition services.  Outreach has </w:t>
      </w:r>
      <w:r w:rsidR="003B5055" w:rsidRPr="002827DE">
        <w:rPr>
          <w:rFonts w:asciiTheme="minorHAnsi" w:hAnsiTheme="minorHAnsi" w:cs="Arial"/>
          <w:color w:val="04326C"/>
          <w:sz w:val="24"/>
          <w:szCs w:val="24"/>
        </w:rPr>
        <w:t xml:space="preserve">been </w:t>
      </w:r>
      <w:r w:rsidRPr="002827DE">
        <w:rPr>
          <w:rFonts w:asciiTheme="minorHAnsi" w:hAnsiTheme="minorHAnsi" w:cs="Arial"/>
          <w:color w:val="04326C"/>
          <w:sz w:val="24"/>
          <w:szCs w:val="24"/>
        </w:rPr>
        <w:t>focused on both faculty and students.  With faculty, making connections between departments at the adult schools and colleges allows for articulation and collaboration on projects</w:t>
      </w:r>
      <w:r w:rsidR="003B5055" w:rsidRPr="002827DE">
        <w:rPr>
          <w:rFonts w:asciiTheme="minorHAnsi" w:hAnsiTheme="minorHAnsi" w:cs="Arial"/>
          <w:color w:val="04326C"/>
          <w:sz w:val="24"/>
          <w:szCs w:val="24"/>
        </w:rPr>
        <w:t xml:space="preserve">; this has included </w:t>
      </w:r>
      <w:r w:rsidR="00472CB9" w:rsidRPr="002827DE">
        <w:rPr>
          <w:rFonts w:asciiTheme="minorHAnsi" w:hAnsiTheme="minorHAnsi" w:cs="Arial"/>
          <w:color w:val="04326C"/>
          <w:sz w:val="24"/>
          <w:szCs w:val="24"/>
        </w:rPr>
        <w:t>partnerships between the adult schools and community colleges for such programs as Early Childhood Education and Pharmacy Tech.</w:t>
      </w:r>
      <w:r w:rsidRPr="002827DE">
        <w:rPr>
          <w:rFonts w:asciiTheme="minorHAnsi" w:hAnsiTheme="minorHAnsi" w:cs="Arial"/>
          <w:color w:val="04326C"/>
          <w:sz w:val="24"/>
          <w:szCs w:val="24"/>
        </w:rPr>
        <w:t xml:space="preserve">  This also includes adult school transition personnel receiving professional development when they learn about programs of study and how to advise students on the system, process and timelines.  An example includes a recent training of staff from the Nursing Education and the Health Technician Program</w:t>
      </w:r>
      <w:r w:rsidR="00DA4648" w:rsidRPr="002827DE">
        <w:rPr>
          <w:rFonts w:asciiTheme="minorHAnsi" w:hAnsiTheme="minorHAnsi" w:cs="Arial"/>
          <w:color w:val="04326C"/>
          <w:sz w:val="24"/>
          <w:szCs w:val="24"/>
        </w:rPr>
        <w:t>s</w:t>
      </w:r>
      <w:r w:rsidRPr="002827DE">
        <w:rPr>
          <w:rFonts w:asciiTheme="minorHAnsi" w:hAnsiTheme="minorHAnsi" w:cs="Arial"/>
          <w:color w:val="04326C"/>
          <w:sz w:val="24"/>
          <w:szCs w:val="24"/>
        </w:rPr>
        <w:t xml:space="preserve"> at DeAnza College.</w:t>
      </w:r>
    </w:p>
    <w:p w14:paraId="00737F75" w14:textId="46A25333" w:rsidR="001A0BEF" w:rsidRPr="002827DE" w:rsidRDefault="001A0BEF" w:rsidP="009F4D08">
      <w:pPr>
        <w:rPr>
          <w:rFonts w:asciiTheme="minorHAnsi" w:hAnsiTheme="minorHAnsi" w:cs="Arial"/>
          <w:color w:val="04326C"/>
          <w:sz w:val="24"/>
          <w:szCs w:val="24"/>
        </w:rPr>
      </w:pPr>
      <w:r w:rsidRPr="002827DE">
        <w:rPr>
          <w:rFonts w:asciiTheme="minorHAnsi" w:hAnsiTheme="minorHAnsi" w:cs="Arial"/>
          <w:color w:val="04326C"/>
          <w:sz w:val="24"/>
          <w:szCs w:val="24"/>
        </w:rPr>
        <w:t xml:space="preserve">Student Support outreach is highly focused on student outreach.  Much of this results </w:t>
      </w:r>
      <w:r w:rsidR="00306154">
        <w:rPr>
          <w:rFonts w:asciiTheme="minorHAnsi" w:hAnsiTheme="minorHAnsi" w:cs="Arial"/>
          <w:color w:val="04326C"/>
          <w:sz w:val="24"/>
          <w:szCs w:val="24"/>
        </w:rPr>
        <w:t>o</w:t>
      </w:r>
      <w:r w:rsidRPr="002827DE">
        <w:rPr>
          <w:rFonts w:asciiTheme="minorHAnsi" w:hAnsiTheme="minorHAnsi" w:cs="Arial"/>
          <w:color w:val="04326C"/>
          <w:sz w:val="24"/>
          <w:szCs w:val="24"/>
        </w:rPr>
        <w:t>n building relationships between community college and adult school faculty and continually re-affirming that all agencies can do things for each other and gain value from one another.  This group is dedicated to consistently finding ways to know more about our adult learners</w:t>
      </w:r>
      <w:r w:rsidR="00DA4648" w:rsidRPr="002827DE">
        <w:rPr>
          <w:rFonts w:asciiTheme="minorHAnsi" w:hAnsiTheme="minorHAnsi" w:cs="Arial"/>
          <w:color w:val="04326C"/>
          <w:sz w:val="24"/>
          <w:szCs w:val="24"/>
        </w:rPr>
        <w:t xml:space="preserve"> and to improve services consortium-wide</w:t>
      </w:r>
      <w:r w:rsidRPr="002827DE">
        <w:rPr>
          <w:rFonts w:asciiTheme="minorHAnsi" w:hAnsiTheme="minorHAnsi" w:cs="Arial"/>
          <w:color w:val="04326C"/>
          <w:sz w:val="24"/>
          <w:szCs w:val="24"/>
        </w:rPr>
        <w:t xml:space="preserve">.  This has resulted in discussion with employers and Nova Connect (WIB).  These actions have </w:t>
      </w:r>
      <w:r w:rsidR="00DA4648" w:rsidRPr="002827DE">
        <w:rPr>
          <w:rFonts w:asciiTheme="minorHAnsi" w:hAnsiTheme="minorHAnsi" w:cs="Arial"/>
          <w:color w:val="04326C"/>
          <w:sz w:val="24"/>
          <w:szCs w:val="24"/>
        </w:rPr>
        <w:t xml:space="preserve">also </w:t>
      </w:r>
      <w:r w:rsidRPr="002827DE">
        <w:rPr>
          <w:rFonts w:asciiTheme="minorHAnsi" w:hAnsiTheme="minorHAnsi" w:cs="Arial"/>
          <w:color w:val="04326C"/>
          <w:sz w:val="24"/>
          <w:szCs w:val="24"/>
        </w:rPr>
        <w:t>resulted in articulation of programs</w:t>
      </w:r>
      <w:r w:rsidR="00DA4648" w:rsidRPr="002827DE">
        <w:rPr>
          <w:rFonts w:asciiTheme="minorHAnsi" w:hAnsiTheme="minorHAnsi" w:cs="Arial"/>
          <w:color w:val="04326C"/>
          <w:sz w:val="24"/>
          <w:szCs w:val="24"/>
        </w:rPr>
        <w:t xml:space="preserve"> by aligning pathways</w:t>
      </w:r>
      <w:r w:rsidRPr="002827DE">
        <w:rPr>
          <w:rFonts w:asciiTheme="minorHAnsi" w:hAnsiTheme="minorHAnsi" w:cs="Arial"/>
          <w:color w:val="04326C"/>
          <w:sz w:val="24"/>
          <w:szCs w:val="24"/>
        </w:rPr>
        <w:t xml:space="preserve">, sharing of facilities, coordinating transition services and inter-agency referrals. </w:t>
      </w:r>
    </w:p>
    <w:p w14:paraId="2B123910" w14:textId="3C036794" w:rsidR="001A0BEF" w:rsidRPr="002827DE" w:rsidRDefault="00DA4648" w:rsidP="009F4D08">
      <w:pPr>
        <w:rPr>
          <w:rFonts w:asciiTheme="minorHAnsi" w:hAnsiTheme="minorHAnsi" w:cs="Arial"/>
          <w:color w:val="04326C"/>
          <w:sz w:val="24"/>
          <w:szCs w:val="24"/>
        </w:rPr>
      </w:pPr>
      <w:r w:rsidRPr="002827DE">
        <w:rPr>
          <w:rFonts w:asciiTheme="minorHAnsi" w:hAnsiTheme="minorHAnsi" w:cs="Arial"/>
          <w:color w:val="04326C"/>
          <w:sz w:val="24"/>
          <w:szCs w:val="24"/>
        </w:rPr>
        <w:t>The Student Support Work Group</w:t>
      </w:r>
      <w:r w:rsidR="001A0BEF" w:rsidRPr="002827DE">
        <w:rPr>
          <w:rFonts w:asciiTheme="minorHAnsi" w:hAnsiTheme="minorHAnsi" w:cs="Arial"/>
          <w:color w:val="04326C"/>
          <w:sz w:val="24"/>
          <w:szCs w:val="24"/>
        </w:rPr>
        <w:t xml:space="preserve"> also identifie</w:t>
      </w:r>
      <w:r w:rsidR="00306154">
        <w:rPr>
          <w:rFonts w:asciiTheme="minorHAnsi" w:hAnsiTheme="minorHAnsi" w:cs="Arial"/>
          <w:color w:val="04326C"/>
          <w:sz w:val="24"/>
          <w:szCs w:val="24"/>
        </w:rPr>
        <w:t>s</w:t>
      </w:r>
      <w:r w:rsidR="001A0BEF" w:rsidRPr="002827DE">
        <w:rPr>
          <w:rFonts w:asciiTheme="minorHAnsi" w:hAnsiTheme="minorHAnsi" w:cs="Arial"/>
          <w:color w:val="04326C"/>
          <w:sz w:val="24"/>
          <w:szCs w:val="24"/>
        </w:rPr>
        <w:t xml:space="preserve"> barriers</w:t>
      </w:r>
      <w:r w:rsidR="00306154">
        <w:rPr>
          <w:rFonts w:asciiTheme="minorHAnsi" w:hAnsiTheme="minorHAnsi" w:cs="Arial"/>
          <w:color w:val="04326C"/>
          <w:sz w:val="24"/>
          <w:szCs w:val="24"/>
        </w:rPr>
        <w:t xml:space="preserve"> limiting student participation at the community colleges</w:t>
      </w:r>
      <w:r w:rsidR="001A0BEF" w:rsidRPr="002827DE">
        <w:rPr>
          <w:rFonts w:asciiTheme="minorHAnsi" w:hAnsiTheme="minorHAnsi" w:cs="Arial"/>
          <w:color w:val="04326C"/>
          <w:sz w:val="24"/>
          <w:szCs w:val="24"/>
        </w:rPr>
        <w:t xml:space="preserve"> and takes action to </w:t>
      </w:r>
      <w:r w:rsidRPr="002827DE">
        <w:rPr>
          <w:rFonts w:asciiTheme="minorHAnsi" w:hAnsiTheme="minorHAnsi" w:cs="Arial"/>
          <w:color w:val="04326C"/>
          <w:sz w:val="24"/>
          <w:szCs w:val="24"/>
        </w:rPr>
        <w:t>address</w:t>
      </w:r>
      <w:r w:rsidR="001A0BEF" w:rsidRPr="002827DE">
        <w:rPr>
          <w:rFonts w:asciiTheme="minorHAnsi" w:hAnsiTheme="minorHAnsi" w:cs="Arial"/>
          <w:color w:val="04326C"/>
          <w:sz w:val="24"/>
          <w:szCs w:val="24"/>
        </w:rPr>
        <w:t xml:space="preserve"> these barriers</w:t>
      </w:r>
      <w:r w:rsidR="00306154">
        <w:rPr>
          <w:rFonts w:asciiTheme="minorHAnsi" w:hAnsiTheme="minorHAnsi" w:cs="Arial"/>
          <w:color w:val="04326C"/>
          <w:sz w:val="24"/>
          <w:szCs w:val="24"/>
        </w:rPr>
        <w:t xml:space="preserve">.  An example to support a “warm handoff” is in </w:t>
      </w:r>
      <w:r w:rsidR="001A0BEF" w:rsidRPr="002827DE">
        <w:rPr>
          <w:rFonts w:asciiTheme="minorHAnsi" w:hAnsiTheme="minorHAnsi" w:cs="Arial"/>
          <w:color w:val="04326C"/>
          <w:sz w:val="24"/>
          <w:szCs w:val="24"/>
        </w:rPr>
        <w:t>coordinating a student</w:t>
      </w:r>
      <w:r w:rsidRPr="002827DE">
        <w:rPr>
          <w:rFonts w:asciiTheme="minorHAnsi" w:hAnsiTheme="minorHAnsi" w:cs="Arial"/>
          <w:color w:val="04326C"/>
          <w:sz w:val="24"/>
          <w:szCs w:val="24"/>
        </w:rPr>
        <w:t>’</w:t>
      </w:r>
      <w:r w:rsidR="001A0BEF" w:rsidRPr="002827DE">
        <w:rPr>
          <w:rFonts w:asciiTheme="minorHAnsi" w:hAnsiTheme="minorHAnsi" w:cs="Arial"/>
          <w:color w:val="04326C"/>
          <w:sz w:val="24"/>
          <w:szCs w:val="24"/>
        </w:rPr>
        <w:t xml:space="preserve">s arrival to campus and having the college </w:t>
      </w:r>
      <w:r w:rsidR="001A0BEF" w:rsidRPr="002827DE">
        <w:rPr>
          <w:rFonts w:asciiTheme="minorHAnsi" w:hAnsiTheme="minorHAnsi" w:cs="Arial"/>
          <w:color w:val="04326C"/>
          <w:sz w:val="24"/>
          <w:szCs w:val="24"/>
        </w:rPr>
        <w:lastRenderedPageBreak/>
        <w:t>counselor meet them in the parking lot or take them to obtain disability services</w:t>
      </w:r>
      <w:r w:rsidR="00306154">
        <w:rPr>
          <w:rFonts w:asciiTheme="minorHAnsi" w:hAnsiTheme="minorHAnsi" w:cs="Arial"/>
          <w:color w:val="04326C"/>
          <w:sz w:val="24"/>
          <w:szCs w:val="24"/>
        </w:rPr>
        <w:t>, something that provides comfort for students who struggle with the unknown</w:t>
      </w:r>
      <w:r w:rsidR="001A0BEF" w:rsidRPr="002827DE">
        <w:rPr>
          <w:rFonts w:asciiTheme="minorHAnsi" w:hAnsiTheme="minorHAnsi" w:cs="Arial"/>
          <w:color w:val="04326C"/>
          <w:sz w:val="24"/>
          <w:szCs w:val="24"/>
        </w:rPr>
        <w:t xml:space="preserve">.  Continuing to increase system practices of the “warm handoff” is at the forefront of </w:t>
      </w:r>
      <w:r w:rsidRPr="002827DE">
        <w:rPr>
          <w:rFonts w:asciiTheme="minorHAnsi" w:hAnsiTheme="minorHAnsi" w:cs="Arial"/>
          <w:color w:val="04326C"/>
          <w:sz w:val="24"/>
          <w:szCs w:val="24"/>
        </w:rPr>
        <w:t xml:space="preserve">our past and future </w:t>
      </w:r>
      <w:r w:rsidR="001A0BEF" w:rsidRPr="002827DE">
        <w:rPr>
          <w:rFonts w:asciiTheme="minorHAnsi" w:hAnsiTheme="minorHAnsi" w:cs="Arial"/>
          <w:color w:val="04326C"/>
          <w:sz w:val="24"/>
          <w:szCs w:val="24"/>
        </w:rPr>
        <w:t xml:space="preserve">work.  It is also through </w:t>
      </w:r>
      <w:r w:rsidRPr="002827DE">
        <w:rPr>
          <w:rFonts w:asciiTheme="minorHAnsi" w:hAnsiTheme="minorHAnsi" w:cs="Arial"/>
          <w:color w:val="04326C"/>
          <w:sz w:val="24"/>
          <w:szCs w:val="24"/>
        </w:rPr>
        <w:t>Work Group</w:t>
      </w:r>
      <w:r w:rsidR="001A0BEF" w:rsidRPr="002827DE">
        <w:rPr>
          <w:rFonts w:asciiTheme="minorHAnsi" w:hAnsiTheme="minorHAnsi" w:cs="Arial"/>
          <w:color w:val="04326C"/>
          <w:sz w:val="24"/>
          <w:szCs w:val="24"/>
        </w:rPr>
        <w:t xml:space="preserve"> meeting</w:t>
      </w:r>
      <w:r w:rsidRPr="002827DE">
        <w:rPr>
          <w:rFonts w:asciiTheme="minorHAnsi" w:hAnsiTheme="minorHAnsi" w:cs="Arial"/>
          <w:color w:val="04326C"/>
          <w:sz w:val="24"/>
          <w:szCs w:val="24"/>
        </w:rPr>
        <w:t>s</w:t>
      </w:r>
      <w:r w:rsidR="001A0BEF" w:rsidRPr="002827DE">
        <w:rPr>
          <w:rFonts w:asciiTheme="minorHAnsi" w:hAnsiTheme="minorHAnsi" w:cs="Arial"/>
          <w:color w:val="04326C"/>
          <w:sz w:val="24"/>
          <w:szCs w:val="24"/>
        </w:rPr>
        <w:t xml:space="preserve"> </w:t>
      </w:r>
      <w:r w:rsidR="00011670">
        <w:rPr>
          <w:rFonts w:asciiTheme="minorHAnsi" w:hAnsiTheme="minorHAnsi" w:cs="Arial"/>
          <w:color w:val="04326C"/>
          <w:sz w:val="24"/>
          <w:szCs w:val="24"/>
        </w:rPr>
        <w:t>that we will align evidence-based practices that address the needs of each school’s diverse student population and provides students across the consortium the same</w:t>
      </w:r>
      <w:r w:rsidRPr="002827DE">
        <w:rPr>
          <w:rFonts w:asciiTheme="minorHAnsi" w:hAnsiTheme="minorHAnsi" w:cs="Arial"/>
          <w:color w:val="04326C"/>
          <w:sz w:val="24"/>
          <w:szCs w:val="24"/>
        </w:rPr>
        <w:t xml:space="preserve"> </w:t>
      </w:r>
      <w:r w:rsidR="001A0BEF" w:rsidRPr="002827DE">
        <w:rPr>
          <w:rFonts w:asciiTheme="minorHAnsi" w:hAnsiTheme="minorHAnsi" w:cs="Arial"/>
          <w:color w:val="04326C"/>
          <w:sz w:val="24"/>
          <w:szCs w:val="24"/>
        </w:rPr>
        <w:t xml:space="preserve">services (e.g. completing FAFSA </w:t>
      </w:r>
      <w:r w:rsidRPr="002827DE">
        <w:rPr>
          <w:rFonts w:asciiTheme="minorHAnsi" w:hAnsiTheme="minorHAnsi" w:cs="Arial"/>
          <w:color w:val="04326C"/>
          <w:sz w:val="24"/>
          <w:szCs w:val="24"/>
        </w:rPr>
        <w:t>with students prior to transition).</w:t>
      </w:r>
      <w:r w:rsidR="001A0BEF" w:rsidRPr="002827DE">
        <w:rPr>
          <w:rFonts w:asciiTheme="minorHAnsi" w:hAnsiTheme="minorHAnsi" w:cs="Arial"/>
          <w:color w:val="04326C"/>
          <w:sz w:val="24"/>
          <w:szCs w:val="24"/>
        </w:rPr>
        <w:t xml:space="preserve">  Members also use this group to share best practices</w:t>
      </w:r>
      <w:r w:rsidR="00D872F2" w:rsidRPr="002827DE">
        <w:rPr>
          <w:rFonts w:asciiTheme="minorHAnsi" w:hAnsiTheme="minorHAnsi" w:cs="Arial"/>
          <w:color w:val="04326C"/>
          <w:sz w:val="24"/>
          <w:szCs w:val="24"/>
        </w:rPr>
        <w:t>.</w:t>
      </w:r>
      <w:r w:rsidR="002C5F16" w:rsidRPr="002827DE">
        <w:rPr>
          <w:rFonts w:asciiTheme="minorHAnsi" w:hAnsiTheme="minorHAnsi" w:cs="Arial"/>
          <w:color w:val="04326C"/>
          <w:sz w:val="24"/>
          <w:szCs w:val="24"/>
        </w:rPr>
        <w:t xml:space="preserve">  </w:t>
      </w:r>
    </w:p>
    <w:p w14:paraId="33FDB2AD" w14:textId="29A67A65" w:rsidR="00DA4648" w:rsidRPr="002827DE" w:rsidRDefault="002C5F16" w:rsidP="00EE1C0A">
      <w:pPr>
        <w:spacing w:after="0"/>
        <w:rPr>
          <w:rFonts w:asciiTheme="minorHAnsi" w:hAnsiTheme="minorHAnsi" w:cs="Arial"/>
          <w:color w:val="04326C"/>
          <w:sz w:val="24"/>
          <w:szCs w:val="24"/>
        </w:rPr>
      </w:pPr>
      <w:r w:rsidRPr="002827DE">
        <w:rPr>
          <w:rFonts w:asciiTheme="minorHAnsi" w:hAnsiTheme="minorHAnsi" w:cs="Arial"/>
          <w:color w:val="04326C"/>
          <w:sz w:val="24"/>
          <w:szCs w:val="24"/>
        </w:rPr>
        <w:t>The final work group is our Data Integration workgroup.</w:t>
      </w:r>
      <w:r w:rsidR="0067122C" w:rsidRPr="002827DE">
        <w:rPr>
          <w:rFonts w:asciiTheme="minorHAnsi" w:hAnsiTheme="minorHAnsi" w:cs="Arial"/>
          <w:color w:val="04326C"/>
          <w:sz w:val="24"/>
          <w:szCs w:val="24"/>
        </w:rPr>
        <w:t xml:space="preserve">  This group has focused on data reporting and accountability, calibrating practices for data collection and submission.  In addition, this </w:t>
      </w:r>
      <w:r w:rsidR="00DA4648" w:rsidRPr="002827DE">
        <w:rPr>
          <w:rFonts w:asciiTheme="minorHAnsi" w:hAnsiTheme="minorHAnsi" w:cs="Arial"/>
          <w:color w:val="04326C"/>
          <w:sz w:val="24"/>
          <w:szCs w:val="24"/>
        </w:rPr>
        <w:t>Work Group partnered with</w:t>
      </w:r>
      <w:r w:rsidR="0067122C" w:rsidRPr="002827DE">
        <w:rPr>
          <w:rFonts w:asciiTheme="minorHAnsi" w:hAnsiTheme="minorHAnsi" w:cs="Arial"/>
          <w:color w:val="04326C"/>
          <w:sz w:val="24"/>
          <w:szCs w:val="24"/>
        </w:rPr>
        <w:t xml:space="preserve"> Dr. David Ulate and his researchers at </w:t>
      </w:r>
      <w:r w:rsidR="00DA4648" w:rsidRPr="002827DE">
        <w:rPr>
          <w:rFonts w:asciiTheme="minorHAnsi" w:hAnsiTheme="minorHAnsi" w:cs="Arial"/>
          <w:color w:val="04326C"/>
          <w:sz w:val="24"/>
          <w:szCs w:val="24"/>
        </w:rPr>
        <w:t>Foothill</w:t>
      </w:r>
      <w:r w:rsidR="0067122C" w:rsidRPr="002827DE">
        <w:rPr>
          <w:rFonts w:asciiTheme="minorHAnsi" w:hAnsiTheme="minorHAnsi" w:cs="Arial"/>
          <w:color w:val="04326C"/>
          <w:sz w:val="24"/>
          <w:szCs w:val="24"/>
        </w:rPr>
        <w:t xml:space="preserve"> College to create an in-house Data Dashboard to support analysis and accountability within the consortium</w:t>
      </w:r>
      <w:r w:rsidR="00DA4648" w:rsidRPr="002827DE">
        <w:rPr>
          <w:rFonts w:asciiTheme="minorHAnsi" w:hAnsiTheme="minorHAnsi" w:cs="Arial"/>
          <w:color w:val="04326C"/>
          <w:sz w:val="24"/>
          <w:szCs w:val="24"/>
        </w:rPr>
        <w:t xml:space="preserve">; this was created when no </w:t>
      </w:r>
      <w:r w:rsidR="0067122C" w:rsidRPr="002827DE">
        <w:rPr>
          <w:rFonts w:asciiTheme="minorHAnsi" w:hAnsiTheme="minorHAnsi" w:cs="Arial"/>
          <w:color w:val="04326C"/>
          <w:sz w:val="24"/>
          <w:szCs w:val="24"/>
        </w:rPr>
        <w:t>statewide data system was in place</w:t>
      </w:r>
      <w:r w:rsidR="00DA4648" w:rsidRPr="002827DE">
        <w:rPr>
          <w:rFonts w:asciiTheme="minorHAnsi" w:hAnsiTheme="minorHAnsi" w:cs="Arial"/>
          <w:color w:val="04326C"/>
          <w:sz w:val="24"/>
          <w:szCs w:val="24"/>
        </w:rPr>
        <w:t xml:space="preserve"> to meet the consortium’s need</w:t>
      </w:r>
      <w:r w:rsidR="0067122C" w:rsidRPr="002827DE">
        <w:rPr>
          <w:rFonts w:asciiTheme="minorHAnsi" w:hAnsiTheme="minorHAnsi" w:cs="Arial"/>
          <w:color w:val="04326C"/>
          <w:sz w:val="24"/>
          <w:szCs w:val="24"/>
        </w:rPr>
        <w:t xml:space="preserve">. </w:t>
      </w:r>
    </w:p>
    <w:p w14:paraId="26DCDA5E" w14:textId="77777777" w:rsidR="00DA4648" w:rsidRPr="002827DE" w:rsidRDefault="00DA4648" w:rsidP="00EE1C0A">
      <w:pPr>
        <w:spacing w:after="0"/>
        <w:rPr>
          <w:rFonts w:asciiTheme="minorHAnsi" w:hAnsiTheme="minorHAnsi" w:cs="Arial"/>
          <w:color w:val="04326C"/>
          <w:sz w:val="24"/>
          <w:szCs w:val="24"/>
        </w:rPr>
      </w:pPr>
    </w:p>
    <w:p w14:paraId="440CF40E" w14:textId="11EA563C" w:rsidR="00BF7C58" w:rsidRPr="002827DE" w:rsidRDefault="00BF7C58" w:rsidP="00EE1C0A">
      <w:pPr>
        <w:spacing w:after="0"/>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 xml:space="preserve">This </w:t>
      </w:r>
      <w:r w:rsidR="00DA4648" w:rsidRPr="002827DE">
        <w:rPr>
          <w:rFonts w:asciiTheme="minorHAnsi" w:hAnsiTheme="minorHAnsi" w:cstheme="majorHAnsi"/>
          <w:color w:val="1F3864" w:themeColor="accent1" w:themeShade="80"/>
          <w:sz w:val="24"/>
          <w:szCs w:val="24"/>
        </w:rPr>
        <w:t xml:space="preserve">Data </w:t>
      </w:r>
      <w:r w:rsidRPr="002827DE">
        <w:rPr>
          <w:rFonts w:asciiTheme="minorHAnsi" w:hAnsiTheme="minorHAnsi" w:cstheme="majorHAnsi"/>
          <w:color w:val="1F3864" w:themeColor="accent1" w:themeShade="80"/>
          <w:sz w:val="24"/>
          <w:szCs w:val="24"/>
        </w:rPr>
        <w:t xml:space="preserve">Dashboard uploads student data from the adult schools and matches the records for those who have transitioned to our two community colleges. </w:t>
      </w:r>
      <w:r w:rsidR="00DA4648" w:rsidRPr="002827DE">
        <w:rPr>
          <w:rFonts w:asciiTheme="minorHAnsi" w:hAnsiTheme="minorHAnsi" w:cstheme="majorHAnsi"/>
          <w:color w:val="1F3864" w:themeColor="accent1" w:themeShade="80"/>
          <w:sz w:val="24"/>
          <w:szCs w:val="24"/>
        </w:rPr>
        <w:t xml:space="preserve"> </w:t>
      </w:r>
      <w:r w:rsidRPr="002827DE">
        <w:rPr>
          <w:rFonts w:asciiTheme="minorHAnsi" w:hAnsiTheme="minorHAnsi" w:cstheme="majorHAnsi"/>
          <w:color w:val="1F3864" w:themeColor="accent1" w:themeShade="80"/>
          <w:sz w:val="24"/>
          <w:szCs w:val="24"/>
        </w:rPr>
        <w:t xml:space="preserve">There is much we can discover as </w:t>
      </w:r>
      <w:r w:rsidR="00DA4648" w:rsidRPr="002827DE">
        <w:rPr>
          <w:rFonts w:asciiTheme="minorHAnsi" w:hAnsiTheme="minorHAnsi" w:cstheme="majorHAnsi"/>
          <w:color w:val="1F3864" w:themeColor="accent1" w:themeShade="80"/>
          <w:sz w:val="24"/>
          <w:szCs w:val="24"/>
        </w:rPr>
        <w:t xml:space="preserve">we </w:t>
      </w:r>
      <w:r w:rsidR="00011670">
        <w:rPr>
          <w:rFonts w:asciiTheme="minorHAnsi" w:hAnsiTheme="minorHAnsi" w:cstheme="majorHAnsi"/>
          <w:color w:val="1F3864" w:themeColor="accent1" w:themeShade="80"/>
          <w:sz w:val="24"/>
          <w:szCs w:val="24"/>
        </w:rPr>
        <w:t>now have access to</w:t>
      </w:r>
      <w:r w:rsidR="00DA4648" w:rsidRPr="002827DE">
        <w:rPr>
          <w:rFonts w:asciiTheme="minorHAnsi" w:hAnsiTheme="minorHAnsi" w:cstheme="majorHAnsi"/>
          <w:color w:val="1F3864" w:themeColor="accent1" w:themeShade="80"/>
          <w:sz w:val="24"/>
          <w:szCs w:val="24"/>
        </w:rPr>
        <w:t xml:space="preserve"> such things as student</w:t>
      </w:r>
      <w:r w:rsidRPr="002827DE">
        <w:rPr>
          <w:rFonts w:asciiTheme="minorHAnsi" w:hAnsiTheme="minorHAnsi" w:cstheme="majorHAnsi"/>
          <w:color w:val="1F3864" w:themeColor="accent1" w:themeShade="80"/>
          <w:sz w:val="24"/>
          <w:szCs w:val="24"/>
        </w:rPr>
        <w:t xml:space="preserve"> grades by </w:t>
      </w:r>
      <w:r w:rsidR="00DA4648" w:rsidRPr="002827DE">
        <w:rPr>
          <w:rFonts w:asciiTheme="minorHAnsi" w:hAnsiTheme="minorHAnsi" w:cstheme="majorHAnsi"/>
          <w:color w:val="1F3864" w:themeColor="accent1" w:themeShade="80"/>
          <w:sz w:val="24"/>
          <w:szCs w:val="24"/>
        </w:rPr>
        <w:t>quarter, the</w:t>
      </w:r>
      <w:r w:rsidRPr="002827DE">
        <w:rPr>
          <w:rFonts w:asciiTheme="minorHAnsi" w:hAnsiTheme="minorHAnsi" w:cstheme="majorHAnsi"/>
          <w:color w:val="1F3864" w:themeColor="accent1" w:themeShade="80"/>
          <w:sz w:val="24"/>
          <w:szCs w:val="24"/>
        </w:rPr>
        <w:t xml:space="preserve"> date given and </w:t>
      </w:r>
      <w:r w:rsidR="00DA4648" w:rsidRPr="002827DE">
        <w:rPr>
          <w:rFonts w:asciiTheme="minorHAnsi" w:hAnsiTheme="minorHAnsi" w:cstheme="majorHAnsi"/>
          <w:color w:val="1F3864" w:themeColor="accent1" w:themeShade="80"/>
          <w:sz w:val="24"/>
          <w:szCs w:val="24"/>
        </w:rPr>
        <w:t xml:space="preserve">the </w:t>
      </w:r>
      <w:r w:rsidRPr="002827DE">
        <w:rPr>
          <w:rFonts w:asciiTheme="minorHAnsi" w:hAnsiTheme="minorHAnsi" w:cstheme="majorHAnsi"/>
          <w:color w:val="1F3864" w:themeColor="accent1" w:themeShade="80"/>
          <w:sz w:val="24"/>
          <w:szCs w:val="24"/>
        </w:rPr>
        <w:t>class title</w:t>
      </w:r>
      <w:r w:rsidR="00DA4648" w:rsidRPr="002827DE">
        <w:rPr>
          <w:rFonts w:asciiTheme="minorHAnsi" w:hAnsiTheme="minorHAnsi" w:cstheme="majorHAnsi"/>
          <w:color w:val="1F3864" w:themeColor="accent1" w:themeShade="80"/>
          <w:sz w:val="24"/>
          <w:szCs w:val="24"/>
        </w:rPr>
        <w:t xml:space="preserve">.  </w:t>
      </w:r>
      <w:r w:rsidRPr="002827DE">
        <w:rPr>
          <w:rFonts w:asciiTheme="minorHAnsi" w:hAnsiTheme="minorHAnsi" w:cstheme="majorHAnsi"/>
          <w:color w:val="1F3864" w:themeColor="accent1" w:themeShade="80"/>
          <w:sz w:val="24"/>
          <w:szCs w:val="24"/>
        </w:rPr>
        <w:t xml:space="preserve">We can potentially identify which classes have the greatest passing </w:t>
      </w:r>
      <w:r w:rsidR="00DA4648" w:rsidRPr="002827DE">
        <w:rPr>
          <w:rFonts w:asciiTheme="minorHAnsi" w:hAnsiTheme="minorHAnsi" w:cstheme="majorHAnsi"/>
          <w:color w:val="1F3864" w:themeColor="accent1" w:themeShade="80"/>
          <w:sz w:val="24"/>
          <w:szCs w:val="24"/>
        </w:rPr>
        <w:t>success, a</w:t>
      </w:r>
      <w:r w:rsidRPr="002827DE">
        <w:rPr>
          <w:rFonts w:asciiTheme="minorHAnsi" w:hAnsiTheme="minorHAnsi" w:cstheme="majorHAnsi"/>
          <w:color w:val="1F3864" w:themeColor="accent1" w:themeShade="80"/>
          <w:sz w:val="24"/>
          <w:szCs w:val="24"/>
        </w:rPr>
        <w:t xml:space="preserve">nd there is so much more that we could potentially </w:t>
      </w:r>
      <w:r w:rsidR="00DA4648" w:rsidRPr="002827DE">
        <w:rPr>
          <w:rFonts w:asciiTheme="minorHAnsi" w:hAnsiTheme="minorHAnsi" w:cstheme="majorHAnsi"/>
          <w:color w:val="1F3864" w:themeColor="accent1" w:themeShade="80"/>
          <w:sz w:val="24"/>
          <w:szCs w:val="24"/>
        </w:rPr>
        <w:t>discover.  In our plan,</w:t>
      </w:r>
      <w:r w:rsidRPr="002827DE">
        <w:rPr>
          <w:rFonts w:asciiTheme="minorHAnsi" w:hAnsiTheme="minorHAnsi" w:cstheme="majorHAnsi"/>
          <w:color w:val="1F3864" w:themeColor="accent1" w:themeShade="80"/>
          <w:sz w:val="24"/>
          <w:szCs w:val="24"/>
        </w:rPr>
        <w:t xml:space="preserve"> we </w:t>
      </w:r>
      <w:r w:rsidR="00DA4648" w:rsidRPr="002827DE">
        <w:rPr>
          <w:rFonts w:asciiTheme="minorHAnsi" w:hAnsiTheme="minorHAnsi" w:cstheme="majorHAnsi"/>
          <w:color w:val="1F3864" w:themeColor="accent1" w:themeShade="80"/>
          <w:sz w:val="24"/>
          <w:szCs w:val="24"/>
        </w:rPr>
        <w:t xml:space="preserve">identify the </w:t>
      </w:r>
      <w:r w:rsidRPr="002827DE">
        <w:rPr>
          <w:rFonts w:asciiTheme="minorHAnsi" w:hAnsiTheme="minorHAnsi" w:cstheme="majorHAnsi"/>
          <w:color w:val="1F3864" w:themeColor="accent1" w:themeShade="80"/>
          <w:sz w:val="24"/>
          <w:szCs w:val="24"/>
        </w:rPr>
        <w:t xml:space="preserve">need </w:t>
      </w:r>
      <w:r w:rsidR="00DA4648" w:rsidRPr="002827DE">
        <w:rPr>
          <w:rFonts w:asciiTheme="minorHAnsi" w:hAnsiTheme="minorHAnsi" w:cstheme="majorHAnsi"/>
          <w:color w:val="1F3864" w:themeColor="accent1" w:themeShade="80"/>
          <w:sz w:val="24"/>
          <w:szCs w:val="24"/>
        </w:rPr>
        <w:t>for a part time data analyst</w:t>
      </w:r>
      <w:r w:rsidRPr="002827DE">
        <w:rPr>
          <w:rFonts w:asciiTheme="minorHAnsi" w:hAnsiTheme="minorHAnsi" w:cstheme="majorHAnsi"/>
          <w:color w:val="1F3864" w:themeColor="accent1" w:themeShade="80"/>
          <w:sz w:val="24"/>
          <w:szCs w:val="24"/>
        </w:rPr>
        <w:t>.</w:t>
      </w:r>
    </w:p>
    <w:p w14:paraId="32836C24" w14:textId="77777777" w:rsidR="00BF7C58" w:rsidRDefault="00BF7C58" w:rsidP="00BF7C58">
      <w:pPr>
        <w:spacing w:after="0" w:line="240" w:lineRule="auto"/>
        <w:rPr>
          <w:rFonts w:asciiTheme="minorHAnsi" w:hAnsiTheme="minorHAnsi" w:cstheme="majorHAnsi"/>
          <w:color w:val="1F3864" w:themeColor="accent1" w:themeShade="80"/>
          <w:sz w:val="20"/>
          <w:szCs w:val="20"/>
        </w:rPr>
      </w:pPr>
    </w:p>
    <w:p w14:paraId="7421FA9E" w14:textId="4697AE77" w:rsidR="001B0DCC" w:rsidRPr="00BF7C58" w:rsidRDefault="00F92026" w:rsidP="00BF7C58">
      <w:pPr>
        <w:jc w:val="center"/>
        <w:rPr>
          <w:b/>
        </w:rPr>
      </w:pPr>
      <w:r w:rsidRPr="00BF7C58">
        <w:rPr>
          <w:b/>
        </w:rPr>
        <w:t>Goals for 2019-202</w:t>
      </w:r>
      <w:r w:rsidR="001B0DCC" w:rsidRPr="00BF7C58">
        <w:rPr>
          <w:b/>
        </w:rPr>
        <w:t>2</w:t>
      </w:r>
      <w:bookmarkStart w:id="6" w:name="_y678g7rmpw97" w:colFirst="0" w:colLast="0"/>
      <w:bookmarkEnd w:id="6"/>
    </w:p>
    <w:p w14:paraId="18F900E2" w14:textId="77777777" w:rsidR="008830EF" w:rsidRPr="002827DE" w:rsidRDefault="008830EF" w:rsidP="008830EF">
      <w:pPr>
        <w:rPr>
          <w:rFonts w:asciiTheme="minorHAnsi" w:hAnsiTheme="minorHAnsi" w:cs="Arial"/>
          <w:color w:val="04326C"/>
          <w:sz w:val="24"/>
          <w:szCs w:val="24"/>
        </w:rPr>
      </w:pPr>
      <w:r w:rsidRPr="002827DE">
        <w:rPr>
          <w:rFonts w:asciiTheme="minorHAnsi" w:hAnsiTheme="minorHAnsi" w:cs="Arial"/>
          <w:color w:val="04326C"/>
          <w:sz w:val="24"/>
          <w:szCs w:val="24"/>
        </w:rPr>
        <w:t>The overall focus for 2019-2022 is to increase the number of successful transitions and “completers” from the three Adult Schools to our two Community Colleges in credit and non-credit programs.   Having worked to build collegial relationships, align services and curriculum, and create transition support through many new programs and personnel—our goal now is to capitalize on what has been built and increase the number of students positively affected by our new infrastructure and services.  Some of this work will be a continuation of previous work such as increasing the number of integrated pathways. Some of this work will be new projects based on hurdles we have encountered such as utilizing multiple measures for guidance and placement.</w:t>
      </w:r>
    </w:p>
    <w:p w14:paraId="2FDB31E5" w14:textId="3AE873E9" w:rsidR="00A35581" w:rsidRPr="002827DE" w:rsidRDefault="00A35581" w:rsidP="00A35581">
      <w:pPr>
        <w:rPr>
          <w:rFonts w:asciiTheme="minorHAnsi" w:hAnsiTheme="minorHAnsi" w:cs="Arial"/>
          <w:color w:val="04326C"/>
          <w:sz w:val="24"/>
          <w:szCs w:val="24"/>
        </w:rPr>
      </w:pPr>
      <w:r w:rsidRPr="002827DE">
        <w:rPr>
          <w:rFonts w:asciiTheme="minorHAnsi" w:hAnsiTheme="minorHAnsi" w:cs="Arial"/>
          <w:color w:val="04326C"/>
          <w:sz w:val="24"/>
          <w:szCs w:val="24"/>
        </w:rPr>
        <w:t>While detailed strategies and actions will be shared in Section 2.4, each Work Group will have goals and strategies for 2019-2022.  For example, the Data Work Group will develop a definition of persistence that will be used to identify successful transition from the adult schools to the community colleges</w:t>
      </w:r>
      <w:r w:rsidR="00E97285">
        <w:rPr>
          <w:rFonts w:asciiTheme="minorHAnsi" w:hAnsiTheme="minorHAnsi" w:cs="Arial"/>
          <w:color w:val="04326C"/>
          <w:sz w:val="24"/>
          <w:szCs w:val="24"/>
        </w:rPr>
        <w:t xml:space="preserve">; while this will include the act of enrolling into the community college from the adult school and continuing in a program, further details of the parameters (grade received, </w:t>
      </w:r>
      <w:r w:rsidR="00E97285">
        <w:rPr>
          <w:rFonts w:asciiTheme="minorHAnsi" w:hAnsiTheme="minorHAnsi" w:cs="Arial"/>
          <w:color w:val="04326C"/>
          <w:sz w:val="24"/>
          <w:szCs w:val="24"/>
        </w:rPr>
        <w:lastRenderedPageBreak/>
        <w:t>advancement to another level, completion of a series of courses, etc.) need to be articulated and mapped</w:t>
      </w:r>
      <w:r w:rsidRPr="002827DE">
        <w:rPr>
          <w:rFonts w:asciiTheme="minorHAnsi" w:hAnsiTheme="minorHAnsi" w:cs="Arial"/>
          <w:color w:val="04326C"/>
          <w:sz w:val="24"/>
          <w:szCs w:val="24"/>
        </w:rPr>
        <w:t xml:space="preserve">.  As mentioned, their goal is to hire a part time research analyst to manage the in-house Data Dashboard, dig deeply into data and provide analysis, and complete projects needed by the Leadership Board and Work Groups.  </w:t>
      </w:r>
    </w:p>
    <w:p w14:paraId="49170375" w14:textId="06029167" w:rsidR="00A35581" w:rsidRPr="002827DE" w:rsidRDefault="00A35581" w:rsidP="00A35581">
      <w:pPr>
        <w:rPr>
          <w:rFonts w:asciiTheme="minorHAnsi" w:hAnsiTheme="minorHAnsi" w:cs="Arial"/>
          <w:color w:val="04326C"/>
          <w:sz w:val="24"/>
          <w:szCs w:val="24"/>
        </w:rPr>
      </w:pPr>
      <w:r w:rsidRPr="002827DE">
        <w:rPr>
          <w:rFonts w:asciiTheme="minorHAnsi" w:hAnsiTheme="minorHAnsi" w:cs="Arial"/>
          <w:color w:val="04326C"/>
          <w:sz w:val="24"/>
          <w:szCs w:val="24"/>
        </w:rPr>
        <w:t xml:space="preserve">Both Student Support and Curriculum Articulation and Alignment will also partner with the Data Work Group.  The definition of persistence will allow, for example, the ability to track a cohort that the Student Support Work Group will survey quarterly to identify the actions, behaviors and attitudes that are common for successful adult school students who transition to the community college.  </w:t>
      </w:r>
    </w:p>
    <w:p w14:paraId="1E7958FA" w14:textId="6DB35F7F" w:rsidR="00C868E8" w:rsidRPr="002827DE" w:rsidRDefault="00A35581" w:rsidP="00C868E8">
      <w:pPr>
        <w:rPr>
          <w:rFonts w:asciiTheme="minorHAnsi" w:hAnsiTheme="minorHAnsi" w:cs="Arial"/>
          <w:color w:val="04326C"/>
          <w:sz w:val="24"/>
          <w:szCs w:val="24"/>
        </w:rPr>
      </w:pPr>
      <w:r w:rsidRPr="002827DE">
        <w:rPr>
          <w:rFonts w:asciiTheme="minorHAnsi" w:hAnsiTheme="minorHAnsi" w:cs="Arial"/>
          <w:color w:val="04326C"/>
          <w:sz w:val="24"/>
          <w:szCs w:val="24"/>
        </w:rPr>
        <w:t>Other examples of strategies of the Work Groups include an emphasis in support services that familiarize students with the community colleges prior to transition.  Whether through field trips to the college, presentations in adult school classrooms from college staff or joint college fairs on the adult school campus.</w:t>
      </w:r>
      <w:r w:rsidR="00C868E8" w:rsidRPr="002827DE">
        <w:rPr>
          <w:rFonts w:asciiTheme="minorHAnsi" w:hAnsiTheme="minorHAnsi" w:cs="Arial"/>
          <w:color w:val="04326C"/>
          <w:sz w:val="24"/>
          <w:szCs w:val="24"/>
        </w:rPr>
        <w:t xml:space="preserve"> Other strategies include developing an AEP goal setting and transition form to help students identify their individual transition goals and understand opportunities and pathways available from the adult schools to college and employment.  In tandem with this is the goal to create a checklist, which outlines specific procedures that will be completed by each transition counselor and student to help with a successful transition to the community college.  </w:t>
      </w:r>
    </w:p>
    <w:p w14:paraId="2595098F" w14:textId="0769A1CF" w:rsidR="00C868E8" w:rsidRPr="002827DE" w:rsidRDefault="00C868E8" w:rsidP="00C868E8">
      <w:pPr>
        <w:rPr>
          <w:rFonts w:asciiTheme="minorHAnsi" w:hAnsiTheme="minorHAnsi" w:cs="Arial"/>
          <w:color w:val="04326C"/>
          <w:sz w:val="24"/>
          <w:szCs w:val="24"/>
        </w:rPr>
      </w:pPr>
      <w:r w:rsidRPr="002827DE">
        <w:rPr>
          <w:rFonts w:asciiTheme="minorHAnsi" w:hAnsiTheme="minorHAnsi" w:cs="Arial"/>
          <w:color w:val="04326C"/>
          <w:sz w:val="24"/>
          <w:szCs w:val="24"/>
        </w:rPr>
        <w:t>The Curriculum Articulation and Alignment Work Group are building on their previous work aligning curriculum, textbooks and activities.  One of t</w:t>
      </w:r>
      <w:r w:rsidR="00326E6F">
        <w:rPr>
          <w:rFonts w:asciiTheme="minorHAnsi" w:hAnsiTheme="minorHAnsi" w:cs="Arial"/>
          <w:color w:val="04326C"/>
          <w:sz w:val="24"/>
          <w:szCs w:val="24"/>
        </w:rPr>
        <w:t>he next steps includes identifying assessment</w:t>
      </w:r>
      <w:r w:rsidRPr="002827DE">
        <w:rPr>
          <w:rFonts w:asciiTheme="minorHAnsi" w:hAnsiTheme="minorHAnsi" w:cs="Arial"/>
          <w:color w:val="04326C"/>
          <w:sz w:val="24"/>
          <w:szCs w:val="24"/>
        </w:rPr>
        <w:t xml:space="preserve"> measures that 1) are in use at the adult schools; 2) are in use elsewhere an</w:t>
      </w:r>
      <w:r w:rsidR="00326E6F">
        <w:rPr>
          <w:rFonts w:asciiTheme="minorHAnsi" w:hAnsiTheme="minorHAnsi" w:cs="Arial"/>
          <w:color w:val="04326C"/>
          <w:sz w:val="24"/>
          <w:szCs w:val="24"/>
        </w:rPr>
        <w:t>d</w:t>
      </w:r>
      <w:r w:rsidRPr="002827DE">
        <w:rPr>
          <w:rFonts w:asciiTheme="minorHAnsi" w:hAnsiTheme="minorHAnsi" w:cs="Arial"/>
          <w:color w:val="04326C"/>
          <w:sz w:val="24"/>
          <w:szCs w:val="24"/>
        </w:rPr>
        <w:t xml:space="preserve"> might provide a viable assessment for the future; 3) identify how these multiple measure might be used in articulation and placement of students; and 4) create procedures and policy based on the decisions and integrate these with decisions made to fulfill the AB705 legislation.</w:t>
      </w:r>
    </w:p>
    <w:p w14:paraId="0EBCE8B9" w14:textId="7390CF28" w:rsidR="00C868E8" w:rsidRPr="002827DE" w:rsidRDefault="00C868E8" w:rsidP="00C868E8">
      <w:pPr>
        <w:rPr>
          <w:rFonts w:asciiTheme="minorHAnsi" w:hAnsiTheme="minorHAnsi" w:cs="Arial"/>
          <w:color w:val="04326C"/>
          <w:sz w:val="24"/>
          <w:szCs w:val="24"/>
        </w:rPr>
      </w:pPr>
      <w:r w:rsidRPr="002827DE">
        <w:rPr>
          <w:rFonts w:asciiTheme="minorHAnsi" w:hAnsiTheme="minorHAnsi" w:cs="Arial"/>
          <w:color w:val="04326C"/>
          <w:sz w:val="24"/>
          <w:szCs w:val="24"/>
        </w:rPr>
        <w:t xml:space="preserve">This Work Group is also seeking to create career pathway maps that align the adult school programs to the community college programs while having them support the Guided Pathways decisions at each of the community colleges.  Specific to this goal will be clearly articulating the access points and participating in Guided Pathways to integrate goals and activities.  This group will also </w:t>
      </w:r>
      <w:r w:rsidR="000C0327">
        <w:rPr>
          <w:rFonts w:asciiTheme="minorHAnsi" w:hAnsiTheme="minorHAnsi" w:cs="Arial"/>
          <w:color w:val="04326C"/>
          <w:sz w:val="24"/>
          <w:szCs w:val="24"/>
        </w:rPr>
        <w:t>s</w:t>
      </w:r>
      <w:r w:rsidRPr="002827DE">
        <w:rPr>
          <w:rFonts w:asciiTheme="minorHAnsi" w:hAnsiTheme="minorHAnsi" w:cs="Arial"/>
          <w:color w:val="04326C"/>
          <w:sz w:val="24"/>
          <w:szCs w:val="24"/>
        </w:rPr>
        <w:t>upport the work of DeAnza ESL Faculty who will be creating the non-credit ESL program; this would include providing guidance, aligning curriculum, identifying transition support and placement measures.</w:t>
      </w:r>
    </w:p>
    <w:p w14:paraId="17D9BB87" w14:textId="0D43744F" w:rsidR="006117E8" w:rsidRDefault="00C868E8" w:rsidP="001B0DCC">
      <w:r w:rsidRPr="002827DE">
        <w:rPr>
          <w:rFonts w:asciiTheme="minorHAnsi" w:hAnsiTheme="minorHAnsi" w:cs="Arial"/>
          <w:color w:val="04326C"/>
          <w:sz w:val="24"/>
          <w:szCs w:val="24"/>
        </w:rPr>
        <w:t xml:space="preserve">Many more details are listed in section 2.4.  It is easy to see that the use of data, increasing student support and successful student transition, and aligning career pathways and systems at the varying agencies are all part of the collective work the North Santa Clara County Consortium </w:t>
      </w:r>
      <w:r w:rsidRPr="002827DE">
        <w:rPr>
          <w:rFonts w:asciiTheme="minorHAnsi" w:hAnsiTheme="minorHAnsi" w:cs="Arial"/>
          <w:color w:val="04326C"/>
          <w:sz w:val="24"/>
          <w:szCs w:val="24"/>
        </w:rPr>
        <w:lastRenderedPageBreak/>
        <w:t>will take on during the years 2019-2022.</w:t>
      </w:r>
      <w:r w:rsidR="00600745" w:rsidRPr="003711FD">
        <w:br w:type="page"/>
      </w:r>
      <w:bookmarkStart w:id="7" w:name="_opv8h8rqfje" w:colFirst="0" w:colLast="0"/>
      <w:bookmarkStart w:id="8" w:name="_Toc527969654"/>
      <w:bookmarkEnd w:id="7"/>
      <w:r w:rsidR="00600745" w:rsidRPr="003711FD">
        <w:lastRenderedPageBreak/>
        <w:t>2.2</w:t>
      </w:r>
      <w:r w:rsidR="00600745">
        <w:t xml:space="preserve"> </w:t>
      </w:r>
      <w:r w:rsidR="00600745" w:rsidRPr="003711FD">
        <w:t>Pre-Planning</w:t>
      </w:r>
      <w:r w:rsidR="00600745">
        <w:t xml:space="preserve"> </w:t>
      </w:r>
      <w:r w:rsidR="00600745" w:rsidRPr="003711FD">
        <w:t>Assessment</w:t>
      </w:r>
      <w:bookmarkEnd w:id="8"/>
    </w:p>
    <w:p w14:paraId="10E1EA95" w14:textId="05858D27" w:rsidR="00D203BF" w:rsidRPr="002827DE" w:rsidRDefault="00E10C0F" w:rsidP="009F4D08">
      <w:p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For the North Santa Clara County Consortium (NSCCC), p</w:t>
      </w:r>
      <w:r w:rsidR="008F6A6B" w:rsidRPr="002827DE">
        <w:rPr>
          <w:rFonts w:asciiTheme="minorHAnsi" w:hAnsiTheme="minorHAnsi" w:cs="Arial"/>
          <w:color w:val="1F3864" w:themeColor="accent1" w:themeShade="80"/>
          <w:sz w:val="24"/>
          <w:szCs w:val="24"/>
        </w:rPr>
        <w:t>re-planning assessments involved</w:t>
      </w:r>
      <w:r w:rsidRPr="002827DE">
        <w:rPr>
          <w:rFonts w:asciiTheme="minorHAnsi" w:hAnsiTheme="minorHAnsi" w:cs="Arial"/>
          <w:color w:val="1F3864" w:themeColor="accent1" w:themeShade="80"/>
          <w:sz w:val="24"/>
          <w:szCs w:val="24"/>
        </w:rPr>
        <w:t xml:space="preserve"> the following actions:</w:t>
      </w:r>
    </w:p>
    <w:p w14:paraId="44A4E90B" w14:textId="4965B640" w:rsidR="00D203BF" w:rsidRPr="002827DE" w:rsidRDefault="00D203BF" w:rsidP="00D203BF">
      <w:pPr>
        <w:pStyle w:val="ListParagraph"/>
        <w:numPr>
          <w:ilvl w:val="0"/>
          <w:numId w:val="10"/>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Review</w:t>
      </w:r>
      <w:r w:rsidR="00E10C0F" w:rsidRPr="002827DE">
        <w:rPr>
          <w:rFonts w:asciiTheme="minorHAnsi" w:hAnsiTheme="minorHAnsi" w:cs="Arial"/>
          <w:color w:val="1F3864" w:themeColor="accent1" w:themeShade="80"/>
          <w:sz w:val="24"/>
          <w:szCs w:val="24"/>
        </w:rPr>
        <w:t>ing</w:t>
      </w:r>
      <w:r w:rsidR="00223EA4" w:rsidRPr="002827DE">
        <w:rPr>
          <w:rFonts w:asciiTheme="minorHAnsi" w:hAnsiTheme="minorHAnsi" w:cs="Arial"/>
          <w:color w:val="1F3864" w:themeColor="accent1" w:themeShade="80"/>
          <w:sz w:val="24"/>
          <w:szCs w:val="24"/>
        </w:rPr>
        <w:t xml:space="preserve"> and revisi</w:t>
      </w:r>
      <w:r w:rsidR="00E10C0F" w:rsidRPr="002827DE">
        <w:rPr>
          <w:rFonts w:asciiTheme="minorHAnsi" w:hAnsiTheme="minorHAnsi" w:cs="Arial"/>
          <w:color w:val="1F3864" w:themeColor="accent1" w:themeShade="80"/>
          <w:sz w:val="24"/>
          <w:szCs w:val="24"/>
        </w:rPr>
        <w:t>ng</w:t>
      </w:r>
      <w:r w:rsidR="00223EA4" w:rsidRPr="002827DE">
        <w:rPr>
          <w:rFonts w:asciiTheme="minorHAnsi" w:hAnsiTheme="minorHAnsi" w:cs="Arial"/>
          <w:color w:val="1F3864" w:themeColor="accent1" w:themeShade="80"/>
          <w:sz w:val="24"/>
          <w:szCs w:val="24"/>
        </w:rPr>
        <w:t xml:space="preserve"> the consortium mission and vision; </w:t>
      </w:r>
    </w:p>
    <w:p w14:paraId="1F8EA9C8" w14:textId="77777777" w:rsidR="00D203BF" w:rsidRPr="002827DE" w:rsidRDefault="00D203BF" w:rsidP="00D203BF">
      <w:pPr>
        <w:pStyle w:val="ListParagraph"/>
        <w:numPr>
          <w:ilvl w:val="0"/>
          <w:numId w:val="10"/>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C</w:t>
      </w:r>
      <w:r w:rsidR="00223EA4" w:rsidRPr="002827DE">
        <w:rPr>
          <w:rFonts w:asciiTheme="minorHAnsi" w:hAnsiTheme="minorHAnsi" w:cs="Arial"/>
          <w:color w:val="1F3864" w:themeColor="accent1" w:themeShade="80"/>
          <w:sz w:val="24"/>
          <w:szCs w:val="24"/>
        </w:rPr>
        <w:t>ompleting and analyzing the CAEP self-assessment tool;</w:t>
      </w:r>
      <w:r w:rsidR="008F6A6B" w:rsidRPr="002827DE">
        <w:rPr>
          <w:rFonts w:asciiTheme="minorHAnsi" w:hAnsiTheme="minorHAnsi" w:cs="Arial"/>
          <w:color w:val="1F3864" w:themeColor="accent1" w:themeShade="80"/>
          <w:sz w:val="24"/>
          <w:szCs w:val="24"/>
        </w:rPr>
        <w:t xml:space="preserve"> </w:t>
      </w:r>
    </w:p>
    <w:p w14:paraId="6C418267" w14:textId="77777777" w:rsidR="001E74C0" w:rsidRPr="002827DE" w:rsidRDefault="001E74C0" w:rsidP="001E74C0">
      <w:pPr>
        <w:pStyle w:val="ListParagraph"/>
        <w:numPr>
          <w:ilvl w:val="0"/>
          <w:numId w:val="10"/>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 xml:space="preserve">Analyzing data from CalPass Launchboard Data Pipeline; </w:t>
      </w:r>
    </w:p>
    <w:p w14:paraId="53E1739D" w14:textId="123A7E00" w:rsidR="00D203BF" w:rsidRPr="002827DE" w:rsidRDefault="00D203BF" w:rsidP="00D203BF">
      <w:pPr>
        <w:pStyle w:val="ListParagraph"/>
        <w:numPr>
          <w:ilvl w:val="0"/>
          <w:numId w:val="10"/>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Analyzing data from</w:t>
      </w:r>
      <w:r w:rsidR="005D6967" w:rsidRPr="002827DE">
        <w:rPr>
          <w:rFonts w:asciiTheme="minorHAnsi" w:hAnsiTheme="minorHAnsi" w:cs="Arial"/>
          <w:color w:val="1F3864" w:themeColor="accent1" w:themeShade="80"/>
          <w:sz w:val="24"/>
          <w:szCs w:val="24"/>
        </w:rPr>
        <w:t xml:space="preserve"> our in-</w:t>
      </w:r>
      <w:r w:rsidRPr="002827DE">
        <w:rPr>
          <w:rFonts w:asciiTheme="minorHAnsi" w:hAnsiTheme="minorHAnsi" w:cs="Arial"/>
          <w:color w:val="1F3864" w:themeColor="accent1" w:themeShade="80"/>
          <w:sz w:val="24"/>
          <w:szCs w:val="24"/>
        </w:rPr>
        <w:t>house</w:t>
      </w:r>
      <w:r w:rsidR="005D6967" w:rsidRPr="002827DE">
        <w:rPr>
          <w:rFonts w:asciiTheme="minorHAnsi" w:hAnsiTheme="minorHAnsi" w:cs="Arial"/>
          <w:color w:val="1F3864" w:themeColor="accent1" w:themeShade="80"/>
          <w:sz w:val="24"/>
          <w:szCs w:val="24"/>
        </w:rPr>
        <w:t xml:space="preserve"> Data Dashboard</w:t>
      </w:r>
      <w:r w:rsidRPr="002827DE">
        <w:rPr>
          <w:rFonts w:asciiTheme="minorHAnsi" w:hAnsiTheme="minorHAnsi" w:cs="Arial"/>
          <w:color w:val="1F3864" w:themeColor="accent1" w:themeShade="80"/>
          <w:sz w:val="24"/>
          <w:szCs w:val="24"/>
        </w:rPr>
        <w:t xml:space="preserve">; </w:t>
      </w:r>
    </w:p>
    <w:p w14:paraId="16E784C6" w14:textId="73A874A2" w:rsidR="00DF5980" w:rsidRPr="002827DE" w:rsidRDefault="00D203BF" w:rsidP="00D203BF">
      <w:pPr>
        <w:pStyle w:val="ListParagraph"/>
        <w:numPr>
          <w:ilvl w:val="0"/>
          <w:numId w:val="10"/>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C</w:t>
      </w:r>
      <w:r w:rsidR="00A24E54" w:rsidRPr="002827DE">
        <w:rPr>
          <w:rFonts w:asciiTheme="minorHAnsi" w:hAnsiTheme="minorHAnsi" w:cs="Arial"/>
          <w:color w:val="1F3864" w:themeColor="accent1" w:themeShade="80"/>
          <w:sz w:val="24"/>
          <w:szCs w:val="24"/>
        </w:rPr>
        <w:t>larifying the expectations</w:t>
      </w:r>
      <w:r w:rsidR="008C1B6A" w:rsidRPr="002827DE">
        <w:rPr>
          <w:rFonts w:asciiTheme="minorHAnsi" w:hAnsiTheme="minorHAnsi" w:cs="Arial"/>
          <w:color w:val="1F3864" w:themeColor="accent1" w:themeShade="80"/>
          <w:sz w:val="24"/>
          <w:szCs w:val="24"/>
        </w:rPr>
        <w:t xml:space="preserve"> of roles and responsibilities </w:t>
      </w:r>
      <w:r w:rsidR="00A24E54" w:rsidRPr="002827DE">
        <w:rPr>
          <w:rFonts w:asciiTheme="minorHAnsi" w:hAnsiTheme="minorHAnsi" w:cs="Arial"/>
          <w:color w:val="1F3864" w:themeColor="accent1" w:themeShade="80"/>
          <w:sz w:val="24"/>
          <w:szCs w:val="24"/>
        </w:rPr>
        <w:t>of all leadership consortium-wide.</w:t>
      </w:r>
    </w:p>
    <w:p w14:paraId="2ECCAAF0" w14:textId="653D70AB" w:rsidR="00726B89" w:rsidRPr="002827DE" w:rsidRDefault="00726B89" w:rsidP="00726B89">
      <w:pPr>
        <w:jc w:val="center"/>
        <w:rPr>
          <w:rFonts w:asciiTheme="minorHAnsi" w:hAnsiTheme="minorHAnsi" w:cs="Arial"/>
          <w:b/>
          <w:color w:val="1F3864" w:themeColor="accent1" w:themeShade="80"/>
          <w:sz w:val="24"/>
          <w:szCs w:val="24"/>
        </w:rPr>
      </w:pPr>
      <w:r w:rsidRPr="002827DE">
        <w:rPr>
          <w:rFonts w:asciiTheme="minorHAnsi" w:hAnsiTheme="minorHAnsi" w:cs="Arial"/>
          <w:b/>
          <w:color w:val="1F3864" w:themeColor="accent1" w:themeShade="80"/>
          <w:sz w:val="24"/>
          <w:szCs w:val="24"/>
        </w:rPr>
        <w:t>Mission and Vision</w:t>
      </w:r>
    </w:p>
    <w:p w14:paraId="2AE5CBF5" w14:textId="77777777" w:rsidR="00007F05" w:rsidRPr="002827DE" w:rsidRDefault="00726B89" w:rsidP="00726B89">
      <w:p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The Leadership Board was guided through a</w:t>
      </w:r>
      <w:r w:rsidR="00EB227A" w:rsidRPr="002827DE">
        <w:rPr>
          <w:rFonts w:asciiTheme="minorHAnsi" w:hAnsiTheme="minorHAnsi" w:cs="Arial"/>
          <w:color w:val="1F3864" w:themeColor="accent1" w:themeShade="80"/>
          <w:sz w:val="24"/>
          <w:szCs w:val="24"/>
        </w:rPr>
        <w:t>n</w:t>
      </w:r>
      <w:r w:rsidRPr="002827DE">
        <w:rPr>
          <w:rFonts w:asciiTheme="minorHAnsi" w:hAnsiTheme="minorHAnsi" w:cs="Arial"/>
          <w:color w:val="1F3864" w:themeColor="accent1" w:themeShade="80"/>
          <w:sz w:val="24"/>
          <w:szCs w:val="24"/>
        </w:rPr>
        <w:t xml:space="preserve"> exercise to review the mission and vision of our school by creating 30-second ‘elevator speeches’ to get at the heart of who we have become.  As a result, the vision and mission was re-articulated</w:t>
      </w:r>
      <w:r w:rsidR="00D203BF" w:rsidRPr="002827DE">
        <w:rPr>
          <w:rFonts w:asciiTheme="minorHAnsi" w:hAnsiTheme="minorHAnsi" w:cs="Arial"/>
          <w:color w:val="1F3864" w:themeColor="accent1" w:themeShade="80"/>
          <w:sz w:val="24"/>
          <w:szCs w:val="24"/>
        </w:rPr>
        <w:t xml:space="preserve">, refined, and </w:t>
      </w:r>
      <w:r w:rsidR="00007F05" w:rsidRPr="002827DE">
        <w:rPr>
          <w:rFonts w:asciiTheme="minorHAnsi" w:hAnsiTheme="minorHAnsi" w:cs="Arial"/>
          <w:color w:val="1F3864" w:themeColor="accent1" w:themeShade="80"/>
          <w:sz w:val="24"/>
          <w:szCs w:val="24"/>
        </w:rPr>
        <w:t>approved by the Leadership Board on December 7, 2018</w:t>
      </w:r>
      <w:r w:rsidRPr="002827DE">
        <w:rPr>
          <w:rFonts w:asciiTheme="minorHAnsi" w:hAnsiTheme="minorHAnsi" w:cs="Arial"/>
          <w:color w:val="1F3864" w:themeColor="accent1" w:themeShade="80"/>
          <w:sz w:val="24"/>
          <w:szCs w:val="24"/>
        </w:rPr>
        <w:t>.</w:t>
      </w:r>
      <w:r w:rsidR="00007F05" w:rsidRPr="002827DE">
        <w:rPr>
          <w:rFonts w:asciiTheme="minorHAnsi" w:hAnsiTheme="minorHAnsi" w:cs="Arial"/>
          <w:color w:val="1F3864" w:themeColor="accent1" w:themeShade="80"/>
          <w:sz w:val="24"/>
          <w:szCs w:val="24"/>
        </w:rPr>
        <w:t xml:space="preserve">  This is the new mission and vision:</w:t>
      </w:r>
    </w:p>
    <w:p w14:paraId="31F34DD1" w14:textId="53D160DD" w:rsidR="00007F05" w:rsidRPr="002827DE" w:rsidRDefault="00007F05" w:rsidP="00007F05">
      <w:pPr>
        <w:spacing w:after="0" w:line="240" w:lineRule="auto"/>
        <w:ind w:left="990" w:right="1080"/>
        <w:rPr>
          <w:rFonts w:asciiTheme="minorHAnsi" w:eastAsiaTheme="minorHAnsi" w:hAnsiTheme="minorHAnsi" w:cs="Times New Roman"/>
          <w:i/>
          <w:color w:val="1F3864" w:themeColor="accent1" w:themeShade="80"/>
          <w:sz w:val="24"/>
          <w:szCs w:val="24"/>
        </w:rPr>
      </w:pPr>
      <w:r w:rsidRPr="002827DE">
        <w:rPr>
          <w:rFonts w:asciiTheme="minorHAnsi" w:eastAsiaTheme="minorHAnsi" w:hAnsiTheme="minorHAnsi" w:cs="Arial"/>
          <w:b/>
          <w:bCs/>
          <w:i/>
          <w:color w:val="1F3864" w:themeColor="accent1" w:themeShade="80"/>
          <w:sz w:val="24"/>
          <w:szCs w:val="24"/>
        </w:rPr>
        <w:t>Who are we?</w:t>
      </w:r>
      <w:r w:rsidRPr="002827DE">
        <w:rPr>
          <w:rFonts w:asciiTheme="minorHAnsi" w:eastAsiaTheme="minorHAnsi" w:hAnsiTheme="minorHAnsi" w:cs="Arial"/>
          <w:i/>
          <w:color w:val="1F3864" w:themeColor="accent1" w:themeShade="80"/>
          <w:sz w:val="24"/>
          <w:szCs w:val="24"/>
        </w:rPr>
        <w:br/>
        <w:t>We are passionate and dedicated adult schools and colleges who seek to educate and elevate our community by helping students achieve personal and professional goals.</w:t>
      </w:r>
      <w:r w:rsidRPr="002827DE">
        <w:rPr>
          <w:rFonts w:asciiTheme="minorHAnsi" w:eastAsiaTheme="minorHAnsi" w:hAnsiTheme="minorHAnsi" w:cs="Arial"/>
          <w:i/>
          <w:color w:val="1F3864" w:themeColor="accent1" w:themeShade="80"/>
          <w:sz w:val="24"/>
          <w:szCs w:val="24"/>
        </w:rPr>
        <w:br/>
      </w:r>
      <w:r w:rsidRPr="002827DE">
        <w:rPr>
          <w:rFonts w:asciiTheme="minorHAnsi" w:eastAsiaTheme="minorHAnsi" w:hAnsiTheme="minorHAnsi" w:cs="Arial"/>
          <w:i/>
          <w:color w:val="1F3864" w:themeColor="accent1" w:themeShade="80"/>
          <w:sz w:val="24"/>
          <w:szCs w:val="24"/>
        </w:rPr>
        <w:br/>
      </w:r>
      <w:r w:rsidRPr="002827DE">
        <w:rPr>
          <w:rFonts w:asciiTheme="minorHAnsi" w:eastAsiaTheme="minorHAnsi" w:hAnsiTheme="minorHAnsi" w:cs="Arial"/>
          <w:b/>
          <w:bCs/>
          <w:i/>
          <w:color w:val="1F3864" w:themeColor="accent1" w:themeShade="80"/>
          <w:sz w:val="24"/>
          <w:szCs w:val="24"/>
        </w:rPr>
        <w:t>What is our vision?</w:t>
      </w:r>
      <w:r w:rsidRPr="002827DE">
        <w:rPr>
          <w:rFonts w:asciiTheme="minorHAnsi" w:eastAsiaTheme="minorHAnsi" w:hAnsiTheme="minorHAnsi" w:cs="Arial"/>
          <w:i/>
          <w:color w:val="1F3864" w:themeColor="accent1" w:themeShade="80"/>
          <w:sz w:val="24"/>
          <w:szCs w:val="24"/>
        </w:rPr>
        <w:br/>
        <w:t>We create educational opportunities to help students transition between adult schools and community colleges and/or between school and work with the goal of becoming a regional hub of opportunities for personal, professional and economic advancement through robust partnerships.</w:t>
      </w:r>
      <w:r w:rsidRPr="002827DE">
        <w:rPr>
          <w:rFonts w:asciiTheme="minorHAnsi" w:eastAsiaTheme="minorHAnsi" w:hAnsiTheme="minorHAnsi" w:cs="Arial"/>
          <w:i/>
          <w:color w:val="1F3864" w:themeColor="accent1" w:themeShade="80"/>
          <w:sz w:val="24"/>
          <w:szCs w:val="24"/>
        </w:rPr>
        <w:br/>
      </w:r>
      <w:r w:rsidRPr="002827DE">
        <w:rPr>
          <w:rFonts w:asciiTheme="minorHAnsi" w:eastAsiaTheme="minorHAnsi" w:hAnsiTheme="minorHAnsi" w:cs="Arial"/>
          <w:i/>
          <w:color w:val="1F3864" w:themeColor="accent1" w:themeShade="80"/>
          <w:sz w:val="24"/>
          <w:szCs w:val="24"/>
        </w:rPr>
        <w:br/>
      </w:r>
      <w:r w:rsidRPr="002827DE">
        <w:rPr>
          <w:rFonts w:asciiTheme="minorHAnsi" w:eastAsiaTheme="minorHAnsi" w:hAnsiTheme="minorHAnsi" w:cs="Arial"/>
          <w:b/>
          <w:bCs/>
          <w:i/>
          <w:color w:val="1F3864" w:themeColor="accent1" w:themeShade="80"/>
          <w:sz w:val="24"/>
          <w:szCs w:val="24"/>
        </w:rPr>
        <w:t>Mission: What’s this mean for you, the student?</w:t>
      </w:r>
      <w:r w:rsidRPr="002827DE">
        <w:rPr>
          <w:rFonts w:asciiTheme="minorHAnsi" w:eastAsiaTheme="minorHAnsi" w:hAnsiTheme="minorHAnsi" w:cs="Arial"/>
          <w:i/>
          <w:color w:val="1F3864" w:themeColor="accent1" w:themeShade="80"/>
          <w:sz w:val="24"/>
          <w:szCs w:val="24"/>
        </w:rPr>
        <w:br/>
        <w:t>We are the go-to place for you to transform your life through our seamless pathways to academic and career advancement. You will do this through quality educational opportunities and coordinated support services that integrate community resources to help you reach your goals.</w:t>
      </w:r>
    </w:p>
    <w:p w14:paraId="5DFD2716" w14:textId="77777777" w:rsidR="00007F05" w:rsidRPr="002827DE" w:rsidRDefault="00007F05" w:rsidP="00007F05">
      <w:pPr>
        <w:spacing w:after="0" w:line="240" w:lineRule="auto"/>
        <w:rPr>
          <w:rFonts w:ascii="Times New Roman" w:eastAsia="Times New Roman" w:hAnsi="Times New Roman" w:cs="Times New Roman"/>
          <w:color w:val="auto"/>
          <w:sz w:val="24"/>
          <w:szCs w:val="24"/>
        </w:rPr>
      </w:pPr>
    </w:p>
    <w:p w14:paraId="5E0D9A54" w14:textId="4CCE4F2B" w:rsidR="00E10C0F" w:rsidRPr="002827DE" w:rsidRDefault="00726B89" w:rsidP="00726B89">
      <w:p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 xml:space="preserve">  </w:t>
      </w:r>
    </w:p>
    <w:p w14:paraId="3769FCA9" w14:textId="4AE663A1" w:rsidR="00D203BF" w:rsidRPr="002827DE" w:rsidRDefault="00726B89" w:rsidP="00726B89">
      <w:p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This mission and vision was then taken to the workgroups who</w:t>
      </w:r>
      <w:r w:rsidR="00D203BF" w:rsidRPr="002827DE">
        <w:rPr>
          <w:rFonts w:asciiTheme="minorHAnsi" w:hAnsiTheme="minorHAnsi" w:cs="Arial"/>
          <w:color w:val="1F3864" w:themeColor="accent1" w:themeShade="80"/>
          <w:sz w:val="24"/>
          <w:szCs w:val="24"/>
        </w:rPr>
        <w:t>:</w:t>
      </w:r>
    </w:p>
    <w:p w14:paraId="57A85794" w14:textId="3B1FBC0C" w:rsidR="00D203BF" w:rsidRPr="002827DE" w:rsidRDefault="00D203BF" w:rsidP="00D203BF">
      <w:pPr>
        <w:pStyle w:val="ListParagraph"/>
        <w:numPr>
          <w:ilvl w:val="0"/>
          <w:numId w:val="11"/>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A</w:t>
      </w:r>
      <w:r w:rsidR="00726B89" w:rsidRPr="002827DE">
        <w:rPr>
          <w:rFonts w:asciiTheme="minorHAnsi" w:hAnsiTheme="minorHAnsi" w:cs="Arial"/>
          <w:color w:val="1F3864" w:themeColor="accent1" w:themeShade="80"/>
          <w:sz w:val="24"/>
          <w:szCs w:val="24"/>
        </w:rPr>
        <w:t>ffirmed that this clearly state</w:t>
      </w:r>
      <w:r w:rsidRPr="002827DE">
        <w:rPr>
          <w:rFonts w:asciiTheme="minorHAnsi" w:hAnsiTheme="minorHAnsi" w:cs="Arial"/>
          <w:color w:val="1F3864" w:themeColor="accent1" w:themeShade="80"/>
          <w:sz w:val="24"/>
          <w:szCs w:val="24"/>
        </w:rPr>
        <w:t>s</w:t>
      </w:r>
      <w:r w:rsidR="00726B89" w:rsidRPr="002827DE">
        <w:rPr>
          <w:rFonts w:asciiTheme="minorHAnsi" w:hAnsiTheme="minorHAnsi" w:cs="Arial"/>
          <w:color w:val="1F3864" w:themeColor="accent1" w:themeShade="80"/>
          <w:sz w:val="24"/>
          <w:szCs w:val="24"/>
        </w:rPr>
        <w:t xml:space="preserve"> who we are</w:t>
      </w:r>
      <w:r w:rsidR="00007F05" w:rsidRPr="002827DE">
        <w:rPr>
          <w:rFonts w:asciiTheme="minorHAnsi" w:hAnsiTheme="minorHAnsi" w:cs="Arial"/>
          <w:color w:val="1F3864" w:themeColor="accent1" w:themeShade="80"/>
          <w:sz w:val="24"/>
          <w:szCs w:val="24"/>
        </w:rPr>
        <w:t>, what we believe, and what we are seeking to achieve;</w:t>
      </w:r>
      <w:r w:rsidR="00726B89" w:rsidRPr="002827DE">
        <w:rPr>
          <w:rFonts w:asciiTheme="minorHAnsi" w:hAnsiTheme="minorHAnsi" w:cs="Arial"/>
          <w:color w:val="1F3864" w:themeColor="accent1" w:themeShade="80"/>
          <w:sz w:val="24"/>
          <w:szCs w:val="24"/>
        </w:rPr>
        <w:t xml:space="preserve"> </w:t>
      </w:r>
    </w:p>
    <w:p w14:paraId="72AAD4DD" w14:textId="77777777" w:rsidR="00E10C0F" w:rsidRPr="002827DE" w:rsidRDefault="00D203BF" w:rsidP="00D203BF">
      <w:pPr>
        <w:pStyle w:val="ListParagraph"/>
        <w:numPr>
          <w:ilvl w:val="0"/>
          <w:numId w:val="11"/>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lastRenderedPageBreak/>
        <w:t>I</w:t>
      </w:r>
      <w:r w:rsidR="00726B89" w:rsidRPr="002827DE">
        <w:rPr>
          <w:rFonts w:asciiTheme="minorHAnsi" w:hAnsiTheme="minorHAnsi" w:cs="Arial"/>
          <w:color w:val="1F3864" w:themeColor="accent1" w:themeShade="80"/>
          <w:sz w:val="24"/>
          <w:szCs w:val="24"/>
        </w:rPr>
        <w:t>dentified how they have been carrying out</w:t>
      </w:r>
      <w:r w:rsidRPr="002827DE">
        <w:rPr>
          <w:rFonts w:asciiTheme="minorHAnsi" w:hAnsiTheme="minorHAnsi" w:cs="Arial"/>
          <w:color w:val="1F3864" w:themeColor="accent1" w:themeShade="80"/>
          <w:sz w:val="24"/>
          <w:szCs w:val="24"/>
        </w:rPr>
        <w:t>/”living”</w:t>
      </w:r>
      <w:r w:rsidR="00726B89" w:rsidRPr="002827DE">
        <w:rPr>
          <w:rFonts w:asciiTheme="minorHAnsi" w:hAnsiTheme="minorHAnsi" w:cs="Arial"/>
          <w:color w:val="1F3864" w:themeColor="accent1" w:themeShade="80"/>
          <w:sz w:val="24"/>
          <w:szCs w:val="24"/>
        </w:rPr>
        <w:t xml:space="preserve"> the mission and vision in their work group</w:t>
      </w:r>
      <w:r w:rsidRPr="002827DE">
        <w:rPr>
          <w:rFonts w:asciiTheme="minorHAnsi" w:hAnsiTheme="minorHAnsi" w:cs="Arial"/>
          <w:color w:val="1F3864" w:themeColor="accent1" w:themeShade="80"/>
          <w:sz w:val="24"/>
          <w:szCs w:val="24"/>
        </w:rPr>
        <w:t xml:space="preserve"> to-date</w:t>
      </w:r>
      <w:r w:rsidR="00E10C0F" w:rsidRPr="002827DE">
        <w:rPr>
          <w:rFonts w:asciiTheme="minorHAnsi" w:hAnsiTheme="minorHAnsi" w:cs="Arial"/>
          <w:color w:val="1F3864" w:themeColor="accent1" w:themeShade="80"/>
          <w:sz w:val="24"/>
          <w:szCs w:val="24"/>
        </w:rPr>
        <w:t>;</w:t>
      </w:r>
      <w:r w:rsidR="00726B89" w:rsidRPr="002827DE">
        <w:rPr>
          <w:rFonts w:asciiTheme="minorHAnsi" w:hAnsiTheme="minorHAnsi" w:cs="Arial"/>
          <w:color w:val="1F3864" w:themeColor="accent1" w:themeShade="80"/>
          <w:sz w:val="24"/>
          <w:szCs w:val="24"/>
        </w:rPr>
        <w:t xml:space="preserve"> </w:t>
      </w:r>
    </w:p>
    <w:p w14:paraId="1F6DF748" w14:textId="77777777" w:rsidR="00E10C0F" w:rsidRPr="002827DE" w:rsidRDefault="00E10C0F" w:rsidP="00D203BF">
      <w:pPr>
        <w:pStyle w:val="ListParagraph"/>
        <w:numPr>
          <w:ilvl w:val="0"/>
          <w:numId w:val="11"/>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 xml:space="preserve">Reviewed </w:t>
      </w:r>
      <w:r w:rsidR="006A4065" w:rsidRPr="002827DE">
        <w:rPr>
          <w:rFonts w:asciiTheme="minorHAnsi" w:hAnsiTheme="minorHAnsi" w:cs="Arial"/>
          <w:color w:val="1F3864" w:themeColor="accent1" w:themeShade="80"/>
          <w:sz w:val="24"/>
          <w:szCs w:val="24"/>
        </w:rPr>
        <w:t xml:space="preserve">progress </w:t>
      </w:r>
      <w:r w:rsidRPr="002827DE">
        <w:rPr>
          <w:rFonts w:asciiTheme="minorHAnsi" w:hAnsiTheme="minorHAnsi" w:cs="Arial"/>
          <w:color w:val="1F3864" w:themeColor="accent1" w:themeShade="80"/>
          <w:sz w:val="24"/>
          <w:szCs w:val="24"/>
        </w:rPr>
        <w:t xml:space="preserve">of achieving objectives within the workgroups </w:t>
      </w:r>
      <w:r w:rsidR="006A4065" w:rsidRPr="002827DE">
        <w:rPr>
          <w:rFonts w:asciiTheme="minorHAnsi" w:hAnsiTheme="minorHAnsi" w:cs="Arial"/>
          <w:color w:val="1F3864" w:themeColor="accent1" w:themeShade="80"/>
          <w:sz w:val="24"/>
          <w:szCs w:val="24"/>
        </w:rPr>
        <w:t xml:space="preserve">and overall satisfaction at the </w:t>
      </w:r>
      <w:r w:rsidRPr="002827DE">
        <w:rPr>
          <w:rFonts w:asciiTheme="minorHAnsi" w:hAnsiTheme="minorHAnsi" w:cs="Arial"/>
          <w:color w:val="1F3864" w:themeColor="accent1" w:themeShade="80"/>
          <w:sz w:val="24"/>
          <w:szCs w:val="24"/>
        </w:rPr>
        <w:t>work the groups have completed;</w:t>
      </w:r>
    </w:p>
    <w:p w14:paraId="7CC679D9" w14:textId="6CAF0684" w:rsidR="00726B89" w:rsidRPr="002827DE" w:rsidRDefault="00E10C0F" w:rsidP="00D203BF">
      <w:pPr>
        <w:pStyle w:val="ListParagraph"/>
        <w:numPr>
          <w:ilvl w:val="0"/>
          <w:numId w:val="11"/>
        </w:num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 xml:space="preserve">Utilized the </w:t>
      </w:r>
      <w:r w:rsidR="006A4065" w:rsidRPr="002827DE">
        <w:rPr>
          <w:rFonts w:asciiTheme="minorHAnsi" w:hAnsiTheme="minorHAnsi" w:cs="Arial"/>
          <w:color w:val="1F3864" w:themeColor="accent1" w:themeShade="80"/>
          <w:sz w:val="24"/>
          <w:szCs w:val="24"/>
        </w:rPr>
        <w:t xml:space="preserve">mission and vision </w:t>
      </w:r>
      <w:r w:rsidRPr="002827DE">
        <w:rPr>
          <w:rFonts w:asciiTheme="minorHAnsi" w:hAnsiTheme="minorHAnsi" w:cs="Arial"/>
          <w:color w:val="1F3864" w:themeColor="accent1" w:themeShade="80"/>
          <w:sz w:val="24"/>
          <w:szCs w:val="24"/>
        </w:rPr>
        <w:t>as</w:t>
      </w:r>
      <w:r w:rsidR="006A4065" w:rsidRPr="002827DE">
        <w:rPr>
          <w:rFonts w:asciiTheme="minorHAnsi" w:hAnsiTheme="minorHAnsi" w:cs="Arial"/>
          <w:color w:val="1F3864" w:themeColor="accent1" w:themeShade="80"/>
          <w:sz w:val="24"/>
          <w:szCs w:val="24"/>
        </w:rPr>
        <w:t xml:space="preserve"> the foundation for creating the </w:t>
      </w:r>
      <w:r w:rsidRPr="002827DE">
        <w:rPr>
          <w:rFonts w:asciiTheme="minorHAnsi" w:hAnsiTheme="minorHAnsi" w:cs="Arial"/>
          <w:color w:val="1F3864" w:themeColor="accent1" w:themeShade="80"/>
          <w:sz w:val="24"/>
          <w:szCs w:val="24"/>
        </w:rPr>
        <w:t>2019-2022</w:t>
      </w:r>
      <w:r w:rsidR="006A4065" w:rsidRPr="002827DE">
        <w:rPr>
          <w:rFonts w:asciiTheme="minorHAnsi" w:hAnsiTheme="minorHAnsi" w:cs="Arial"/>
          <w:color w:val="1F3864" w:themeColor="accent1" w:themeShade="80"/>
          <w:sz w:val="24"/>
          <w:szCs w:val="24"/>
        </w:rPr>
        <w:t xml:space="preserve"> SMART goals so that workgroups could continue to be successful at carrying out the mission and vision.</w:t>
      </w:r>
    </w:p>
    <w:p w14:paraId="06FDD9E1" w14:textId="539C36EC" w:rsidR="008C1B6A" w:rsidRPr="002827DE" w:rsidRDefault="008C1B6A" w:rsidP="008C1B6A">
      <w:pPr>
        <w:jc w:val="center"/>
        <w:rPr>
          <w:rFonts w:asciiTheme="minorHAnsi" w:hAnsiTheme="minorHAnsi" w:cs="Arial"/>
          <w:b/>
          <w:color w:val="1F3864" w:themeColor="accent1" w:themeShade="80"/>
          <w:sz w:val="24"/>
          <w:szCs w:val="24"/>
        </w:rPr>
      </w:pPr>
      <w:r w:rsidRPr="002827DE">
        <w:rPr>
          <w:rFonts w:asciiTheme="minorHAnsi" w:hAnsiTheme="minorHAnsi" w:cs="Arial"/>
          <w:b/>
          <w:color w:val="1F3864" w:themeColor="accent1" w:themeShade="80"/>
          <w:sz w:val="24"/>
          <w:szCs w:val="24"/>
        </w:rPr>
        <w:t>CAEP Assessment Tool Results</w:t>
      </w:r>
    </w:p>
    <w:p w14:paraId="5B12FD33" w14:textId="7CBB714B" w:rsidR="00382B43" w:rsidRPr="002827DE" w:rsidRDefault="00A24E54" w:rsidP="009F4D08">
      <w:p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 xml:space="preserve">The CAEP Assessment tool gave NSCCC a clear picture of our aligned views about our services and productivity.  </w:t>
      </w:r>
      <w:r w:rsidR="00007F05" w:rsidRPr="002827DE">
        <w:rPr>
          <w:rFonts w:asciiTheme="minorHAnsi" w:hAnsiTheme="minorHAnsi" w:cs="Arial"/>
          <w:color w:val="1F3864" w:themeColor="accent1" w:themeShade="80"/>
          <w:sz w:val="24"/>
          <w:szCs w:val="24"/>
        </w:rPr>
        <w:t>Each Leadership Board Member individually took the survey.  Members then met in pairs to share their thoughts and calibrate their reflections.  As a large group, the Board then went through each sub-point and discussed their views and came to con</w:t>
      </w:r>
      <w:r w:rsidR="00382B43" w:rsidRPr="002827DE">
        <w:rPr>
          <w:rFonts w:asciiTheme="minorHAnsi" w:hAnsiTheme="minorHAnsi" w:cs="Arial"/>
          <w:color w:val="1F3864" w:themeColor="accent1" w:themeShade="80"/>
          <w:sz w:val="24"/>
          <w:szCs w:val="24"/>
        </w:rPr>
        <w:t>sensus about the rating to mark.  As a result, the Board identified several strengths and areas needing improvement.</w:t>
      </w:r>
    </w:p>
    <w:p w14:paraId="40F17B4B" w14:textId="0288783B" w:rsidR="00A24E54" w:rsidRPr="002827DE" w:rsidRDefault="00A24E54" w:rsidP="009F4D08">
      <w:pPr>
        <w:rPr>
          <w:rFonts w:asciiTheme="minorHAnsi" w:hAnsiTheme="minorHAnsi" w:cs="Arial"/>
          <w:color w:val="1F3864" w:themeColor="accent1" w:themeShade="80"/>
          <w:sz w:val="24"/>
          <w:szCs w:val="24"/>
        </w:rPr>
      </w:pPr>
      <w:r w:rsidRPr="002827DE">
        <w:rPr>
          <w:rFonts w:asciiTheme="minorHAnsi" w:hAnsiTheme="minorHAnsi" w:cs="Arial"/>
          <w:color w:val="1F3864" w:themeColor="accent1" w:themeShade="80"/>
          <w:sz w:val="24"/>
          <w:szCs w:val="24"/>
        </w:rPr>
        <w:t>The following areas were seen as strengths:</w:t>
      </w:r>
    </w:p>
    <w:p w14:paraId="37A1C685" w14:textId="33D9E8CA" w:rsidR="00B148D7" w:rsidRPr="002827DE" w:rsidRDefault="00A24E54" w:rsidP="00A24E54">
      <w:pPr>
        <w:pStyle w:val="ListParagraph"/>
        <w:numPr>
          <w:ilvl w:val="0"/>
          <w:numId w:val="8"/>
        </w:numPr>
        <w:rPr>
          <w:color w:val="1F3864" w:themeColor="accent1" w:themeShade="80"/>
          <w:sz w:val="24"/>
          <w:szCs w:val="24"/>
        </w:rPr>
      </w:pPr>
      <w:r w:rsidRPr="002827DE">
        <w:rPr>
          <w:rFonts w:asciiTheme="minorHAnsi" w:hAnsiTheme="minorHAnsi" w:cs="Arial"/>
          <w:color w:val="1F3864" w:themeColor="accent1" w:themeShade="80"/>
          <w:sz w:val="24"/>
          <w:szCs w:val="24"/>
        </w:rPr>
        <w:t>Collaborative processes are in place to support planning, implementation and accountability;</w:t>
      </w:r>
    </w:p>
    <w:p w14:paraId="1FC17A9F" w14:textId="5A183E19" w:rsidR="00883349" w:rsidRPr="002827DE" w:rsidRDefault="00883349" w:rsidP="00883349">
      <w:pPr>
        <w:pStyle w:val="ListParagraph"/>
        <w:numPr>
          <w:ilvl w:val="0"/>
          <w:numId w:val="8"/>
        </w:numPr>
        <w:spacing w:after="0" w:line="240" w:lineRule="auto"/>
        <w:rPr>
          <w:rFonts w:asciiTheme="minorHAnsi" w:eastAsia="Times New Roman" w:hAnsiTheme="minorHAnsi" w:cs="Times New Roman"/>
          <w:color w:val="1F3864" w:themeColor="accent1" w:themeShade="80"/>
          <w:sz w:val="24"/>
          <w:szCs w:val="24"/>
        </w:rPr>
      </w:pPr>
      <w:r w:rsidRPr="002827DE">
        <w:rPr>
          <w:rFonts w:asciiTheme="minorHAnsi" w:eastAsia="Times New Roman" w:hAnsiTheme="minorHAnsi" w:cs="Times New Roman"/>
          <w:color w:val="1F3864" w:themeColor="accent1" w:themeShade="80"/>
          <w:sz w:val="24"/>
          <w:szCs w:val="24"/>
          <w:shd w:val="clear" w:color="auto" w:fill="FFFFFF"/>
        </w:rPr>
        <w:t>Consortia and members use multiple measures to inform placement, education and career planning, classroom instruction, and continuous improvement activities.  That said, unification of these practices consortium-wide is needed.</w:t>
      </w:r>
    </w:p>
    <w:p w14:paraId="5E63128D" w14:textId="5F780C94" w:rsidR="00883349" w:rsidRPr="002827DE" w:rsidRDefault="00883349" w:rsidP="00A24E54">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 xml:space="preserve">Students do complete individualized educational plans to assist in educational and career options.  That said, </w:t>
      </w:r>
      <w:r w:rsidR="00E6661C">
        <w:rPr>
          <w:rFonts w:asciiTheme="minorHAnsi" w:hAnsiTheme="minorHAnsi"/>
          <w:color w:val="1F3864" w:themeColor="accent1" w:themeShade="80"/>
          <w:sz w:val="24"/>
          <w:szCs w:val="24"/>
        </w:rPr>
        <w:t>alignment</w:t>
      </w:r>
      <w:r w:rsidRPr="002827DE">
        <w:rPr>
          <w:rFonts w:asciiTheme="minorHAnsi" w:hAnsiTheme="minorHAnsi"/>
          <w:color w:val="1F3864" w:themeColor="accent1" w:themeShade="80"/>
          <w:sz w:val="24"/>
          <w:szCs w:val="24"/>
        </w:rPr>
        <w:t xml:space="preserve"> of best practices and implementation with every student is our next level of growth;</w:t>
      </w:r>
    </w:p>
    <w:p w14:paraId="43951B7E" w14:textId="77777777" w:rsidR="00883349" w:rsidRPr="002827DE" w:rsidRDefault="00883349" w:rsidP="00A24E54">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Collaboration between counseling staff at both the Adult Schools and Community Colleges is effective and collaborative.  Unifying support services to promote persistence and long-term success is our next step;</w:t>
      </w:r>
    </w:p>
    <w:p w14:paraId="0CEB243D" w14:textId="130F824B" w:rsidR="00A24E54" w:rsidRPr="002827DE" w:rsidRDefault="00883349" w:rsidP="00A24E54">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Consortium-wide, there are staff members in place who provide coordinated, ongoing and consistent student support.  Next steps will include the use of data to track the effectiveness of this support and to make changes based on the results.</w:t>
      </w:r>
    </w:p>
    <w:p w14:paraId="78A9A793" w14:textId="0B0BCDF3" w:rsidR="00A24E54" w:rsidRPr="002827DE" w:rsidRDefault="00A24E54" w:rsidP="00A24E54">
      <w:p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Areas for improvement include:</w:t>
      </w:r>
    </w:p>
    <w:p w14:paraId="0A55723A" w14:textId="33866FF5" w:rsidR="00A24E54" w:rsidRPr="002827DE" w:rsidRDefault="00A24E54" w:rsidP="00A24E54">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 xml:space="preserve">Professional development needs </w:t>
      </w:r>
      <w:r w:rsidR="00326E6F">
        <w:rPr>
          <w:rFonts w:asciiTheme="minorHAnsi" w:hAnsiTheme="minorHAnsi"/>
          <w:color w:val="1F3864" w:themeColor="accent1" w:themeShade="80"/>
          <w:sz w:val="24"/>
          <w:szCs w:val="24"/>
        </w:rPr>
        <w:t xml:space="preserve">of staff should </w:t>
      </w:r>
      <w:r w:rsidRPr="002827DE">
        <w:rPr>
          <w:rFonts w:asciiTheme="minorHAnsi" w:hAnsiTheme="minorHAnsi"/>
          <w:color w:val="1F3864" w:themeColor="accent1" w:themeShade="80"/>
          <w:sz w:val="24"/>
          <w:szCs w:val="24"/>
        </w:rPr>
        <w:t>be revisited;</w:t>
      </w:r>
    </w:p>
    <w:p w14:paraId="59D4AC08" w14:textId="33C2E08A" w:rsidR="00A24E54" w:rsidRPr="002827DE" w:rsidRDefault="00A24E54" w:rsidP="00A24E54">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Engaging students from communities of high need to provide services aligned with program areas;</w:t>
      </w:r>
    </w:p>
    <w:p w14:paraId="6F1F38D5" w14:textId="7A8AC600" w:rsidR="00A24E54" w:rsidRPr="000C79FA" w:rsidRDefault="00A24E54" w:rsidP="000C79FA">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lastRenderedPageBreak/>
        <w:t xml:space="preserve">While </w:t>
      </w:r>
      <w:r w:rsidR="000C79FA">
        <w:rPr>
          <w:rFonts w:asciiTheme="minorHAnsi" w:hAnsiTheme="minorHAnsi"/>
          <w:color w:val="1F3864" w:themeColor="accent1" w:themeShade="80"/>
          <w:sz w:val="24"/>
          <w:szCs w:val="24"/>
        </w:rPr>
        <w:t>NSCCC</w:t>
      </w:r>
      <w:r w:rsidRPr="002827DE">
        <w:rPr>
          <w:rFonts w:asciiTheme="minorHAnsi" w:hAnsiTheme="minorHAnsi"/>
          <w:color w:val="1F3864" w:themeColor="accent1" w:themeShade="80"/>
          <w:sz w:val="24"/>
          <w:szCs w:val="24"/>
        </w:rPr>
        <w:t xml:space="preserve"> believe</w:t>
      </w:r>
      <w:r w:rsidR="000C79FA">
        <w:rPr>
          <w:rFonts w:asciiTheme="minorHAnsi" w:hAnsiTheme="minorHAnsi"/>
          <w:color w:val="1F3864" w:themeColor="accent1" w:themeShade="80"/>
          <w:sz w:val="24"/>
          <w:szCs w:val="24"/>
        </w:rPr>
        <w:t>s</w:t>
      </w:r>
      <w:r w:rsidRPr="002827DE">
        <w:rPr>
          <w:rFonts w:asciiTheme="minorHAnsi" w:hAnsiTheme="minorHAnsi"/>
          <w:color w:val="1F3864" w:themeColor="accent1" w:themeShade="80"/>
          <w:sz w:val="24"/>
          <w:szCs w:val="24"/>
        </w:rPr>
        <w:t xml:space="preserve"> strongly in, and </w:t>
      </w:r>
      <w:r w:rsidR="000C79FA">
        <w:rPr>
          <w:rFonts w:asciiTheme="minorHAnsi" w:hAnsiTheme="minorHAnsi"/>
          <w:color w:val="1F3864" w:themeColor="accent1" w:themeShade="80"/>
          <w:sz w:val="24"/>
          <w:szCs w:val="24"/>
        </w:rPr>
        <w:t>is</w:t>
      </w:r>
      <w:r w:rsidRPr="002827DE">
        <w:rPr>
          <w:rFonts w:asciiTheme="minorHAnsi" w:hAnsiTheme="minorHAnsi"/>
          <w:color w:val="1F3864" w:themeColor="accent1" w:themeShade="80"/>
          <w:sz w:val="24"/>
          <w:szCs w:val="24"/>
        </w:rPr>
        <w:t xml:space="preserve"> moving toward, a “no wrong door” consortium-wide approach</w:t>
      </w:r>
      <w:r w:rsidR="000C79FA">
        <w:rPr>
          <w:rFonts w:asciiTheme="minorHAnsi" w:hAnsiTheme="minorHAnsi"/>
          <w:color w:val="1F3864" w:themeColor="accent1" w:themeShade="80"/>
          <w:sz w:val="24"/>
          <w:szCs w:val="24"/>
        </w:rPr>
        <w:t>—process,</w:t>
      </w:r>
      <w:r w:rsidRPr="000C79FA">
        <w:rPr>
          <w:rFonts w:asciiTheme="minorHAnsi" w:hAnsiTheme="minorHAnsi"/>
          <w:color w:val="1F3864" w:themeColor="accent1" w:themeShade="80"/>
          <w:sz w:val="24"/>
          <w:szCs w:val="24"/>
        </w:rPr>
        <w:t xml:space="preserve"> curriculum, and collaborative practices can be improved.  This, in turn, will improve orienting adult learners in more responsive ways that promote self-efficacy and confidence;</w:t>
      </w:r>
    </w:p>
    <w:p w14:paraId="350C4BC0" w14:textId="7789C13D" w:rsidR="00A24E54" w:rsidRPr="008C0695" w:rsidRDefault="00883349" w:rsidP="008C0695">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While articulation of curriculum has happened in various pockets within the consortium, particularly with ESL and Foothill non-credit ESL, aligning and articulating programs</w:t>
      </w:r>
      <w:r w:rsidR="00E10C0F" w:rsidRPr="002827DE">
        <w:rPr>
          <w:rFonts w:asciiTheme="minorHAnsi" w:hAnsiTheme="minorHAnsi"/>
          <w:color w:val="1F3864" w:themeColor="accent1" w:themeShade="80"/>
          <w:sz w:val="24"/>
          <w:szCs w:val="24"/>
        </w:rPr>
        <w:t xml:space="preserve"> between agencies and within agencies (e.g. Guided Pathways at the community colleges)</w:t>
      </w:r>
      <w:r w:rsidRPr="002827DE">
        <w:rPr>
          <w:rFonts w:asciiTheme="minorHAnsi" w:hAnsiTheme="minorHAnsi"/>
          <w:color w:val="1F3864" w:themeColor="accent1" w:themeShade="80"/>
          <w:sz w:val="24"/>
          <w:szCs w:val="24"/>
        </w:rPr>
        <w:t xml:space="preserve"> is still needed as well as support services to transition students to these articulated programs;</w:t>
      </w:r>
    </w:p>
    <w:p w14:paraId="2FC462D4" w14:textId="22B2FC9A" w:rsidR="00AD7C7C" w:rsidRPr="002827DE" w:rsidRDefault="00AD7C7C" w:rsidP="00AD7C7C">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The data shows us that we are effective in transitioning students to post-secondary education.  That said, consortium-wide only 33% improved one or more functioning levels in 2016-2017, 1% completed a post-secondary credential and 2% earned a post-secondary CTE certificate.  Aligning pathways and proc</w:t>
      </w:r>
      <w:r w:rsidR="00FA4B5A" w:rsidRPr="002827DE">
        <w:rPr>
          <w:rFonts w:asciiTheme="minorHAnsi" w:hAnsiTheme="minorHAnsi"/>
          <w:color w:val="1F3864" w:themeColor="accent1" w:themeShade="80"/>
          <w:sz w:val="24"/>
          <w:szCs w:val="24"/>
        </w:rPr>
        <w:t>esses for transition are needed;</w:t>
      </w:r>
    </w:p>
    <w:p w14:paraId="10E1C821" w14:textId="4DCD0FB8" w:rsidR="00883349" w:rsidRPr="002827DE" w:rsidRDefault="00FA4B5A" w:rsidP="00A24E54">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Integrating partnerships and local workforce and community service providers into programs of study are occurring but improvement in this area is possible;</w:t>
      </w:r>
    </w:p>
    <w:p w14:paraId="487446A6" w14:textId="27AE4CE3" w:rsidR="008C1B6A" w:rsidRPr="002827DE" w:rsidRDefault="008C1B6A" w:rsidP="008C1B6A">
      <w:pPr>
        <w:pStyle w:val="ListParagraph"/>
        <w:numPr>
          <w:ilvl w:val="0"/>
          <w:numId w:val="8"/>
        </w:numPr>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Conducting regular program improvement planning with all regional stakeholders is an area of focus, and hiring a Director of our consortium in January 2019 was one infrastructure action to begin working on this area of improvement.</w:t>
      </w:r>
    </w:p>
    <w:p w14:paraId="2811870A" w14:textId="54D746C3" w:rsidR="00C25531" w:rsidRPr="002827DE" w:rsidRDefault="00E10C0F">
      <w:pPr>
        <w:spacing w:after="0" w:line="240" w:lineRule="auto"/>
        <w:rPr>
          <w:rFonts w:asciiTheme="minorHAnsi" w:hAnsiTheme="minorHAnsi"/>
          <w:color w:val="1F3864" w:themeColor="accent1" w:themeShade="80"/>
          <w:sz w:val="24"/>
          <w:szCs w:val="24"/>
        </w:rPr>
      </w:pPr>
      <w:r w:rsidRPr="002827DE">
        <w:rPr>
          <w:rFonts w:asciiTheme="minorHAnsi" w:hAnsiTheme="minorHAnsi"/>
          <w:color w:val="1F3864" w:themeColor="accent1" w:themeShade="80"/>
          <w:sz w:val="24"/>
          <w:szCs w:val="24"/>
        </w:rPr>
        <w:t>As a result of the self-assessment</w:t>
      </w:r>
      <w:r w:rsidR="00382B43" w:rsidRPr="002827DE">
        <w:rPr>
          <w:rFonts w:asciiTheme="minorHAnsi" w:hAnsiTheme="minorHAnsi"/>
          <w:color w:val="1F3864" w:themeColor="accent1" w:themeShade="80"/>
          <w:sz w:val="24"/>
          <w:szCs w:val="24"/>
        </w:rPr>
        <w:t>, specific</w:t>
      </w:r>
      <w:r w:rsidRPr="002827DE">
        <w:rPr>
          <w:rFonts w:asciiTheme="minorHAnsi" w:hAnsiTheme="minorHAnsi"/>
          <w:color w:val="1F3864" w:themeColor="accent1" w:themeShade="80"/>
          <w:sz w:val="24"/>
          <w:szCs w:val="24"/>
        </w:rPr>
        <w:t xml:space="preserve"> goals have been added </w:t>
      </w:r>
      <w:r w:rsidR="00382B43" w:rsidRPr="002827DE">
        <w:rPr>
          <w:rFonts w:asciiTheme="minorHAnsi" w:hAnsiTheme="minorHAnsi"/>
          <w:color w:val="1F3864" w:themeColor="accent1" w:themeShade="80"/>
          <w:sz w:val="24"/>
          <w:szCs w:val="24"/>
        </w:rPr>
        <w:t xml:space="preserve">to continue our growth and service to our population, </w:t>
      </w:r>
      <w:r w:rsidRPr="002827DE">
        <w:rPr>
          <w:rFonts w:asciiTheme="minorHAnsi" w:hAnsiTheme="minorHAnsi"/>
          <w:color w:val="1F3864" w:themeColor="accent1" w:themeShade="80"/>
          <w:sz w:val="24"/>
          <w:szCs w:val="24"/>
        </w:rPr>
        <w:t>and we anticipate adding additional goals as the work unfolds and we prepare our annual plans.</w:t>
      </w:r>
    </w:p>
    <w:p w14:paraId="53BACF90" w14:textId="77777777" w:rsidR="00E10C0F" w:rsidRPr="002827DE" w:rsidRDefault="00E10C0F">
      <w:pPr>
        <w:spacing w:after="0" w:line="240" w:lineRule="auto"/>
        <w:rPr>
          <w:rFonts w:asciiTheme="minorHAnsi" w:hAnsiTheme="minorHAnsi"/>
          <w:color w:val="1F3864" w:themeColor="accent1" w:themeShade="80"/>
          <w:sz w:val="24"/>
          <w:szCs w:val="24"/>
        </w:rPr>
      </w:pPr>
    </w:p>
    <w:p w14:paraId="0F05639A" w14:textId="46B95A43" w:rsidR="00C25531" w:rsidRDefault="00C25531" w:rsidP="008C0695">
      <w:pPr>
        <w:spacing w:after="0" w:line="240" w:lineRule="auto"/>
        <w:jc w:val="center"/>
        <w:rPr>
          <w:rFonts w:asciiTheme="minorHAnsi" w:hAnsiTheme="minorHAnsi"/>
          <w:b/>
          <w:color w:val="1F3864" w:themeColor="accent1" w:themeShade="80"/>
          <w:sz w:val="24"/>
          <w:szCs w:val="24"/>
        </w:rPr>
      </w:pPr>
      <w:r w:rsidRPr="002827DE">
        <w:rPr>
          <w:rFonts w:asciiTheme="minorHAnsi" w:hAnsiTheme="minorHAnsi"/>
          <w:b/>
          <w:color w:val="1F3864" w:themeColor="accent1" w:themeShade="80"/>
          <w:sz w:val="24"/>
          <w:szCs w:val="24"/>
        </w:rPr>
        <w:t>Data Results from Launchboard</w:t>
      </w:r>
      <w:r w:rsidR="0039283B" w:rsidRPr="002827DE">
        <w:rPr>
          <w:rFonts w:asciiTheme="minorHAnsi" w:hAnsiTheme="minorHAnsi"/>
          <w:b/>
          <w:color w:val="1F3864" w:themeColor="accent1" w:themeShade="80"/>
          <w:sz w:val="24"/>
          <w:szCs w:val="24"/>
        </w:rPr>
        <w:t xml:space="preserve"> Data Pipeline</w:t>
      </w:r>
    </w:p>
    <w:p w14:paraId="4FC8997A" w14:textId="77777777" w:rsidR="008C0695" w:rsidRPr="008C0695" w:rsidRDefault="008C0695" w:rsidP="008C0695">
      <w:pPr>
        <w:spacing w:after="0" w:line="240" w:lineRule="auto"/>
        <w:jc w:val="center"/>
        <w:rPr>
          <w:rFonts w:asciiTheme="minorHAnsi" w:hAnsiTheme="minorHAnsi"/>
          <w:color w:val="1F3864" w:themeColor="accent1" w:themeShade="80"/>
          <w:sz w:val="24"/>
          <w:szCs w:val="24"/>
        </w:rPr>
      </w:pPr>
    </w:p>
    <w:p w14:paraId="0AAFB90D" w14:textId="28894364" w:rsidR="004A4B47" w:rsidRPr="002827DE" w:rsidRDefault="004A4B47" w:rsidP="00600745">
      <w:p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Consortium-wide statistics from the Launchboard Data Pipeline</w:t>
      </w:r>
      <w:r w:rsidR="00D44F28" w:rsidRPr="002827DE">
        <w:rPr>
          <w:rFonts w:asciiTheme="minorHAnsi" w:hAnsiTheme="minorHAnsi" w:cstheme="majorHAnsi"/>
          <w:color w:val="1F3864" w:themeColor="accent1" w:themeShade="80"/>
          <w:sz w:val="24"/>
          <w:szCs w:val="24"/>
        </w:rPr>
        <w:t xml:space="preserve"> (2017-2018)</w:t>
      </w:r>
      <w:r w:rsidRPr="002827DE">
        <w:rPr>
          <w:rFonts w:asciiTheme="minorHAnsi" w:hAnsiTheme="minorHAnsi" w:cstheme="majorHAnsi"/>
          <w:color w:val="1F3864" w:themeColor="accent1" w:themeShade="80"/>
          <w:sz w:val="24"/>
          <w:szCs w:val="24"/>
        </w:rPr>
        <w:t xml:space="preserve"> </w:t>
      </w:r>
      <w:r w:rsidR="00D44F28" w:rsidRPr="002827DE">
        <w:rPr>
          <w:rFonts w:asciiTheme="minorHAnsi" w:hAnsiTheme="minorHAnsi" w:cstheme="majorHAnsi"/>
          <w:color w:val="1F3864" w:themeColor="accent1" w:themeShade="80"/>
          <w:sz w:val="24"/>
          <w:szCs w:val="24"/>
        </w:rPr>
        <w:t>paint the following picture about our students</w:t>
      </w:r>
      <w:r w:rsidRPr="002827DE">
        <w:rPr>
          <w:rFonts w:asciiTheme="minorHAnsi" w:hAnsiTheme="minorHAnsi" w:cstheme="majorHAnsi"/>
          <w:color w:val="1F3864" w:themeColor="accent1" w:themeShade="80"/>
          <w:sz w:val="24"/>
          <w:szCs w:val="24"/>
        </w:rPr>
        <w:t>:</w:t>
      </w:r>
    </w:p>
    <w:p w14:paraId="7A5D4C4C" w14:textId="4E27DC34" w:rsidR="00382B43" w:rsidRPr="002827DE" w:rsidRDefault="00382B43" w:rsidP="00D44F28">
      <w:pPr>
        <w:pStyle w:val="ListParagraph"/>
        <w:numPr>
          <w:ilvl w:val="0"/>
          <w:numId w:val="12"/>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 xml:space="preserve">In 2017-2018 we served 12,103 students, 7,555 of whom had 12 or more hours of instructional contact;  </w:t>
      </w:r>
    </w:p>
    <w:p w14:paraId="734D49DC" w14:textId="77777777" w:rsidR="00382B43" w:rsidRPr="002827DE" w:rsidRDefault="00382B43" w:rsidP="00D44F28">
      <w:pPr>
        <w:pStyle w:val="ListParagraph"/>
        <w:numPr>
          <w:ilvl w:val="0"/>
          <w:numId w:val="12"/>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Of the 7,555 students:</w:t>
      </w:r>
    </w:p>
    <w:p w14:paraId="15A7627D" w14:textId="4EA0F80D" w:rsidR="003E06C6" w:rsidRPr="002827DE" w:rsidRDefault="00CB1F57" w:rsidP="003E06C6">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37% were in English as a Second Language (ESL), 27% in Adult Secondary Education (ASE)</w:t>
      </w:r>
      <w:r w:rsidR="003E06C6" w:rsidRPr="002827DE">
        <w:rPr>
          <w:rFonts w:asciiTheme="minorHAnsi" w:hAnsiTheme="minorHAnsi" w:cstheme="majorHAnsi"/>
          <w:color w:val="1F3864" w:themeColor="accent1" w:themeShade="80"/>
          <w:sz w:val="24"/>
          <w:szCs w:val="24"/>
        </w:rPr>
        <w:t>,</w:t>
      </w:r>
      <w:r w:rsidRPr="002827DE">
        <w:rPr>
          <w:rFonts w:asciiTheme="minorHAnsi" w:hAnsiTheme="minorHAnsi" w:cstheme="majorHAnsi"/>
          <w:color w:val="1F3864" w:themeColor="accent1" w:themeShade="80"/>
          <w:sz w:val="24"/>
          <w:szCs w:val="24"/>
        </w:rPr>
        <w:t xml:space="preserve"> and 27% in Career Technical Education (CTE)</w:t>
      </w:r>
      <w:r w:rsidR="00D36C78">
        <w:rPr>
          <w:rStyle w:val="FootnoteReference"/>
          <w:rFonts w:asciiTheme="minorHAnsi" w:hAnsiTheme="minorHAnsi" w:cstheme="majorHAnsi"/>
          <w:color w:val="1F3864" w:themeColor="accent1" w:themeShade="80"/>
          <w:sz w:val="24"/>
          <w:szCs w:val="24"/>
        </w:rPr>
        <w:footnoteReference w:id="2"/>
      </w:r>
      <w:r w:rsidRPr="002827DE">
        <w:rPr>
          <w:rFonts w:asciiTheme="minorHAnsi" w:hAnsiTheme="minorHAnsi" w:cstheme="majorHAnsi"/>
          <w:color w:val="1F3864" w:themeColor="accent1" w:themeShade="80"/>
          <w:sz w:val="24"/>
          <w:szCs w:val="24"/>
        </w:rPr>
        <w:t xml:space="preserve"> and 2% Adult Basic Education (ABE);</w:t>
      </w:r>
    </w:p>
    <w:p w14:paraId="2949E402" w14:textId="59825002" w:rsidR="00CB1F57" w:rsidRPr="002827DE" w:rsidRDefault="00CB1F57" w:rsidP="00382B43">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 xml:space="preserve">17% </w:t>
      </w:r>
      <w:r w:rsidR="00326E6F">
        <w:rPr>
          <w:rFonts w:asciiTheme="minorHAnsi" w:hAnsiTheme="minorHAnsi" w:cstheme="majorHAnsi"/>
          <w:color w:val="1F3864" w:themeColor="accent1" w:themeShade="80"/>
          <w:sz w:val="24"/>
          <w:szCs w:val="24"/>
        </w:rPr>
        <w:t>were</w:t>
      </w:r>
      <w:r w:rsidRPr="002827DE">
        <w:rPr>
          <w:rFonts w:asciiTheme="minorHAnsi" w:hAnsiTheme="minorHAnsi" w:cstheme="majorHAnsi"/>
          <w:color w:val="1F3864" w:themeColor="accent1" w:themeShade="80"/>
          <w:sz w:val="24"/>
          <w:szCs w:val="24"/>
        </w:rPr>
        <w:t xml:space="preserve"> Adults with Disabilities and 10% in Adults Training to Support Child School Success (10%)</w:t>
      </w:r>
    </w:p>
    <w:p w14:paraId="14B09EA4" w14:textId="14A61911" w:rsidR="003712EA" w:rsidRPr="002827DE" w:rsidRDefault="00382B43" w:rsidP="00382B43">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lastRenderedPageBreak/>
        <w:t>1,304 improved one or more educational functioning leve</w:t>
      </w:r>
      <w:r w:rsidR="003712EA" w:rsidRPr="002827DE">
        <w:rPr>
          <w:rFonts w:asciiTheme="minorHAnsi" w:hAnsiTheme="minorHAnsi" w:cstheme="majorHAnsi"/>
          <w:color w:val="1F3864" w:themeColor="accent1" w:themeShade="80"/>
          <w:sz w:val="24"/>
          <w:szCs w:val="24"/>
        </w:rPr>
        <w:t>l</w:t>
      </w:r>
      <w:r w:rsidR="00014E76" w:rsidRPr="002827DE">
        <w:rPr>
          <w:rFonts w:asciiTheme="minorHAnsi" w:hAnsiTheme="minorHAnsi" w:cstheme="majorHAnsi"/>
          <w:color w:val="1F3864" w:themeColor="accent1" w:themeShade="80"/>
          <w:sz w:val="24"/>
          <w:szCs w:val="24"/>
        </w:rPr>
        <w:t>, up from 1,241 in 2016-2017</w:t>
      </w:r>
      <w:r w:rsidR="003712EA" w:rsidRPr="002827DE">
        <w:rPr>
          <w:rFonts w:asciiTheme="minorHAnsi" w:hAnsiTheme="minorHAnsi" w:cstheme="majorHAnsi"/>
          <w:color w:val="1F3864" w:themeColor="accent1" w:themeShade="80"/>
          <w:sz w:val="24"/>
          <w:szCs w:val="24"/>
        </w:rPr>
        <w:t>;</w:t>
      </w:r>
    </w:p>
    <w:p w14:paraId="3A6CDC6E" w14:textId="431C4EF5" w:rsidR="00382B43" w:rsidRPr="002827DE" w:rsidRDefault="00382B43" w:rsidP="00382B43">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1,092 completed a workforce preparation milestone</w:t>
      </w:r>
      <w:r w:rsidR="00014E76" w:rsidRPr="002827DE">
        <w:rPr>
          <w:rFonts w:asciiTheme="minorHAnsi" w:hAnsiTheme="minorHAnsi" w:cstheme="majorHAnsi"/>
          <w:color w:val="1F3864" w:themeColor="accent1" w:themeShade="80"/>
          <w:sz w:val="24"/>
          <w:szCs w:val="24"/>
        </w:rPr>
        <w:t>, down from 1,169 in 2016-2017</w:t>
      </w:r>
      <w:r w:rsidRPr="002827DE">
        <w:rPr>
          <w:rFonts w:asciiTheme="minorHAnsi" w:hAnsiTheme="minorHAnsi" w:cstheme="majorHAnsi"/>
          <w:color w:val="1F3864" w:themeColor="accent1" w:themeShade="80"/>
          <w:sz w:val="24"/>
          <w:szCs w:val="24"/>
        </w:rPr>
        <w:t>;</w:t>
      </w:r>
    </w:p>
    <w:p w14:paraId="17E3EFB7" w14:textId="6B2B267A" w:rsidR="003712EA" w:rsidRPr="002827DE" w:rsidRDefault="003712EA" w:rsidP="00382B43">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1,412 earned a GED, diploma or high school equivalency;</w:t>
      </w:r>
    </w:p>
    <w:p w14:paraId="300DE62B" w14:textId="2043DF4F" w:rsidR="00014E76" w:rsidRPr="002827DE" w:rsidRDefault="00014E76" w:rsidP="00382B43">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161 received a post-secondary certificate;</w:t>
      </w:r>
    </w:p>
    <w:p w14:paraId="1CD9D0C7" w14:textId="700C533D" w:rsidR="003712EA" w:rsidRPr="002827DE" w:rsidRDefault="003712EA" w:rsidP="00382B43">
      <w:pPr>
        <w:pStyle w:val="ListParagraph"/>
        <w:numPr>
          <w:ilvl w:val="1"/>
          <w:numId w:val="13"/>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102 completed a post-secondary credential;</w:t>
      </w:r>
    </w:p>
    <w:p w14:paraId="5CA8E4F3" w14:textId="77777777" w:rsidR="00A71051" w:rsidRPr="002827DE" w:rsidRDefault="00A71051" w:rsidP="00D44F28">
      <w:pPr>
        <w:pStyle w:val="ListParagraph"/>
        <w:numPr>
          <w:ilvl w:val="0"/>
          <w:numId w:val="12"/>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While there is no data for 2017-2018 for the number of students who transitioned to ASE or Post-Secondary, in 2016-2017 5% transitioned to ASE and 12% transitioned to post-secondary, something to track in the future.</w:t>
      </w:r>
    </w:p>
    <w:p w14:paraId="62EB5820" w14:textId="07EA566A" w:rsidR="00D44F28" w:rsidRPr="002827DE" w:rsidRDefault="00D44F28" w:rsidP="00D44F28">
      <w:pPr>
        <w:pStyle w:val="ListParagraph"/>
        <w:numPr>
          <w:ilvl w:val="0"/>
          <w:numId w:val="12"/>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 xml:space="preserve">The population that we </w:t>
      </w:r>
      <w:r w:rsidR="00A71051" w:rsidRPr="002827DE">
        <w:rPr>
          <w:rFonts w:asciiTheme="minorHAnsi" w:hAnsiTheme="minorHAnsi" w:cstheme="majorHAnsi"/>
          <w:color w:val="1F3864" w:themeColor="accent1" w:themeShade="80"/>
          <w:sz w:val="24"/>
          <w:szCs w:val="24"/>
        </w:rPr>
        <w:t>serve</w:t>
      </w:r>
      <w:r w:rsidRPr="002827DE">
        <w:rPr>
          <w:rFonts w:asciiTheme="minorHAnsi" w:hAnsiTheme="minorHAnsi" w:cstheme="majorHAnsi"/>
          <w:color w:val="1F3864" w:themeColor="accent1" w:themeShade="80"/>
          <w:sz w:val="24"/>
          <w:szCs w:val="24"/>
        </w:rPr>
        <w:t xml:space="preserve"> </w:t>
      </w:r>
      <w:r w:rsidR="00382B43" w:rsidRPr="002827DE">
        <w:rPr>
          <w:rFonts w:asciiTheme="minorHAnsi" w:hAnsiTheme="minorHAnsi" w:cstheme="majorHAnsi"/>
          <w:color w:val="1F3864" w:themeColor="accent1" w:themeShade="80"/>
          <w:sz w:val="24"/>
          <w:szCs w:val="24"/>
        </w:rPr>
        <w:t>is</w:t>
      </w:r>
      <w:r w:rsidRPr="002827DE">
        <w:rPr>
          <w:rFonts w:asciiTheme="minorHAnsi" w:hAnsiTheme="minorHAnsi" w:cstheme="majorHAnsi"/>
          <w:color w:val="1F3864" w:themeColor="accent1" w:themeShade="80"/>
          <w:sz w:val="24"/>
          <w:szCs w:val="24"/>
        </w:rPr>
        <w:t xml:space="preserve"> </w:t>
      </w:r>
      <w:r w:rsidR="00326E6F">
        <w:rPr>
          <w:rFonts w:asciiTheme="minorHAnsi" w:hAnsiTheme="minorHAnsi" w:cstheme="majorHAnsi"/>
          <w:color w:val="1F3864" w:themeColor="accent1" w:themeShade="80"/>
          <w:sz w:val="24"/>
          <w:szCs w:val="24"/>
        </w:rPr>
        <w:t>primarily female</w:t>
      </w:r>
      <w:r w:rsidRPr="002827DE">
        <w:rPr>
          <w:rFonts w:asciiTheme="minorHAnsi" w:hAnsiTheme="minorHAnsi" w:cstheme="majorHAnsi"/>
          <w:color w:val="1F3864" w:themeColor="accent1" w:themeShade="80"/>
          <w:sz w:val="24"/>
          <w:szCs w:val="24"/>
        </w:rPr>
        <w:t xml:space="preserve"> </w:t>
      </w:r>
      <w:r w:rsidR="00326E6F">
        <w:rPr>
          <w:rFonts w:asciiTheme="minorHAnsi" w:hAnsiTheme="minorHAnsi" w:cstheme="majorHAnsi"/>
          <w:color w:val="1F3864" w:themeColor="accent1" w:themeShade="80"/>
          <w:sz w:val="24"/>
          <w:szCs w:val="24"/>
        </w:rPr>
        <w:t>(</w:t>
      </w:r>
      <w:r w:rsidRPr="002827DE">
        <w:rPr>
          <w:rFonts w:asciiTheme="minorHAnsi" w:hAnsiTheme="minorHAnsi" w:cstheme="majorHAnsi"/>
          <w:color w:val="1F3864" w:themeColor="accent1" w:themeShade="80"/>
          <w:sz w:val="24"/>
          <w:szCs w:val="24"/>
        </w:rPr>
        <w:t>65%</w:t>
      </w:r>
      <w:r w:rsidR="00326E6F">
        <w:rPr>
          <w:rFonts w:asciiTheme="minorHAnsi" w:hAnsiTheme="minorHAnsi" w:cstheme="majorHAnsi"/>
          <w:color w:val="1F3864" w:themeColor="accent1" w:themeShade="80"/>
          <w:sz w:val="24"/>
          <w:szCs w:val="24"/>
        </w:rPr>
        <w:t>)</w:t>
      </w:r>
      <w:r w:rsidR="00D36C78">
        <w:rPr>
          <w:rFonts w:asciiTheme="minorHAnsi" w:hAnsiTheme="minorHAnsi" w:cstheme="majorHAnsi"/>
          <w:color w:val="1F3864" w:themeColor="accent1" w:themeShade="80"/>
          <w:sz w:val="24"/>
          <w:szCs w:val="24"/>
        </w:rPr>
        <w:t xml:space="preserve"> and not reflective of the surrounding demographic population</w:t>
      </w:r>
      <w:r w:rsidRPr="002827DE">
        <w:rPr>
          <w:rFonts w:asciiTheme="minorHAnsi" w:hAnsiTheme="minorHAnsi" w:cstheme="majorHAnsi"/>
          <w:color w:val="1F3864" w:themeColor="accent1" w:themeShade="80"/>
          <w:sz w:val="24"/>
          <w:szCs w:val="24"/>
        </w:rPr>
        <w:t>;</w:t>
      </w:r>
    </w:p>
    <w:p w14:paraId="7AC32E8F" w14:textId="4A65A727" w:rsidR="00D44F28" w:rsidRPr="002827DE" w:rsidRDefault="001C6C57" w:rsidP="00D44F28">
      <w:pPr>
        <w:pStyle w:val="ListParagraph"/>
        <w:numPr>
          <w:ilvl w:val="0"/>
          <w:numId w:val="12"/>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Age-wise, there is a larger number of students who are 55 and older (17%) with the two largest “</w:t>
      </w:r>
      <w:r w:rsidR="00326E6F">
        <w:rPr>
          <w:rFonts w:asciiTheme="minorHAnsi" w:hAnsiTheme="minorHAnsi" w:cstheme="majorHAnsi"/>
          <w:color w:val="1F3864" w:themeColor="accent1" w:themeShade="80"/>
          <w:sz w:val="24"/>
          <w:szCs w:val="24"/>
        </w:rPr>
        <w:t>ranges</w:t>
      </w:r>
      <w:r w:rsidRPr="002827DE">
        <w:rPr>
          <w:rFonts w:asciiTheme="minorHAnsi" w:hAnsiTheme="minorHAnsi" w:cstheme="majorHAnsi"/>
          <w:color w:val="1F3864" w:themeColor="accent1" w:themeShade="80"/>
          <w:sz w:val="24"/>
          <w:szCs w:val="24"/>
        </w:rPr>
        <w:t xml:space="preserve">” </w:t>
      </w:r>
      <w:r w:rsidR="00006A36" w:rsidRPr="002827DE">
        <w:rPr>
          <w:rFonts w:asciiTheme="minorHAnsi" w:hAnsiTheme="minorHAnsi" w:cstheme="majorHAnsi"/>
          <w:color w:val="1F3864" w:themeColor="accent1" w:themeShade="80"/>
          <w:sz w:val="24"/>
          <w:szCs w:val="24"/>
        </w:rPr>
        <w:t>being students 40 years of age and above (34%)</w:t>
      </w:r>
      <w:r w:rsidR="00382B43" w:rsidRPr="002827DE">
        <w:rPr>
          <w:rFonts w:asciiTheme="minorHAnsi" w:hAnsiTheme="minorHAnsi" w:cstheme="majorHAnsi"/>
          <w:color w:val="1F3864" w:themeColor="accent1" w:themeShade="80"/>
          <w:sz w:val="24"/>
          <w:szCs w:val="24"/>
        </w:rPr>
        <w:t xml:space="preserve"> </w:t>
      </w:r>
      <w:r w:rsidR="00006A36" w:rsidRPr="002827DE">
        <w:rPr>
          <w:rFonts w:asciiTheme="minorHAnsi" w:hAnsiTheme="minorHAnsi" w:cstheme="majorHAnsi"/>
          <w:color w:val="1F3864" w:themeColor="accent1" w:themeShade="80"/>
          <w:sz w:val="24"/>
          <w:szCs w:val="24"/>
        </w:rPr>
        <w:t xml:space="preserve">and </w:t>
      </w:r>
      <w:r w:rsidRPr="002827DE">
        <w:rPr>
          <w:rFonts w:asciiTheme="minorHAnsi" w:hAnsiTheme="minorHAnsi" w:cstheme="majorHAnsi"/>
          <w:color w:val="1F3864" w:themeColor="accent1" w:themeShade="80"/>
          <w:sz w:val="24"/>
          <w:szCs w:val="24"/>
        </w:rPr>
        <w:t>students falling</w:t>
      </w:r>
      <w:r w:rsidR="00D44F28" w:rsidRPr="002827DE">
        <w:rPr>
          <w:rFonts w:asciiTheme="minorHAnsi" w:hAnsiTheme="minorHAnsi" w:cstheme="majorHAnsi"/>
          <w:color w:val="1F3864" w:themeColor="accent1" w:themeShade="80"/>
          <w:sz w:val="24"/>
          <w:szCs w:val="24"/>
        </w:rPr>
        <w:t xml:space="preserve"> </w:t>
      </w:r>
      <w:r w:rsidR="00382B43" w:rsidRPr="002827DE">
        <w:rPr>
          <w:rFonts w:asciiTheme="minorHAnsi" w:hAnsiTheme="minorHAnsi" w:cstheme="majorHAnsi"/>
          <w:color w:val="1F3864" w:themeColor="accent1" w:themeShade="80"/>
          <w:sz w:val="24"/>
          <w:szCs w:val="24"/>
        </w:rPr>
        <w:t>between</w:t>
      </w:r>
      <w:r w:rsidR="00006A36" w:rsidRPr="002827DE">
        <w:rPr>
          <w:rFonts w:asciiTheme="minorHAnsi" w:hAnsiTheme="minorHAnsi" w:cstheme="majorHAnsi"/>
          <w:color w:val="1F3864" w:themeColor="accent1" w:themeShade="80"/>
          <w:sz w:val="24"/>
          <w:szCs w:val="24"/>
        </w:rPr>
        <w:t xml:space="preserve"> the ages of 20-24 (21%).  Like the demographics for our region</w:t>
      </w:r>
      <w:r w:rsidR="00014E76" w:rsidRPr="002827DE">
        <w:rPr>
          <w:rFonts w:asciiTheme="minorHAnsi" w:hAnsiTheme="minorHAnsi" w:cstheme="majorHAnsi"/>
          <w:color w:val="1F3864" w:themeColor="accent1" w:themeShade="80"/>
          <w:sz w:val="24"/>
          <w:szCs w:val="24"/>
        </w:rPr>
        <w:t>, we serve at least 10% of each of the 7 “pockets” of age groupings;</w:t>
      </w:r>
    </w:p>
    <w:p w14:paraId="7DDF0C02" w14:textId="796AE37D" w:rsidR="00014E76" w:rsidRPr="002827DE" w:rsidRDefault="00014E76" w:rsidP="00D44F28">
      <w:pPr>
        <w:pStyle w:val="ListParagraph"/>
        <w:numPr>
          <w:ilvl w:val="0"/>
          <w:numId w:val="12"/>
        </w:num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The largest ethnic groups served include Asian (32%), Latino (30%), and White (22%).</w:t>
      </w:r>
    </w:p>
    <w:p w14:paraId="5906F502" w14:textId="77777777" w:rsidR="00471B29" w:rsidRPr="002827DE" w:rsidRDefault="00471B29" w:rsidP="00471B29">
      <w:pPr>
        <w:pStyle w:val="ListParagraph"/>
        <w:spacing w:after="0" w:line="240" w:lineRule="auto"/>
        <w:rPr>
          <w:rFonts w:asciiTheme="minorHAnsi" w:hAnsiTheme="minorHAnsi" w:cstheme="majorHAnsi"/>
          <w:color w:val="1F3864" w:themeColor="accent1" w:themeShade="80"/>
          <w:sz w:val="24"/>
          <w:szCs w:val="24"/>
        </w:rPr>
      </w:pPr>
    </w:p>
    <w:p w14:paraId="728583AD" w14:textId="77777777" w:rsidR="00471B29" w:rsidRPr="002827DE" w:rsidRDefault="00471B29" w:rsidP="00471B29">
      <w:pPr>
        <w:spacing w:after="0" w:line="240" w:lineRule="auto"/>
        <w:rPr>
          <w:rFonts w:asciiTheme="minorHAnsi" w:hAnsiTheme="minorHAnsi" w:cstheme="majorHAnsi"/>
          <w:color w:val="1F3864" w:themeColor="accent1" w:themeShade="80"/>
          <w:sz w:val="24"/>
          <w:szCs w:val="24"/>
        </w:rPr>
      </w:pPr>
    </w:p>
    <w:p w14:paraId="72A7D261" w14:textId="7AF23C51" w:rsidR="00471B29" w:rsidRPr="002827DE" w:rsidRDefault="00471B29" w:rsidP="00471B29">
      <w:pPr>
        <w:jc w:val="center"/>
        <w:rPr>
          <w:rFonts w:asciiTheme="minorHAnsi" w:hAnsiTheme="minorHAnsi"/>
          <w:b/>
          <w:color w:val="1F3864" w:themeColor="accent1" w:themeShade="80"/>
          <w:sz w:val="24"/>
          <w:szCs w:val="24"/>
        </w:rPr>
      </w:pPr>
      <w:r w:rsidRPr="002827DE">
        <w:rPr>
          <w:rFonts w:asciiTheme="minorHAnsi" w:hAnsiTheme="minorHAnsi"/>
          <w:b/>
          <w:color w:val="1F3864" w:themeColor="accent1" w:themeShade="80"/>
          <w:sz w:val="24"/>
          <w:szCs w:val="24"/>
        </w:rPr>
        <w:t>Data Results from In-House Data Dashboard</w:t>
      </w:r>
    </w:p>
    <w:p w14:paraId="40C92C54" w14:textId="77777777" w:rsidR="00D44F28" w:rsidRPr="002827DE" w:rsidRDefault="00D44F28" w:rsidP="00600745">
      <w:pPr>
        <w:spacing w:after="0" w:line="240" w:lineRule="auto"/>
        <w:rPr>
          <w:rFonts w:asciiTheme="minorHAnsi" w:hAnsiTheme="minorHAnsi" w:cstheme="majorHAnsi"/>
          <w:color w:val="1F3864" w:themeColor="accent1" w:themeShade="80"/>
          <w:sz w:val="24"/>
          <w:szCs w:val="24"/>
        </w:rPr>
      </w:pPr>
    </w:p>
    <w:p w14:paraId="6BC3BE68" w14:textId="4F0C4B14" w:rsidR="00A26AEE" w:rsidRPr="002827DE" w:rsidRDefault="00A26AEE" w:rsidP="00600745">
      <w:p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 xml:space="preserve">As part of our work </w:t>
      </w:r>
      <w:r w:rsidR="00471B29" w:rsidRPr="002827DE">
        <w:rPr>
          <w:rFonts w:asciiTheme="minorHAnsi" w:hAnsiTheme="minorHAnsi" w:cstheme="majorHAnsi"/>
          <w:color w:val="1F3864" w:themeColor="accent1" w:themeShade="80"/>
          <w:sz w:val="24"/>
          <w:szCs w:val="24"/>
        </w:rPr>
        <w:t xml:space="preserve">within </w:t>
      </w:r>
      <w:r w:rsidRPr="002827DE">
        <w:rPr>
          <w:rFonts w:asciiTheme="minorHAnsi" w:hAnsiTheme="minorHAnsi" w:cstheme="majorHAnsi"/>
          <w:color w:val="1F3864" w:themeColor="accent1" w:themeShade="80"/>
          <w:sz w:val="24"/>
          <w:szCs w:val="24"/>
        </w:rPr>
        <w:t>our Data Workgroup, we have created an in-house Data Dashboard.  This Dashboard uploads student data from the adult schools and matches the records for those who have transitioned to our two community colleges.  Foothill’s researchers then capture data based on questions asked by the workgroups, Leadership Board, and data subgroup.  There is much we can discover as we know college grades by quarter and date given and class title; we have their names so we can individually follow-up with students to survey them and have conversations about their experiences, needs and success.  We can potentially identify which classes have the greatest passing success and will be able to utilize this by having counselors work to create a “success schedule” for their first quarters</w:t>
      </w:r>
      <w:r w:rsidR="00EA2E91" w:rsidRPr="002827DE">
        <w:rPr>
          <w:rFonts w:asciiTheme="minorHAnsi" w:hAnsiTheme="minorHAnsi" w:cstheme="majorHAnsi"/>
          <w:color w:val="1F3864" w:themeColor="accent1" w:themeShade="80"/>
          <w:sz w:val="24"/>
          <w:szCs w:val="24"/>
        </w:rPr>
        <w:t xml:space="preserve"> after transition</w:t>
      </w:r>
      <w:r w:rsidRPr="002827DE">
        <w:rPr>
          <w:rFonts w:asciiTheme="minorHAnsi" w:hAnsiTheme="minorHAnsi" w:cstheme="majorHAnsi"/>
          <w:color w:val="1F3864" w:themeColor="accent1" w:themeShade="80"/>
          <w:sz w:val="24"/>
          <w:szCs w:val="24"/>
        </w:rPr>
        <w:t>.  And there is so much more that we could potentially do with this, but we need dedicated personnel and processes to make this happen.  And, we know we want to make this happen from what we already have learned.</w:t>
      </w:r>
    </w:p>
    <w:p w14:paraId="12E598AD" w14:textId="77777777" w:rsidR="00A26AEE" w:rsidRPr="002827DE" w:rsidRDefault="00A26AEE" w:rsidP="00600745">
      <w:pPr>
        <w:spacing w:after="0" w:line="240" w:lineRule="auto"/>
        <w:rPr>
          <w:rFonts w:asciiTheme="minorHAnsi" w:hAnsiTheme="minorHAnsi" w:cstheme="majorHAnsi"/>
          <w:color w:val="1F3864" w:themeColor="accent1" w:themeShade="80"/>
          <w:sz w:val="24"/>
          <w:szCs w:val="24"/>
        </w:rPr>
      </w:pPr>
    </w:p>
    <w:p w14:paraId="1D6246EE" w14:textId="65E9F178" w:rsidR="004A4B47" w:rsidRPr="002827DE" w:rsidRDefault="00A26AEE" w:rsidP="00600745">
      <w:pPr>
        <w:spacing w:after="0" w:line="240" w:lineRule="auto"/>
        <w:rPr>
          <w:rFonts w:asciiTheme="minorHAnsi" w:hAnsiTheme="minorHAnsi" w:cstheme="majorHAnsi"/>
          <w:color w:val="1F3864" w:themeColor="accent1" w:themeShade="80"/>
          <w:sz w:val="24"/>
          <w:szCs w:val="24"/>
        </w:rPr>
      </w:pPr>
      <w:r w:rsidRPr="002827DE">
        <w:rPr>
          <w:rFonts w:asciiTheme="minorHAnsi" w:hAnsiTheme="minorHAnsi" w:cstheme="majorHAnsi"/>
          <w:color w:val="1F3864" w:themeColor="accent1" w:themeShade="80"/>
          <w:sz w:val="24"/>
          <w:szCs w:val="24"/>
        </w:rPr>
        <w:t>For example, w</w:t>
      </w:r>
      <w:r w:rsidR="004A4B47" w:rsidRPr="002827DE">
        <w:rPr>
          <w:rFonts w:asciiTheme="minorHAnsi" w:hAnsiTheme="minorHAnsi" w:cstheme="majorHAnsi"/>
          <w:color w:val="1F3864" w:themeColor="accent1" w:themeShade="80"/>
          <w:sz w:val="24"/>
          <w:szCs w:val="24"/>
        </w:rPr>
        <w:t xml:space="preserve">e know that our population has specific characteristics for students who enroll in DeAnza </w:t>
      </w:r>
      <w:r w:rsidR="007F6AAD" w:rsidRPr="002827DE">
        <w:rPr>
          <w:rFonts w:asciiTheme="minorHAnsi" w:hAnsiTheme="minorHAnsi" w:cstheme="majorHAnsi"/>
          <w:color w:val="1F3864" w:themeColor="accent1" w:themeShade="80"/>
          <w:sz w:val="24"/>
          <w:szCs w:val="24"/>
        </w:rPr>
        <w:t>and</w:t>
      </w:r>
      <w:r w:rsidR="004A4B47" w:rsidRPr="002827DE">
        <w:rPr>
          <w:rFonts w:asciiTheme="minorHAnsi" w:hAnsiTheme="minorHAnsi" w:cstheme="majorHAnsi"/>
          <w:color w:val="1F3864" w:themeColor="accent1" w:themeShade="80"/>
          <w:sz w:val="24"/>
          <w:szCs w:val="24"/>
        </w:rPr>
        <w:t xml:space="preserve"> Foothill Community Colleges from one of our Adult Schools:</w:t>
      </w:r>
    </w:p>
    <w:p w14:paraId="5AE1662E" w14:textId="77777777" w:rsidR="00471B29" w:rsidRPr="002827DE" w:rsidRDefault="00471B29" w:rsidP="00600745">
      <w:pPr>
        <w:spacing w:after="0" w:line="240" w:lineRule="auto"/>
        <w:rPr>
          <w:rFonts w:asciiTheme="minorHAnsi" w:hAnsiTheme="minorHAnsi" w:cstheme="majorHAnsi"/>
          <w:color w:val="1F3864" w:themeColor="accent1" w:themeShade="80"/>
          <w:sz w:val="24"/>
          <w:szCs w:val="24"/>
        </w:rPr>
      </w:pPr>
    </w:p>
    <w:p w14:paraId="41C31258" w14:textId="59BCD864" w:rsidR="006B3774" w:rsidRPr="002827DE" w:rsidRDefault="006B3774" w:rsidP="00A6431B">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xml:space="preserve">The three adult schools have 1,288 students (from data submitted in 2016-2017 [2 schools] and 2017-2018 [3 schools] who have accrued </w:t>
      </w:r>
      <w:r w:rsidR="00CA1C33" w:rsidRPr="002827DE">
        <w:rPr>
          <w:rFonts w:ascii="Calibri" w:eastAsia="Times New Roman" w:hAnsi="Calibri" w:cs="Times New Roman"/>
          <w:color w:val="1F3864" w:themeColor="accent1" w:themeShade="80"/>
          <w:sz w:val="24"/>
          <w:szCs w:val="24"/>
        </w:rPr>
        <w:t>$</w:t>
      </w:r>
      <w:r w:rsidRPr="002827DE">
        <w:rPr>
          <w:rFonts w:ascii="Calibri" w:eastAsia="Times New Roman" w:hAnsi="Calibri" w:cs="Times New Roman"/>
          <w:color w:val="1F3864" w:themeColor="accent1" w:themeShade="80"/>
          <w:sz w:val="24"/>
          <w:szCs w:val="24"/>
        </w:rPr>
        <w:t xml:space="preserve">5,032,069 </w:t>
      </w:r>
      <w:r w:rsidR="00AA44AC" w:rsidRPr="002827DE">
        <w:rPr>
          <w:rFonts w:ascii="Calibri" w:eastAsia="Times New Roman" w:hAnsi="Calibri" w:cs="Times New Roman"/>
          <w:color w:val="1F3864" w:themeColor="accent1" w:themeShade="80"/>
          <w:sz w:val="24"/>
          <w:szCs w:val="24"/>
        </w:rPr>
        <w:t xml:space="preserve">in revenue </w:t>
      </w:r>
      <w:r w:rsidRPr="002827DE">
        <w:rPr>
          <w:rFonts w:ascii="Calibri" w:eastAsia="Times New Roman" w:hAnsi="Calibri" w:cs="Times New Roman"/>
          <w:color w:val="1F3864" w:themeColor="accent1" w:themeShade="80"/>
          <w:sz w:val="24"/>
          <w:szCs w:val="24"/>
        </w:rPr>
        <w:t>for the Foothill-De</w:t>
      </w:r>
      <w:r w:rsidR="007C411F" w:rsidRPr="002827DE">
        <w:rPr>
          <w:rFonts w:ascii="Calibri" w:eastAsia="Times New Roman" w:hAnsi="Calibri" w:cs="Times New Roman"/>
          <w:color w:val="1F3864" w:themeColor="accent1" w:themeShade="80"/>
          <w:sz w:val="24"/>
          <w:szCs w:val="24"/>
        </w:rPr>
        <w:t>A</w:t>
      </w:r>
      <w:r w:rsidRPr="002827DE">
        <w:rPr>
          <w:rFonts w:ascii="Calibri" w:eastAsia="Times New Roman" w:hAnsi="Calibri" w:cs="Times New Roman"/>
          <w:color w:val="1F3864" w:themeColor="accent1" w:themeShade="80"/>
          <w:sz w:val="24"/>
          <w:szCs w:val="24"/>
        </w:rPr>
        <w:t>nza College District</w:t>
      </w:r>
      <w:r w:rsidR="001E74C0" w:rsidRPr="002827DE">
        <w:rPr>
          <w:rStyle w:val="FootnoteReference"/>
          <w:rFonts w:ascii="Calibri" w:eastAsia="Times New Roman" w:hAnsi="Calibri" w:cs="Times New Roman"/>
          <w:color w:val="1F3864" w:themeColor="accent1" w:themeShade="80"/>
          <w:sz w:val="24"/>
          <w:szCs w:val="24"/>
        </w:rPr>
        <w:footnoteReference w:id="3"/>
      </w:r>
      <w:r w:rsidRPr="002827DE">
        <w:rPr>
          <w:rFonts w:ascii="Calibri" w:eastAsia="Times New Roman" w:hAnsi="Calibri" w:cs="Times New Roman"/>
          <w:color w:val="1F3864" w:themeColor="accent1" w:themeShade="80"/>
          <w:sz w:val="24"/>
          <w:szCs w:val="24"/>
        </w:rPr>
        <w:t>;</w:t>
      </w:r>
    </w:p>
    <w:p w14:paraId="68E09CA5" w14:textId="490DE87D" w:rsidR="006B3774" w:rsidRPr="002827DE" w:rsidRDefault="006B3774" w:rsidP="00A6431B">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lastRenderedPageBreak/>
        <w:t>Of the 1,</w:t>
      </w:r>
      <w:r w:rsidR="00326E6F">
        <w:rPr>
          <w:rFonts w:ascii="Calibri" w:eastAsia="Times New Roman" w:hAnsi="Calibri" w:cs="Times New Roman"/>
          <w:color w:val="1F3864" w:themeColor="accent1" w:themeShade="80"/>
          <w:sz w:val="24"/>
          <w:szCs w:val="24"/>
        </w:rPr>
        <w:t>288 students—252 went to credit-</w:t>
      </w:r>
      <w:r w:rsidRPr="002827DE">
        <w:rPr>
          <w:rFonts w:ascii="Calibri" w:eastAsia="Times New Roman" w:hAnsi="Calibri" w:cs="Times New Roman"/>
          <w:color w:val="1F3864" w:themeColor="accent1" w:themeShade="80"/>
          <w:sz w:val="24"/>
          <w:szCs w:val="24"/>
        </w:rPr>
        <w:t>bearing ESL and 161 to non-credit for a total of 32% of the student transitions;</w:t>
      </w:r>
    </w:p>
    <w:p w14:paraId="0DCC9590" w14:textId="7B3AF9B9" w:rsidR="00CD7EC9" w:rsidRPr="002827DE" w:rsidRDefault="006B3774" w:rsidP="00A6431B">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xml:space="preserve">The academic areas most enrolled include mathematics (310), psychology (206), English (199), Physical Education (147), Biology (146), History (144) and Anthropology (108);  </w:t>
      </w:r>
    </w:p>
    <w:p w14:paraId="1111B1C3" w14:textId="6DC2E41E" w:rsidR="007C411F" w:rsidRDefault="007C411F" w:rsidP="00A6431B">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xml:space="preserve">The </w:t>
      </w:r>
      <w:r w:rsidR="00337D4F" w:rsidRPr="002827DE">
        <w:rPr>
          <w:rFonts w:ascii="Calibri" w:eastAsia="Times New Roman" w:hAnsi="Calibri" w:cs="Times New Roman"/>
          <w:color w:val="1F3864" w:themeColor="accent1" w:themeShade="80"/>
          <w:sz w:val="24"/>
          <w:szCs w:val="24"/>
        </w:rPr>
        <w:t xml:space="preserve">CTE </w:t>
      </w:r>
      <w:r w:rsidRPr="002827DE">
        <w:rPr>
          <w:rFonts w:ascii="Calibri" w:eastAsia="Times New Roman" w:hAnsi="Calibri" w:cs="Times New Roman"/>
          <w:color w:val="1F3864" w:themeColor="accent1" w:themeShade="80"/>
          <w:sz w:val="24"/>
          <w:szCs w:val="24"/>
        </w:rPr>
        <w:t>programs most enrolled in</w:t>
      </w:r>
      <w:r w:rsidR="0092268F" w:rsidRPr="002827DE">
        <w:rPr>
          <w:rFonts w:ascii="Calibri" w:eastAsia="Times New Roman" w:hAnsi="Calibri" w:cs="Times New Roman"/>
          <w:color w:val="1F3864" w:themeColor="accent1" w:themeShade="80"/>
          <w:sz w:val="24"/>
          <w:szCs w:val="24"/>
        </w:rPr>
        <w:t xml:space="preserve"> for 2017-2018 and the start of 2018-2019 include</w:t>
      </w:r>
      <w:r w:rsidRPr="002827DE">
        <w:rPr>
          <w:rFonts w:ascii="Calibri" w:eastAsia="Times New Roman" w:hAnsi="Calibri" w:cs="Times New Roman"/>
          <w:color w:val="1F3864" w:themeColor="accent1" w:themeShade="80"/>
          <w:sz w:val="24"/>
          <w:szCs w:val="24"/>
        </w:rPr>
        <w:t xml:space="preserve"> Accounting</w:t>
      </w:r>
      <w:r w:rsidR="001E74C0" w:rsidRPr="002827DE">
        <w:rPr>
          <w:rFonts w:ascii="Calibri" w:eastAsia="Times New Roman" w:hAnsi="Calibri" w:cs="Times New Roman"/>
          <w:color w:val="1F3864" w:themeColor="accent1" w:themeShade="80"/>
          <w:sz w:val="24"/>
          <w:szCs w:val="24"/>
        </w:rPr>
        <w:t xml:space="preserve"> (63)</w:t>
      </w:r>
      <w:r w:rsidRPr="002827DE">
        <w:rPr>
          <w:rFonts w:ascii="Calibri" w:eastAsia="Times New Roman" w:hAnsi="Calibri" w:cs="Times New Roman"/>
          <w:color w:val="1F3864" w:themeColor="accent1" w:themeShade="80"/>
          <w:sz w:val="24"/>
          <w:szCs w:val="24"/>
        </w:rPr>
        <w:t xml:space="preserve">, </w:t>
      </w:r>
      <w:r w:rsidR="00337D4F" w:rsidRPr="002827DE">
        <w:rPr>
          <w:rFonts w:ascii="Calibri" w:eastAsia="Times New Roman" w:hAnsi="Calibri" w:cs="Times New Roman"/>
          <w:color w:val="1F3864" w:themeColor="accent1" w:themeShade="80"/>
          <w:sz w:val="24"/>
          <w:szCs w:val="24"/>
        </w:rPr>
        <w:t>Child Development (72), numerous health industry professions:</w:t>
      </w:r>
    </w:p>
    <w:p w14:paraId="45E7F41F" w14:textId="77777777" w:rsidR="002827DE" w:rsidRPr="002827DE" w:rsidRDefault="002827DE" w:rsidP="002827DE">
      <w:pPr>
        <w:pStyle w:val="ListParagraph"/>
        <w:spacing w:after="0" w:line="240" w:lineRule="auto"/>
        <w:rPr>
          <w:rFonts w:ascii="Calibri" w:eastAsia="Times New Roman" w:hAnsi="Calibri" w:cs="Times New Roman"/>
          <w:color w:val="1F3864" w:themeColor="accent1" w:themeShade="80"/>
          <w:sz w:val="24"/>
          <w:szCs w:val="24"/>
        </w:rPr>
      </w:pPr>
    </w:p>
    <w:p w14:paraId="6E707E21" w14:textId="77777777" w:rsidR="00AE6BF3" w:rsidRDefault="00AE6BF3" w:rsidP="00AE6BF3">
      <w:pPr>
        <w:pStyle w:val="ListParagraph"/>
        <w:spacing w:after="0" w:line="240" w:lineRule="auto"/>
        <w:rPr>
          <w:rFonts w:ascii="Calibri" w:eastAsia="Times New Roman" w:hAnsi="Calibri" w:cs="Times New Roman"/>
          <w:color w:val="1F3864" w:themeColor="accent1" w:themeShade="80"/>
          <w:sz w:val="20"/>
          <w:szCs w:val="20"/>
        </w:rPr>
      </w:pPr>
    </w:p>
    <w:p w14:paraId="7E07011E" w14:textId="312C9168" w:rsidR="00337D4F" w:rsidRDefault="00337D4F" w:rsidP="00337D4F">
      <w:pPr>
        <w:pStyle w:val="ListParagraph"/>
        <w:spacing w:after="0" w:line="240" w:lineRule="auto"/>
        <w:rPr>
          <w:rFonts w:ascii="Calibri" w:eastAsia="Times New Roman" w:hAnsi="Calibri" w:cs="Times New Roman"/>
          <w:color w:val="1F3864" w:themeColor="accent1" w:themeShade="80"/>
          <w:sz w:val="20"/>
          <w:szCs w:val="20"/>
        </w:rPr>
      </w:pPr>
      <w:r>
        <w:rPr>
          <w:rFonts w:ascii="Calibri" w:eastAsia="Times New Roman" w:hAnsi="Calibri" w:cs="Times New Roman"/>
          <w:noProof/>
          <w:color w:val="1F3864" w:themeColor="accent1" w:themeShade="80"/>
          <w:sz w:val="20"/>
          <w:szCs w:val="20"/>
        </w:rPr>
        <w:drawing>
          <wp:inline distT="0" distB="0" distL="0" distR="0" wp14:anchorId="15D31175" wp14:editId="21E1453D">
            <wp:extent cx="5143500" cy="3220932"/>
            <wp:effectExtent l="0" t="0" r="12700" b="304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C024727" w14:textId="77777777" w:rsidR="00AE6BF3" w:rsidRDefault="00AE6BF3" w:rsidP="00337D4F">
      <w:pPr>
        <w:pStyle w:val="ListParagraph"/>
        <w:spacing w:after="0" w:line="240" w:lineRule="auto"/>
        <w:rPr>
          <w:rFonts w:ascii="Calibri" w:eastAsia="Times New Roman" w:hAnsi="Calibri" w:cs="Times New Roman"/>
          <w:color w:val="1F3864" w:themeColor="accent1" w:themeShade="80"/>
          <w:sz w:val="20"/>
          <w:szCs w:val="20"/>
        </w:rPr>
      </w:pPr>
    </w:p>
    <w:p w14:paraId="25E30B58" w14:textId="77777777" w:rsidR="00386339" w:rsidRDefault="00386339" w:rsidP="007C411F">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Through our data, we can also see that one adult school (MVLA) has significantly higher transitioned students into the medical classes and programs:</w:t>
      </w:r>
    </w:p>
    <w:p w14:paraId="749D4C70" w14:textId="77777777" w:rsidR="00D11A3A" w:rsidRDefault="00D11A3A" w:rsidP="00D11A3A">
      <w:pPr>
        <w:pStyle w:val="ListParagraph"/>
        <w:spacing w:after="0" w:line="240" w:lineRule="auto"/>
        <w:rPr>
          <w:rFonts w:ascii="Calibri" w:eastAsia="Times New Roman" w:hAnsi="Calibri" w:cs="Times New Roman"/>
          <w:color w:val="1F3864" w:themeColor="accent1" w:themeShade="80"/>
          <w:sz w:val="24"/>
          <w:szCs w:val="24"/>
        </w:rPr>
      </w:pPr>
    </w:p>
    <w:p w14:paraId="47D6097C" w14:textId="4113435B" w:rsidR="00F94103" w:rsidRDefault="00D11A3A" w:rsidP="00F94103">
      <w:pPr>
        <w:spacing w:after="0" w:line="240" w:lineRule="auto"/>
        <w:rPr>
          <w:rFonts w:ascii="Calibri" w:eastAsia="Times New Roman" w:hAnsi="Calibri" w:cs="Times New Roman"/>
          <w:color w:val="1F3864" w:themeColor="accent1" w:themeShade="80"/>
          <w:sz w:val="24"/>
          <w:szCs w:val="24"/>
        </w:rPr>
      </w:pPr>
      <w:r w:rsidRPr="00D11A3A">
        <w:rPr>
          <w:rFonts w:ascii="Calibri" w:eastAsia="Times New Roman" w:hAnsi="Calibri" w:cs="Times New Roman"/>
          <w:noProof/>
          <w:color w:val="1F3864" w:themeColor="accent1" w:themeShade="80"/>
          <w:sz w:val="24"/>
          <w:szCs w:val="24"/>
        </w:rPr>
        <w:lastRenderedPageBreak/>
        <w:drawing>
          <wp:inline distT="0" distB="0" distL="0" distR="0" wp14:anchorId="1B0BCD75" wp14:editId="384EDBC7">
            <wp:extent cx="5486400" cy="3200400"/>
            <wp:effectExtent l="0" t="0" r="25400" b="2540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AA2FA0B" w14:textId="7BD8A3DD" w:rsidR="00F94103" w:rsidRPr="00F94103" w:rsidRDefault="00F94103" w:rsidP="00F94103">
      <w:pPr>
        <w:spacing w:after="0" w:line="240" w:lineRule="auto"/>
        <w:rPr>
          <w:rFonts w:ascii="Calibri" w:eastAsia="Times New Roman" w:hAnsi="Calibri" w:cs="Times New Roman"/>
          <w:color w:val="1F3864" w:themeColor="accent1" w:themeShade="80"/>
          <w:sz w:val="24"/>
          <w:szCs w:val="24"/>
        </w:rPr>
      </w:pPr>
    </w:p>
    <w:p w14:paraId="63F24386" w14:textId="12BA9453" w:rsidR="00386339" w:rsidRPr="00D11A3A" w:rsidRDefault="00386339" w:rsidP="00D11A3A">
      <w:pPr>
        <w:spacing w:after="0" w:line="240" w:lineRule="auto"/>
        <w:rPr>
          <w:rFonts w:ascii="Calibri" w:eastAsia="Times New Roman" w:hAnsi="Calibri" w:cs="Times New Roman"/>
          <w:color w:val="1F3864" w:themeColor="accent1" w:themeShade="80"/>
          <w:sz w:val="20"/>
          <w:szCs w:val="20"/>
        </w:rPr>
      </w:pPr>
    </w:p>
    <w:p w14:paraId="31A87013" w14:textId="77777777" w:rsidR="00AE6BF3" w:rsidRDefault="00AE6BF3" w:rsidP="00386339">
      <w:pPr>
        <w:pStyle w:val="ListParagraph"/>
        <w:spacing w:after="0" w:line="240" w:lineRule="auto"/>
        <w:rPr>
          <w:rFonts w:ascii="Calibri" w:eastAsia="Times New Roman" w:hAnsi="Calibri" w:cs="Times New Roman"/>
          <w:color w:val="1F3864" w:themeColor="accent1" w:themeShade="80"/>
          <w:sz w:val="20"/>
          <w:szCs w:val="20"/>
        </w:rPr>
      </w:pPr>
    </w:p>
    <w:p w14:paraId="0DB264FF" w14:textId="21A330A7" w:rsidR="00C113ED" w:rsidRPr="002827DE" w:rsidRDefault="006B3774" w:rsidP="00C113ED">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xml:space="preserve">Similar to the </w:t>
      </w:r>
      <w:r w:rsidR="00CA1C33" w:rsidRPr="002827DE">
        <w:rPr>
          <w:rFonts w:ascii="Calibri" w:eastAsia="Times New Roman" w:hAnsi="Calibri" w:cs="Times New Roman"/>
          <w:color w:val="1F3864" w:themeColor="accent1" w:themeShade="80"/>
          <w:sz w:val="24"/>
          <w:szCs w:val="24"/>
        </w:rPr>
        <w:t>Launchboard data</w:t>
      </w:r>
      <w:r w:rsidRPr="002827DE">
        <w:rPr>
          <w:rFonts w:ascii="Calibri" w:eastAsia="Times New Roman" w:hAnsi="Calibri" w:cs="Times New Roman"/>
          <w:color w:val="1F3864" w:themeColor="accent1" w:themeShade="80"/>
          <w:sz w:val="24"/>
          <w:szCs w:val="24"/>
        </w:rPr>
        <w:t>, more women than men transition</w:t>
      </w:r>
      <w:r w:rsidR="00386339" w:rsidRPr="002827DE">
        <w:rPr>
          <w:rFonts w:ascii="Calibri" w:eastAsia="Times New Roman" w:hAnsi="Calibri" w:cs="Times New Roman"/>
          <w:color w:val="1F3864" w:themeColor="accent1" w:themeShade="80"/>
          <w:sz w:val="24"/>
          <w:szCs w:val="24"/>
        </w:rPr>
        <w:t xml:space="preserve"> </w:t>
      </w:r>
      <w:r w:rsidR="00C21FC6" w:rsidRPr="002827DE">
        <w:rPr>
          <w:rFonts w:ascii="Calibri" w:eastAsia="Times New Roman" w:hAnsi="Calibri" w:cs="Times New Roman"/>
          <w:color w:val="1F3864" w:themeColor="accent1" w:themeShade="80"/>
          <w:sz w:val="24"/>
          <w:szCs w:val="24"/>
        </w:rPr>
        <w:t xml:space="preserve">to Foothill and DeAnza Colleges </w:t>
      </w:r>
      <w:r w:rsidRPr="002827DE">
        <w:rPr>
          <w:rFonts w:ascii="Calibri" w:eastAsia="Times New Roman" w:hAnsi="Calibri" w:cs="Times New Roman"/>
          <w:color w:val="1F3864" w:themeColor="accent1" w:themeShade="80"/>
          <w:sz w:val="24"/>
          <w:szCs w:val="24"/>
        </w:rPr>
        <w:t>at a 3:1 ratio;</w:t>
      </w:r>
    </w:p>
    <w:p w14:paraId="7056A9B0" w14:textId="5D0F61E1" w:rsidR="007C411F" w:rsidRPr="002827DE" w:rsidRDefault="00AE6BF3" w:rsidP="007C411F">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The age of students who transition to the DeAnza and Foothill Colleges from the three adult schools varies by category:</w:t>
      </w:r>
    </w:p>
    <w:p w14:paraId="4F1571F5" w14:textId="77777777" w:rsidR="00C0506F" w:rsidRDefault="00C0506F" w:rsidP="00C0506F">
      <w:pPr>
        <w:pStyle w:val="ListParagraph"/>
        <w:spacing w:after="0" w:line="240" w:lineRule="auto"/>
        <w:rPr>
          <w:rFonts w:ascii="Calibri" w:eastAsia="Times New Roman" w:hAnsi="Calibri" w:cs="Times New Roman"/>
          <w:color w:val="1F3864" w:themeColor="accent1" w:themeShade="80"/>
          <w:sz w:val="20"/>
          <w:szCs w:val="20"/>
        </w:rPr>
      </w:pPr>
    </w:p>
    <w:p w14:paraId="69AA8DEA" w14:textId="30E18CB6" w:rsidR="00AE6BF3" w:rsidRDefault="0039248E" w:rsidP="00AE6BF3">
      <w:pPr>
        <w:pStyle w:val="ListParagraph"/>
        <w:spacing w:after="0" w:line="240" w:lineRule="auto"/>
        <w:rPr>
          <w:rFonts w:ascii="Calibri" w:eastAsia="Times New Roman" w:hAnsi="Calibri" w:cs="Times New Roman"/>
          <w:color w:val="1F3864" w:themeColor="accent1" w:themeShade="80"/>
          <w:sz w:val="20"/>
          <w:szCs w:val="20"/>
        </w:rPr>
      </w:pPr>
      <w:r>
        <w:rPr>
          <w:rFonts w:ascii="Calibri" w:eastAsia="Times New Roman" w:hAnsi="Calibri" w:cs="Times New Roman"/>
          <w:noProof/>
          <w:color w:val="1F3864" w:themeColor="accent1" w:themeShade="80"/>
          <w:sz w:val="20"/>
          <w:szCs w:val="20"/>
        </w:rPr>
        <w:drawing>
          <wp:inline distT="0" distB="0" distL="0" distR="0" wp14:anchorId="57DFF6DC" wp14:editId="518A64AA">
            <wp:extent cx="4686300" cy="2501265"/>
            <wp:effectExtent l="0" t="0" r="12700" b="133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05F44C1" w14:textId="77777777" w:rsidR="000D2AF7" w:rsidRPr="00AE6BF3" w:rsidRDefault="000D2AF7" w:rsidP="00AE6BF3">
      <w:pPr>
        <w:pStyle w:val="ListParagraph"/>
        <w:spacing w:after="0" w:line="240" w:lineRule="auto"/>
        <w:rPr>
          <w:rFonts w:ascii="Calibri" w:eastAsia="Times New Roman" w:hAnsi="Calibri" w:cs="Times New Roman"/>
          <w:color w:val="1F3864" w:themeColor="accent1" w:themeShade="80"/>
          <w:sz w:val="20"/>
          <w:szCs w:val="20"/>
        </w:rPr>
      </w:pPr>
    </w:p>
    <w:p w14:paraId="47B8B0AF" w14:textId="5DD5FE7E" w:rsidR="007C411F" w:rsidRPr="002827DE" w:rsidRDefault="003E06C6" w:rsidP="007C411F">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xml:space="preserve">Ethnicity for transitioned students is similar </w:t>
      </w:r>
      <w:r w:rsidRPr="000C0327">
        <w:rPr>
          <w:rFonts w:ascii="Calibri" w:eastAsia="Times New Roman" w:hAnsi="Calibri" w:cs="Times New Roman"/>
          <w:color w:val="1F3864" w:themeColor="accent1" w:themeShade="80"/>
          <w:sz w:val="24"/>
          <w:szCs w:val="24"/>
        </w:rPr>
        <w:t>to</w:t>
      </w:r>
      <w:r w:rsidRPr="002827DE">
        <w:rPr>
          <w:rFonts w:ascii="Calibri" w:eastAsia="Times New Roman" w:hAnsi="Calibri" w:cs="Times New Roman"/>
          <w:color w:val="1F3864" w:themeColor="accent1" w:themeShade="80"/>
          <w:sz w:val="24"/>
          <w:szCs w:val="24"/>
        </w:rPr>
        <w:t xml:space="preserve"> </w:t>
      </w:r>
      <w:r w:rsidR="002C2484" w:rsidRPr="002827DE">
        <w:rPr>
          <w:rFonts w:ascii="Calibri" w:eastAsia="Times New Roman" w:hAnsi="Calibri" w:cs="Times New Roman"/>
          <w:color w:val="1F3864" w:themeColor="accent1" w:themeShade="80"/>
          <w:sz w:val="24"/>
          <w:szCs w:val="24"/>
        </w:rPr>
        <w:t>the adult school ethnic breakdowns with the three largest group</w:t>
      </w:r>
      <w:r w:rsidR="00AE6A5E">
        <w:rPr>
          <w:rFonts w:ascii="Calibri" w:eastAsia="Times New Roman" w:hAnsi="Calibri" w:cs="Times New Roman"/>
          <w:color w:val="1F3864" w:themeColor="accent1" w:themeShade="80"/>
          <w:sz w:val="24"/>
          <w:szCs w:val="24"/>
        </w:rPr>
        <w:t>s</w:t>
      </w:r>
      <w:r w:rsidR="002C2484" w:rsidRPr="002827DE">
        <w:rPr>
          <w:rFonts w:ascii="Calibri" w:eastAsia="Times New Roman" w:hAnsi="Calibri" w:cs="Times New Roman"/>
          <w:color w:val="1F3864" w:themeColor="accent1" w:themeShade="80"/>
          <w:sz w:val="24"/>
          <w:szCs w:val="24"/>
        </w:rPr>
        <w:t xml:space="preserve"> being </w:t>
      </w:r>
      <w:r w:rsidRPr="002827DE">
        <w:rPr>
          <w:rFonts w:ascii="Calibri" w:eastAsia="Times New Roman" w:hAnsi="Calibri" w:cs="Times New Roman"/>
          <w:color w:val="1F3864" w:themeColor="accent1" w:themeShade="80"/>
          <w:sz w:val="24"/>
          <w:szCs w:val="24"/>
        </w:rPr>
        <w:t>Asian</w:t>
      </w:r>
      <w:r w:rsidR="002C2484" w:rsidRPr="002827DE">
        <w:rPr>
          <w:rFonts w:ascii="Calibri" w:eastAsia="Times New Roman" w:hAnsi="Calibri" w:cs="Times New Roman"/>
          <w:color w:val="1F3864" w:themeColor="accent1" w:themeShade="80"/>
          <w:sz w:val="24"/>
          <w:szCs w:val="24"/>
        </w:rPr>
        <w:t xml:space="preserve"> (31%)</w:t>
      </w:r>
      <w:r w:rsidRPr="002827DE">
        <w:rPr>
          <w:rFonts w:ascii="Calibri" w:eastAsia="Times New Roman" w:hAnsi="Calibri" w:cs="Times New Roman"/>
          <w:color w:val="1F3864" w:themeColor="accent1" w:themeShade="80"/>
          <w:sz w:val="24"/>
          <w:szCs w:val="24"/>
        </w:rPr>
        <w:t xml:space="preserve">, </w:t>
      </w:r>
      <w:r w:rsidR="0015257F" w:rsidRPr="002827DE">
        <w:rPr>
          <w:rFonts w:ascii="Calibri" w:eastAsia="Times New Roman" w:hAnsi="Calibri" w:cs="Times New Roman"/>
          <w:color w:val="1F3864" w:themeColor="accent1" w:themeShade="80"/>
          <w:sz w:val="24"/>
          <w:szCs w:val="24"/>
        </w:rPr>
        <w:t>Latino</w:t>
      </w:r>
      <w:r w:rsidR="002C2484" w:rsidRPr="002827DE">
        <w:rPr>
          <w:rFonts w:ascii="Calibri" w:eastAsia="Times New Roman" w:hAnsi="Calibri" w:cs="Times New Roman"/>
          <w:color w:val="1F3864" w:themeColor="accent1" w:themeShade="80"/>
          <w:sz w:val="24"/>
          <w:szCs w:val="24"/>
        </w:rPr>
        <w:t xml:space="preserve"> (31%)</w:t>
      </w:r>
      <w:r w:rsidR="0015257F" w:rsidRPr="002827DE">
        <w:rPr>
          <w:rFonts w:ascii="Calibri" w:eastAsia="Times New Roman" w:hAnsi="Calibri" w:cs="Times New Roman"/>
          <w:color w:val="1F3864" w:themeColor="accent1" w:themeShade="80"/>
          <w:sz w:val="24"/>
          <w:szCs w:val="24"/>
        </w:rPr>
        <w:t xml:space="preserve"> and White</w:t>
      </w:r>
      <w:r w:rsidR="002C2484" w:rsidRPr="002827DE">
        <w:rPr>
          <w:rFonts w:ascii="Calibri" w:eastAsia="Times New Roman" w:hAnsi="Calibri" w:cs="Times New Roman"/>
          <w:color w:val="1F3864" w:themeColor="accent1" w:themeShade="80"/>
          <w:sz w:val="24"/>
          <w:szCs w:val="24"/>
        </w:rPr>
        <w:t xml:space="preserve"> (28%)</w:t>
      </w:r>
      <w:proofErr w:type="gramStart"/>
      <w:r w:rsidR="0015257F" w:rsidRPr="002827DE">
        <w:rPr>
          <w:rFonts w:ascii="Calibri" w:eastAsia="Times New Roman" w:hAnsi="Calibri" w:cs="Times New Roman"/>
          <w:color w:val="1F3864" w:themeColor="accent1" w:themeShade="80"/>
          <w:sz w:val="24"/>
          <w:szCs w:val="24"/>
        </w:rPr>
        <w:t>;</w:t>
      </w:r>
      <w:proofErr w:type="gramEnd"/>
    </w:p>
    <w:p w14:paraId="1419C788" w14:textId="25A929F1" w:rsidR="00471B29" w:rsidRPr="002827DE" w:rsidRDefault="00471B29" w:rsidP="007C411F">
      <w:pPr>
        <w:pStyle w:val="ListParagraph"/>
        <w:numPr>
          <w:ilvl w:val="0"/>
          <w:numId w:val="9"/>
        </w:num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lastRenderedPageBreak/>
        <w:t xml:space="preserve">We also are beginning to </w:t>
      </w:r>
      <w:r w:rsidR="002C2484" w:rsidRPr="002827DE">
        <w:rPr>
          <w:rFonts w:ascii="Calibri" w:eastAsia="Times New Roman" w:hAnsi="Calibri" w:cs="Times New Roman"/>
          <w:color w:val="1F3864" w:themeColor="accent1" w:themeShade="80"/>
          <w:sz w:val="24"/>
          <w:szCs w:val="24"/>
        </w:rPr>
        <w:t>dive</w:t>
      </w:r>
      <w:r w:rsidRPr="002827DE">
        <w:rPr>
          <w:rFonts w:ascii="Calibri" w:eastAsia="Times New Roman" w:hAnsi="Calibri" w:cs="Times New Roman"/>
          <w:color w:val="1F3864" w:themeColor="accent1" w:themeShade="80"/>
          <w:sz w:val="24"/>
          <w:szCs w:val="24"/>
        </w:rPr>
        <w:t xml:space="preserve"> deeper into course-taking patterns and success rate</w:t>
      </w:r>
      <w:r w:rsidR="002C2484" w:rsidRPr="002827DE">
        <w:rPr>
          <w:rFonts w:ascii="Calibri" w:eastAsia="Times New Roman" w:hAnsi="Calibri" w:cs="Times New Roman"/>
          <w:color w:val="1F3864" w:themeColor="accent1" w:themeShade="80"/>
          <w:sz w:val="24"/>
          <w:szCs w:val="24"/>
        </w:rPr>
        <w:t>s,</w:t>
      </w:r>
      <w:r w:rsidRPr="002827DE">
        <w:rPr>
          <w:rFonts w:ascii="Calibri" w:eastAsia="Times New Roman" w:hAnsi="Calibri" w:cs="Times New Roman"/>
          <w:color w:val="1F3864" w:themeColor="accent1" w:themeShade="80"/>
          <w:sz w:val="24"/>
          <w:szCs w:val="24"/>
        </w:rPr>
        <w:t xml:space="preserve"> which you can find in section 2.3, Community Need</w:t>
      </w:r>
      <w:r w:rsidR="00EA2E91" w:rsidRPr="002827DE">
        <w:rPr>
          <w:rFonts w:ascii="Calibri" w:eastAsia="Times New Roman" w:hAnsi="Calibri" w:cs="Times New Roman"/>
          <w:color w:val="1F3864" w:themeColor="accent1" w:themeShade="80"/>
          <w:sz w:val="24"/>
          <w:szCs w:val="24"/>
        </w:rPr>
        <w:t xml:space="preserve"> and Customers</w:t>
      </w:r>
      <w:r w:rsidRPr="002827DE">
        <w:rPr>
          <w:rFonts w:ascii="Calibri" w:eastAsia="Times New Roman" w:hAnsi="Calibri" w:cs="Times New Roman"/>
          <w:color w:val="1F3864" w:themeColor="accent1" w:themeShade="80"/>
          <w:sz w:val="24"/>
          <w:szCs w:val="24"/>
        </w:rPr>
        <w:t>.</w:t>
      </w:r>
    </w:p>
    <w:p w14:paraId="24C4E6A5" w14:textId="77777777" w:rsidR="00C113ED" w:rsidRPr="002827DE" w:rsidRDefault="00C113ED" w:rsidP="000D2AF7">
      <w:pPr>
        <w:spacing w:after="0" w:line="240" w:lineRule="auto"/>
        <w:rPr>
          <w:rFonts w:ascii="Calibri" w:eastAsia="Times New Roman" w:hAnsi="Calibri" w:cs="Times New Roman"/>
          <w:color w:val="1F3864" w:themeColor="accent1" w:themeShade="80"/>
          <w:sz w:val="24"/>
          <w:szCs w:val="24"/>
        </w:rPr>
      </w:pPr>
    </w:p>
    <w:p w14:paraId="0C851E21" w14:textId="0DC4197E" w:rsidR="000D2AF7" w:rsidRPr="002827DE" w:rsidRDefault="000D2AF7" w:rsidP="000D2AF7">
      <w:pPr>
        <w:spacing w:after="0" w:line="240" w:lineRule="auto"/>
        <w:jc w:val="center"/>
        <w:rPr>
          <w:rFonts w:ascii="Calibri" w:eastAsia="Times New Roman" w:hAnsi="Calibri" w:cs="Times New Roman"/>
          <w:b/>
          <w:color w:val="1F3864" w:themeColor="accent1" w:themeShade="80"/>
          <w:sz w:val="24"/>
          <w:szCs w:val="24"/>
        </w:rPr>
      </w:pPr>
      <w:r w:rsidRPr="002827DE">
        <w:rPr>
          <w:rFonts w:ascii="Calibri" w:eastAsia="Times New Roman" w:hAnsi="Calibri" w:cs="Times New Roman"/>
          <w:b/>
          <w:color w:val="1F3864" w:themeColor="accent1" w:themeShade="80"/>
          <w:sz w:val="24"/>
          <w:szCs w:val="24"/>
        </w:rPr>
        <w:t xml:space="preserve">Clarifying Expectations of Leadership Roles and Accompanying Responsibilities </w:t>
      </w:r>
    </w:p>
    <w:p w14:paraId="69E192A8" w14:textId="77777777" w:rsidR="000D2AF7" w:rsidRPr="002827DE" w:rsidRDefault="000D2AF7" w:rsidP="000D2AF7">
      <w:pPr>
        <w:spacing w:after="0" w:line="240" w:lineRule="auto"/>
        <w:jc w:val="center"/>
        <w:rPr>
          <w:rFonts w:ascii="Calibri" w:eastAsia="Times New Roman" w:hAnsi="Calibri" w:cs="Times New Roman"/>
          <w:b/>
          <w:color w:val="1F3864" w:themeColor="accent1" w:themeShade="80"/>
          <w:sz w:val="24"/>
          <w:szCs w:val="24"/>
        </w:rPr>
      </w:pPr>
    </w:p>
    <w:p w14:paraId="37129DD0" w14:textId="105FC431" w:rsidR="000D2AF7" w:rsidRPr="002827DE" w:rsidRDefault="000D2AF7" w:rsidP="000D2AF7">
      <w:p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Our consortium has grown and expanded the breadth and depth of its work over the prior four years.  This expansion moved to the point of needing to rethink consortium leadership.  The leadership responsibilities and facilitation of action items and the growing scope of the work became more intensive than the Leadership Board’s capacity.  As a result, the Leadership Board chose to hire a consortium Director who handles accountability tasks, facilitation of meetings, outreach, workgroup co-chair mentoring, action-plan oversight, marketing, career pathways, goal implementation and more.  This position began January 1</w:t>
      </w:r>
      <w:r w:rsidRPr="002827DE">
        <w:rPr>
          <w:rFonts w:ascii="Calibri" w:eastAsia="Times New Roman" w:hAnsi="Calibri" w:cs="Times New Roman"/>
          <w:color w:val="1F3864" w:themeColor="accent1" w:themeShade="80"/>
          <w:sz w:val="24"/>
          <w:szCs w:val="24"/>
          <w:vertAlign w:val="superscript"/>
        </w:rPr>
        <w:t>st</w:t>
      </w:r>
      <w:r w:rsidRPr="002827DE">
        <w:rPr>
          <w:rFonts w:ascii="Calibri" w:eastAsia="Times New Roman" w:hAnsi="Calibri" w:cs="Times New Roman"/>
          <w:color w:val="1F3864" w:themeColor="accent1" w:themeShade="80"/>
          <w:sz w:val="24"/>
          <w:szCs w:val="24"/>
        </w:rPr>
        <w:t>, 2019.</w:t>
      </w:r>
    </w:p>
    <w:p w14:paraId="44F63CE1" w14:textId="77777777" w:rsidR="000D2AF7" w:rsidRPr="002827DE" w:rsidRDefault="000D2AF7" w:rsidP="000D2AF7">
      <w:pPr>
        <w:spacing w:after="0" w:line="240" w:lineRule="auto"/>
        <w:rPr>
          <w:rFonts w:ascii="Calibri" w:eastAsia="Times New Roman" w:hAnsi="Calibri" w:cs="Times New Roman"/>
          <w:color w:val="1F3864" w:themeColor="accent1" w:themeShade="80"/>
          <w:sz w:val="24"/>
          <w:szCs w:val="24"/>
        </w:rPr>
      </w:pPr>
    </w:p>
    <w:p w14:paraId="402FE791" w14:textId="4AB78D67" w:rsidR="00C0506F" w:rsidRPr="002827DE" w:rsidRDefault="000D2AF7" w:rsidP="000D2AF7">
      <w:p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Hiring the Director also meant reflecting on, and refiguring, the roles and responsibilities of the Leadership Board.  Previously, many Leadership Board members facilitated workgroups.  This role has changed to expand non-Board members</w:t>
      </w:r>
      <w:r w:rsidR="00C0506F" w:rsidRPr="002827DE">
        <w:rPr>
          <w:rFonts w:ascii="Calibri" w:eastAsia="Times New Roman" w:hAnsi="Calibri" w:cs="Times New Roman"/>
          <w:color w:val="1F3864" w:themeColor="accent1" w:themeShade="80"/>
          <w:sz w:val="24"/>
          <w:szCs w:val="24"/>
        </w:rPr>
        <w:t xml:space="preserve"> as chairs of the workgroups and thus enabling the leadership Board to increase their role of guidance, something all workgroups cited as a need in January and February of 2019; the overall effect will be to help the workgroups be more successful and in a more timely manner with more guidance for 2019-2022.  In addition, interface between workgroup members/chairs and the Leadership Board at monthly Board meetings is already occurring as a result of this change.</w:t>
      </w:r>
    </w:p>
    <w:p w14:paraId="7EB88181" w14:textId="77777777" w:rsidR="00C0506F" w:rsidRPr="002827DE" w:rsidRDefault="00C0506F" w:rsidP="000D2AF7">
      <w:pPr>
        <w:spacing w:after="0" w:line="240" w:lineRule="auto"/>
        <w:rPr>
          <w:rFonts w:ascii="Calibri" w:eastAsia="Times New Roman" w:hAnsi="Calibri" w:cs="Times New Roman"/>
          <w:color w:val="1F3864" w:themeColor="accent1" w:themeShade="80"/>
          <w:sz w:val="24"/>
          <w:szCs w:val="24"/>
        </w:rPr>
      </w:pPr>
    </w:p>
    <w:p w14:paraId="074D30F2" w14:textId="40A435FD" w:rsidR="00C0506F" w:rsidRPr="002827DE" w:rsidRDefault="00C0506F" w:rsidP="000D2AF7">
      <w:p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An additional assessment will assist in further clarifying and refining these roles.  In June 2019, the Director will survey workgroup members and workgroup chairs to identify if the increased guidance has been effective and if there are additional guidance needs.  The Leadership Board will utilize the survey results at the annual retreat in June to continue refining the Board’s and Director’s roles and responsibilities.</w:t>
      </w:r>
    </w:p>
    <w:p w14:paraId="601B5D92" w14:textId="77777777" w:rsidR="00C113ED" w:rsidRPr="002827DE" w:rsidRDefault="00C113ED" w:rsidP="000D2AF7">
      <w:pPr>
        <w:spacing w:after="0" w:line="240" w:lineRule="auto"/>
        <w:rPr>
          <w:rFonts w:ascii="Calibri" w:eastAsia="Times New Roman" w:hAnsi="Calibri" w:cs="Times New Roman"/>
          <w:color w:val="1F3864" w:themeColor="accent1" w:themeShade="80"/>
          <w:sz w:val="24"/>
          <w:szCs w:val="24"/>
        </w:rPr>
      </w:pPr>
    </w:p>
    <w:p w14:paraId="76B80AF7" w14:textId="73E65C9F" w:rsidR="00C0506F" w:rsidRPr="002827DE" w:rsidRDefault="00C0506F" w:rsidP="00C0506F">
      <w:pPr>
        <w:spacing w:after="0" w:line="240" w:lineRule="auto"/>
        <w:jc w:val="center"/>
        <w:rPr>
          <w:rFonts w:ascii="Calibri" w:eastAsia="Times New Roman" w:hAnsi="Calibri" w:cs="Times New Roman"/>
          <w:b/>
          <w:color w:val="1F3864" w:themeColor="accent1" w:themeShade="80"/>
          <w:sz w:val="24"/>
          <w:szCs w:val="24"/>
        </w:rPr>
      </w:pPr>
      <w:r w:rsidRPr="002827DE">
        <w:rPr>
          <w:rFonts w:ascii="Calibri" w:eastAsia="Times New Roman" w:hAnsi="Calibri" w:cs="Times New Roman"/>
          <w:b/>
          <w:color w:val="1F3864" w:themeColor="accent1" w:themeShade="80"/>
          <w:sz w:val="24"/>
          <w:szCs w:val="24"/>
        </w:rPr>
        <w:t>Section Summary</w:t>
      </w:r>
    </w:p>
    <w:p w14:paraId="0D89A0B1" w14:textId="77777777" w:rsidR="00C0506F" w:rsidRPr="002827DE" w:rsidRDefault="00C0506F" w:rsidP="00C0506F">
      <w:pPr>
        <w:spacing w:after="0" w:line="240" w:lineRule="auto"/>
        <w:jc w:val="center"/>
        <w:rPr>
          <w:rFonts w:ascii="Calibri" w:eastAsia="Times New Roman" w:hAnsi="Calibri" w:cs="Times New Roman"/>
          <w:b/>
          <w:color w:val="1F3864" w:themeColor="accent1" w:themeShade="80"/>
          <w:sz w:val="24"/>
          <w:szCs w:val="24"/>
        </w:rPr>
      </w:pPr>
    </w:p>
    <w:p w14:paraId="677C340C" w14:textId="765988BF" w:rsidR="00C0506F" w:rsidRPr="002827DE" w:rsidRDefault="00C0506F" w:rsidP="00C0506F">
      <w:pPr>
        <w:spacing w:after="0" w:line="240" w:lineRule="auto"/>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By reviewing and refining the mission and vision of the consortium, utilizing the CAEP Assessment Tool, and pairing the results with data analysis as well as reflecting and adjusting leadership, there is a clear assessment of overall needs and actions.  These needs and actions are present in the rest of the three-year plan that follows.  In addition, this pre-planning directly influenced goals, objectives and desired outcomes reflected in the coming pages.</w:t>
      </w:r>
    </w:p>
    <w:p w14:paraId="357B05C9" w14:textId="77777777" w:rsidR="00C0506F" w:rsidRPr="000D2AF7" w:rsidRDefault="00C0506F" w:rsidP="000D2AF7">
      <w:pPr>
        <w:spacing w:after="0" w:line="240" w:lineRule="auto"/>
        <w:rPr>
          <w:rFonts w:ascii="Calibri" w:eastAsia="Times New Roman" w:hAnsi="Calibri" w:cs="Times New Roman"/>
          <w:color w:val="1F3864" w:themeColor="accent1" w:themeShade="80"/>
          <w:sz w:val="20"/>
          <w:szCs w:val="20"/>
        </w:rPr>
      </w:pPr>
    </w:p>
    <w:p w14:paraId="3C794C3F" w14:textId="77777777" w:rsidR="00CD7EC9" w:rsidRDefault="00CD7EC9" w:rsidP="00600745">
      <w:pPr>
        <w:spacing w:after="0" w:line="240" w:lineRule="auto"/>
        <w:rPr>
          <w:rFonts w:asciiTheme="minorHAnsi" w:hAnsiTheme="minorHAnsi" w:cstheme="majorHAnsi"/>
          <w:sz w:val="20"/>
          <w:szCs w:val="20"/>
        </w:rPr>
      </w:pPr>
    </w:p>
    <w:p w14:paraId="518B3D14" w14:textId="1CB60438" w:rsidR="006117E8" w:rsidRPr="004A4B47" w:rsidRDefault="00600745" w:rsidP="00600745">
      <w:pPr>
        <w:spacing w:after="0" w:line="240" w:lineRule="auto"/>
        <w:rPr>
          <w:rFonts w:asciiTheme="minorHAnsi" w:hAnsiTheme="minorHAnsi" w:cstheme="majorHAnsi"/>
          <w:sz w:val="20"/>
          <w:szCs w:val="20"/>
        </w:rPr>
        <w:sectPr w:rsidR="006117E8" w:rsidRPr="004A4B47" w:rsidSect="00C444D1">
          <w:headerReference w:type="even" r:id="rId23"/>
          <w:headerReference w:type="default" r:id="rId24"/>
          <w:footerReference w:type="default" r:id="rId25"/>
          <w:headerReference w:type="first" r:id="rId26"/>
          <w:footerReference w:type="first" r:id="rId27"/>
          <w:pgSz w:w="12240" w:h="15840"/>
          <w:pgMar w:top="1739" w:right="1440" w:bottom="1440" w:left="1440" w:header="720" w:footer="720" w:gutter="0"/>
          <w:pgNumType w:start="1"/>
          <w:cols w:space="720"/>
          <w:docGrid w:linePitch="299"/>
        </w:sectPr>
      </w:pPr>
      <w:r w:rsidRPr="003711FD">
        <w:rPr>
          <w:rFonts w:cstheme="majorHAnsi"/>
        </w:rPr>
        <w:br/>
      </w:r>
    </w:p>
    <w:p w14:paraId="47098074" w14:textId="40F169AD" w:rsidR="00600745" w:rsidRPr="00C9534F" w:rsidRDefault="00C9534F" w:rsidP="00C94148">
      <w:pPr>
        <w:pStyle w:val="Heading3"/>
      </w:pPr>
      <w:bookmarkStart w:id="9" w:name="_Toc527969655"/>
      <w:r w:rsidRPr="003711FD">
        <w:lastRenderedPageBreak/>
        <w:t>Table</w:t>
      </w:r>
      <w:r>
        <w:t xml:space="preserve"> </w:t>
      </w:r>
      <w:r w:rsidRPr="003711FD">
        <w:t>1.</w:t>
      </w:r>
      <w:r>
        <w:t xml:space="preserve"> </w:t>
      </w:r>
      <w:r w:rsidRPr="003711FD">
        <w:t>Regional</w:t>
      </w:r>
      <w:r>
        <w:t xml:space="preserve"> </w:t>
      </w:r>
      <w:r w:rsidRPr="003711FD">
        <w:t>Service</w:t>
      </w:r>
      <w:r>
        <w:t xml:space="preserve"> </w:t>
      </w:r>
      <w:r w:rsidRPr="00915E51">
        <w:t>Providers</w:t>
      </w:r>
      <w:bookmarkEnd w:id="9"/>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8" w:type="dxa"/>
          <w:left w:w="115" w:type="dxa"/>
          <w:bottom w:w="58" w:type="dxa"/>
          <w:right w:w="115" w:type="dxa"/>
        </w:tblCellMar>
        <w:tblLook w:val="04A0" w:firstRow="1" w:lastRow="0" w:firstColumn="1" w:lastColumn="0" w:noHBand="0" w:noVBand="1"/>
      </w:tblPr>
      <w:tblGrid>
        <w:gridCol w:w="3258"/>
        <w:gridCol w:w="1695"/>
        <w:gridCol w:w="2296"/>
        <w:gridCol w:w="539"/>
        <w:gridCol w:w="539"/>
        <w:gridCol w:w="539"/>
        <w:gridCol w:w="539"/>
        <w:gridCol w:w="539"/>
        <w:gridCol w:w="539"/>
        <w:gridCol w:w="539"/>
        <w:gridCol w:w="539"/>
        <w:gridCol w:w="3069"/>
      </w:tblGrid>
      <w:tr w:rsidR="002907BC" w:rsidRPr="00C9534F" w14:paraId="22F3DB77" w14:textId="77777777" w:rsidTr="00F64F20">
        <w:trPr>
          <w:trHeight w:val="504"/>
          <w:tblHeader/>
        </w:trPr>
        <w:tc>
          <w:tcPr>
            <w:tcW w:w="3374" w:type="dxa"/>
            <w:vMerge w:val="restart"/>
            <w:shd w:val="clear" w:color="073763" w:fill="073763"/>
            <w:vAlign w:val="center"/>
            <w:hideMark/>
          </w:tcPr>
          <w:p w14:paraId="6FEA6A4C" w14:textId="77777777" w:rsidR="002907BC" w:rsidRPr="00C9534F" w:rsidRDefault="002907BC" w:rsidP="00F64F20">
            <w:pPr>
              <w:spacing w:after="0" w:line="240" w:lineRule="auto"/>
              <w:rPr>
                <w:rFonts w:ascii="Avenir Roman" w:eastAsia="Times New Roman" w:hAnsi="Avenir Roman" w:cs="Arial"/>
                <w:b/>
                <w:bCs/>
                <w:color w:val="FFFFFF"/>
                <w:sz w:val="20"/>
                <w:szCs w:val="20"/>
              </w:rPr>
            </w:pPr>
            <w:bookmarkStart w:id="10" w:name="_6z9yqsb49n1a" w:colFirst="0" w:colLast="0"/>
            <w:bookmarkEnd w:id="10"/>
            <w:r w:rsidRPr="00C9534F">
              <w:rPr>
                <w:rFonts w:ascii="Avenir Roman" w:eastAsia="Times New Roman" w:hAnsi="Avenir Roman" w:cs="Arial"/>
                <w:b/>
                <w:bCs/>
                <w:color w:val="FFFFFF"/>
                <w:sz w:val="20"/>
                <w:szCs w:val="20"/>
              </w:rPr>
              <w:t>Provider Name</w:t>
            </w:r>
          </w:p>
        </w:tc>
        <w:tc>
          <w:tcPr>
            <w:tcW w:w="1751" w:type="dxa"/>
            <w:vMerge w:val="restart"/>
            <w:shd w:val="clear" w:color="073763" w:fill="073763"/>
            <w:vAlign w:val="center"/>
            <w:hideMark/>
          </w:tcPr>
          <w:p w14:paraId="0EFCD40F" w14:textId="77777777" w:rsidR="002907BC" w:rsidRPr="00C9534F" w:rsidRDefault="002907BC" w:rsidP="00F64F20">
            <w:pPr>
              <w:spacing w:after="0" w:line="240" w:lineRule="auto"/>
              <w:rPr>
                <w:rFonts w:ascii="Avenir Roman" w:eastAsia="Times New Roman" w:hAnsi="Avenir Roman" w:cs="Arial"/>
                <w:b/>
                <w:bCs/>
                <w:color w:val="FFFFFF"/>
                <w:sz w:val="20"/>
                <w:szCs w:val="20"/>
              </w:rPr>
            </w:pPr>
            <w:r w:rsidRPr="00C9534F">
              <w:rPr>
                <w:rFonts w:ascii="Avenir Roman" w:eastAsia="Times New Roman" w:hAnsi="Avenir Roman" w:cs="Arial"/>
                <w:b/>
                <w:bCs/>
                <w:color w:val="FFFFFF"/>
                <w:sz w:val="20"/>
                <w:szCs w:val="20"/>
              </w:rPr>
              <w:t>Provider Type</w:t>
            </w:r>
          </w:p>
        </w:tc>
        <w:tc>
          <w:tcPr>
            <w:tcW w:w="2375" w:type="dxa"/>
            <w:vMerge w:val="restart"/>
            <w:shd w:val="clear" w:color="073763" w:fill="073763"/>
            <w:vAlign w:val="center"/>
            <w:hideMark/>
          </w:tcPr>
          <w:p w14:paraId="145FED0A" w14:textId="77777777" w:rsidR="002907BC" w:rsidRPr="00C9534F" w:rsidRDefault="002907BC" w:rsidP="00F64F20">
            <w:pPr>
              <w:spacing w:after="0" w:line="240" w:lineRule="auto"/>
              <w:rPr>
                <w:rFonts w:ascii="Avenir Roman" w:eastAsia="Times New Roman" w:hAnsi="Avenir Roman" w:cs="Arial"/>
                <w:b/>
                <w:bCs/>
                <w:color w:val="FFFFFF"/>
                <w:sz w:val="20"/>
                <w:szCs w:val="20"/>
              </w:rPr>
            </w:pPr>
            <w:r w:rsidRPr="00C9534F">
              <w:rPr>
                <w:rFonts w:ascii="Avenir Roman" w:eastAsia="Times New Roman" w:hAnsi="Avenir Roman" w:cs="Arial"/>
                <w:b/>
                <w:bCs/>
                <w:color w:val="FFFFFF"/>
                <w:sz w:val="20"/>
                <w:szCs w:val="20"/>
              </w:rPr>
              <w:t>Address or location(s) where AE services are provided</w:t>
            </w:r>
          </w:p>
        </w:tc>
        <w:tc>
          <w:tcPr>
            <w:tcW w:w="4400" w:type="dxa"/>
            <w:gridSpan w:val="8"/>
            <w:shd w:val="clear" w:color="073763" w:fill="073763"/>
            <w:noWrap/>
            <w:vAlign w:val="center"/>
            <w:hideMark/>
          </w:tcPr>
          <w:p w14:paraId="3F1544D7" w14:textId="1FCF7451" w:rsidR="002907BC" w:rsidRPr="00C9534F" w:rsidRDefault="002907BC" w:rsidP="00F64F20">
            <w:pPr>
              <w:spacing w:after="0" w:line="240" w:lineRule="auto"/>
              <w:jc w:val="center"/>
              <w:rPr>
                <w:rFonts w:ascii="Avenir Roman" w:eastAsia="Times New Roman" w:hAnsi="Avenir Roman" w:cs="Arial"/>
                <w:b/>
                <w:bCs/>
                <w:color w:val="FFFFFF"/>
                <w:sz w:val="20"/>
                <w:szCs w:val="20"/>
              </w:rPr>
            </w:pPr>
            <w:r w:rsidRPr="00C9534F">
              <w:rPr>
                <w:rFonts w:ascii="Avenir Roman" w:eastAsia="Times New Roman" w:hAnsi="Avenir Roman" w:cs="Arial"/>
                <w:b/>
                <w:bCs/>
                <w:color w:val="FFFFFF"/>
                <w:sz w:val="20"/>
                <w:szCs w:val="20"/>
              </w:rPr>
              <w:t>Program Areas</w:t>
            </w:r>
          </w:p>
        </w:tc>
        <w:tc>
          <w:tcPr>
            <w:tcW w:w="3178" w:type="dxa"/>
            <w:vMerge w:val="restart"/>
            <w:shd w:val="clear" w:color="073763" w:fill="073763"/>
            <w:vAlign w:val="center"/>
            <w:hideMark/>
          </w:tcPr>
          <w:p w14:paraId="2DFECC64" w14:textId="77777777" w:rsidR="002907BC" w:rsidRPr="00C9534F" w:rsidRDefault="002907BC" w:rsidP="00F64F20">
            <w:pPr>
              <w:spacing w:after="0" w:line="240" w:lineRule="auto"/>
              <w:rPr>
                <w:rFonts w:ascii="Avenir Roman" w:eastAsia="Times New Roman" w:hAnsi="Avenir Roman" w:cs="Arial"/>
                <w:b/>
                <w:bCs/>
                <w:color w:val="FFFFFF"/>
                <w:sz w:val="20"/>
                <w:szCs w:val="20"/>
              </w:rPr>
            </w:pPr>
            <w:r w:rsidRPr="00C9534F">
              <w:rPr>
                <w:rFonts w:ascii="Avenir Roman" w:eastAsia="Times New Roman" w:hAnsi="Avenir Roman" w:cs="Arial"/>
                <w:b/>
                <w:bCs/>
                <w:color w:val="FFFFFF"/>
                <w:sz w:val="20"/>
                <w:szCs w:val="20"/>
              </w:rPr>
              <w:t>If other, provide a brief description of services provided</w:t>
            </w:r>
          </w:p>
        </w:tc>
      </w:tr>
      <w:tr w:rsidR="002907BC" w:rsidRPr="00C9534F" w14:paraId="4DFC06AB" w14:textId="77777777" w:rsidTr="00D6478F">
        <w:trPr>
          <w:trHeight w:val="139"/>
        </w:trPr>
        <w:tc>
          <w:tcPr>
            <w:tcW w:w="3374" w:type="dxa"/>
            <w:vMerge/>
            <w:vAlign w:val="center"/>
            <w:hideMark/>
          </w:tcPr>
          <w:p w14:paraId="0037347C" w14:textId="77777777" w:rsidR="002907BC" w:rsidRPr="00C9534F" w:rsidRDefault="002907BC" w:rsidP="00F64F20">
            <w:pPr>
              <w:spacing w:after="0" w:line="240" w:lineRule="auto"/>
              <w:rPr>
                <w:rFonts w:ascii="Avenir Roman" w:eastAsia="Times New Roman" w:hAnsi="Avenir Roman" w:cs="Arial"/>
                <w:b/>
                <w:bCs/>
                <w:color w:val="FFFFFF"/>
                <w:sz w:val="20"/>
                <w:szCs w:val="20"/>
              </w:rPr>
            </w:pPr>
          </w:p>
        </w:tc>
        <w:tc>
          <w:tcPr>
            <w:tcW w:w="1751" w:type="dxa"/>
            <w:vMerge/>
            <w:vAlign w:val="center"/>
            <w:hideMark/>
          </w:tcPr>
          <w:p w14:paraId="60E51AC3" w14:textId="77777777" w:rsidR="002907BC" w:rsidRPr="00C9534F" w:rsidRDefault="002907BC" w:rsidP="00F64F20">
            <w:pPr>
              <w:spacing w:after="0" w:line="240" w:lineRule="auto"/>
              <w:rPr>
                <w:rFonts w:ascii="Avenir Roman" w:eastAsia="Times New Roman" w:hAnsi="Avenir Roman" w:cs="Arial"/>
                <w:b/>
                <w:bCs/>
                <w:color w:val="FFFFFF"/>
                <w:sz w:val="20"/>
                <w:szCs w:val="20"/>
              </w:rPr>
            </w:pPr>
          </w:p>
        </w:tc>
        <w:tc>
          <w:tcPr>
            <w:tcW w:w="2375" w:type="dxa"/>
            <w:vMerge/>
            <w:vAlign w:val="center"/>
            <w:hideMark/>
          </w:tcPr>
          <w:p w14:paraId="5040A101" w14:textId="77777777" w:rsidR="002907BC" w:rsidRPr="00C9534F" w:rsidRDefault="002907BC" w:rsidP="00F64F20">
            <w:pPr>
              <w:spacing w:after="0" w:line="240" w:lineRule="auto"/>
              <w:rPr>
                <w:rFonts w:ascii="Avenir Roman" w:eastAsia="Times New Roman" w:hAnsi="Avenir Roman" w:cs="Arial"/>
                <w:b/>
                <w:bCs/>
                <w:color w:val="FFFFFF"/>
                <w:sz w:val="20"/>
                <w:szCs w:val="20"/>
              </w:rPr>
            </w:pPr>
          </w:p>
        </w:tc>
        <w:tc>
          <w:tcPr>
            <w:tcW w:w="550" w:type="dxa"/>
            <w:shd w:val="clear" w:color="073763" w:fill="073763"/>
            <w:vAlign w:val="center"/>
            <w:hideMark/>
          </w:tcPr>
          <w:p w14:paraId="5A6D7662" w14:textId="77777777"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ABE</w:t>
            </w:r>
          </w:p>
        </w:tc>
        <w:tc>
          <w:tcPr>
            <w:tcW w:w="550" w:type="dxa"/>
            <w:shd w:val="clear" w:color="073763" w:fill="073763"/>
            <w:vAlign w:val="center"/>
            <w:hideMark/>
          </w:tcPr>
          <w:p w14:paraId="34637155" w14:textId="77777777"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ASE</w:t>
            </w:r>
          </w:p>
        </w:tc>
        <w:tc>
          <w:tcPr>
            <w:tcW w:w="550" w:type="dxa"/>
            <w:shd w:val="clear" w:color="073763" w:fill="073763"/>
            <w:vAlign w:val="center"/>
            <w:hideMark/>
          </w:tcPr>
          <w:p w14:paraId="65FF9AA6" w14:textId="23E537AA"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ESL</w:t>
            </w:r>
          </w:p>
        </w:tc>
        <w:tc>
          <w:tcPr>
            <w:tcW w:w="550" w:type="dxa"/>
            <w:shd w:val="clear" w:color="073763" w:fill="073763"/>
            <w:vAlign w:val="center"/>
            <w:hideMark/>
          </w:tcPr>
          <w:p w14:paraId="19DCCB2B" w14:textId="77777777"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CTE</w:t>
            </w:r>
          </w:p>
        </w:tc>
        <w:tc>
          <w:tcPr>
            <w:tcW w:w="550" w:type="dxa"/>
            <w:shd w:val="clear" w:color="073763" w:fill="073763"/>
            <w:vAlign w:val="center"/>
            <w:hideMark/>
          </w:tcPr>
          <w:p w14:paraId="466AE393" w14:textId="55602E27"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AWD</w:t>
            </w:r>
          </w:p>
        </w:tc>
        <w:tc>
          <w:tcPr>
            <w:tcW w:w="550" w:type="dxa"/>
            <w:shd w:val="clear" w:color="073763" w:fill="073763"/>
            <w:vAlign w:val="center"/>
          </w:tcPr>
          <w:p w14:paraId="3B76BBB0" w14:textId="20456BC0"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WR</w:t>
            </w:r>
          </w:p>
        </w:tc>
        <w:tc>
          <w:tcPr>
            <w:tcW w:w="550" w:type="dxa"/>
            <w:shd w:val="clear" w:color="073763" w:fill="073763"/>
            <w:vAlign w:val="center"/>
          </w:tcPr>
          <w:p w14:paraId="323FA8D2" w14:textId="3AE7DDA7"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PA</w:t>
            </w:r>
          </w:p>
        </w:tc>
        <w:tc>
          <w:tcPr>
            <w:tcW w:w="550" w:type="dxa"/>
            <w:shd w:val="clear" w:color="073763" w:fill="073763"/>
            <w:vAlign w:val="center"/>
            <w:hideMark/>
          </w:tcPr>
          <w:p w14:paraId="0DA945AA" w14:textId="6C004F08" w:rsidR="002907BC" w:rsidRPr="002907BC" w:rsidRDefault="002907BC" w:rsidP="00F64F20">
            <w:pPr>
              <w:spacing w:after="0" w:line="240" w:lineRule="auto"/>
              <w:jc w:val="center"/>
              <w:rPr>
                <w:rFonts w:ascii="Avenir Roman" w:eastAsia="Times New Roman" w:hAnsi="Avenir Roman" w:cs="Arial"/>
                <w:b/>
                <w:bCs/>
                <w:color w:val="FFFFFF"/>
                <w:sz w:val="12"/>
                <w:szCs w:val="12"/>
              </w:rPr>
            </w:pPr>
            <w:r w:rsidRPr="002907BC">
              <w:rPr>
                <w:rFonts w:ascii="Avenir Roman" w:eastAsia="Times New Roman" w:hAnsi="Avenir Roman" w:cs="Arial"/>
                <w:b/>
                <w:bCs/>
                <w:color w:val="FFFFFF"/>
                <w:sz w:val="12"/>
                <w:szCs w:val="12"/>
              </w:rPr>
              <w:t>ACS</w:t>
            </w:r>
          </w:p>
        </w:tc>
        <w:tc>
          <w:tcPr>
            <w:tcW w:w="3178" w:type="dxa"/>
            <w:vMerge/>
            <w:vAlign w:val="center"/>
            <w:hideMark/>
          </w:tcPr>
          <w:p w14:paraId="31E23445" w14:textId="77777777" w:rsidR="002907BC" w:rsidRPr="00C9534F" w:rsidRDefault="002907BC" w:rsidP="00F64F20">
            <w:pPr>
              <w:spacing w:after="0" w:line="240" w:lineRule="auto"/>
              <w:rPr>
                <w:rFonts w:ascii="Avenir Roman" w:eastAsia="Times New Roman" w:hAnsi="Avenir Roman" w:cs="Arial"/>
                <w:b/>
                <w:bCs/>
                <w:color w:val="FFFFFF"/>
                <w:sz w:val="20"/>
                <w:szCs w:val="20"/>
              </w:rPr>
            </w:pPr>
          </w:p>
        </w:tc>
      </w:tr>
      <w:tr w:rsidR="002907BC" w:rsidRPr="00C9534F" w14:paraId="573AD09A" w14:textId="77777777" w:rsidTr="00F64F20">
        <w:trPr>
          <w:trHeight w:val="571"/>
        </w:trPr>
        <w:tc>
          <w:tcPr>
            <w:tcW w:w="3374" w:type="dxa"/>
            <w:shd w:val="clear" w:color="D3DFEE" w:fill="D3DFEE"/>
            <w:vAlign w:val="center"/>
            <w:hideMark/>
          </w:tcPr>
          <w:p w14:paraId="5898B286" w14:textId="77777777" w:rsidR="002907BC" w:rsidRPr="00C9534F" w:rsidRDefault="002907BC" w:rsidP="00F64F20">
            <w:pPr>
              <w:spacing w:after="0" w:line="240" w:lineRule="auto"/>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XYZ Agency</w:t>
            </w:r>
          </w:p>
        </w:tc>
        <w:tc>
          <w:tcPr>
            <w:tcW w:w="1751" w:type="dxa"/>
            <w:shd w:val="clear" w:color="D3DFEE" w:fill="D3DFEE"/>
            <w:vAlign w:val="center"/>
            <w:hideMark/>
          </w:tcPr>
          <w:p w14:paraId="7505A7CD" w14:textId="77777777" w:rsidR="002907BC" w:rsidRPr="00C9534F" w:rsidRDefault="002907BC" w:rsidP="00F64F20">
            <w:pPr>
              <w:spacing w:after="0" w:line="240" w:lineRule="auto"/>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Business / Industry</w:t>
            </w:r>
          </w:p>
        </w:tc>
        <w:tc>
          <w:tcPr>
            <w:tcW w:w="2375" w:type="dxa"/>
            <w:shd w:val="clear" w:color="D3DFEE" w:fill="D3DFEE"/>
            <w:vAlign w:val="center"/>
            <w:hideMark/>
          </w:tcPr>
          <w:p w14:paraId="75035D9A" w14:textId="77777777" w:rsidR="002907BC" w:rsidRPr="00C9534F" w:rsidRDefault="002907BC" w:rsidP="00F64F20">
            <w:pPr>
              <w:spacing w:after="0" w:line="240" w:lineRule="auto"/>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555 Adult Education Lane, Los Angeles, CA 90001</w:t>
            </w:r>
          </w:p>
        </w:tc>
        <w:tc>
          <w:tcPr>
            <w:tcW w:w="550" w:type="dxa"/>
            <w:shd w:val="clear" w:color="D3DFEE" w:fill="D3DFEE"/>
            <w:vAlign w:val="center"/>
            <w:hideMark/>
          </w:tcPr>
          <w:p w14:paraId="1D2AE026" w14:textId="77777777"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hideMark/>
          </w:tcPr>
          <w:p w14:paraId="10E5C762" w14:textId="77777777"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hideMark/>
          </w:tcPr>
          <w:p w14:paraId="5A1EA935" w14:textId="77777777"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hideMark/>
          </w:tcPr>
          <w:p w14:paraId="654E2F57" w14:textId="77777777"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hideMark/>
          </w:tcPr>
          <w:p w14:paraId="037B1BB0" w14:textId="77777777"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tcPr>
          <w:p w14:paraId="2708B8E6" w14:textId="6BE54AB6"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tcPr>
          <w:p w14:paraId="595795CA" w14:textId="1360DC43"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550" w:type="dxa"/>
            <w:shd w:val="clear" w:color="D3DFEE" w:fill="D3DFEE"/>
            <w:vAlign w:val="center"/>
            <w:hideMark/>
          </w:tcPr>
          <w:p w14:paraId="24E1E4D0" w14:textId="383D1CA3" w:rsidR="002907BC" w:rsidRPr="00C9534F" w:rsidRDefault="002907BC" w:rsidP="00F64F20">
            <w:pPr>
              <w:spacing w:after="0" w:line="240" w:lineRule="auto"/>
              <w:jc w:val="center"/>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w:t>
            </w:r>
          </w:p>
        </w:tc>
        <w:tc>
          <w:tcPr>
            <w:tcW w:w="3178" w:type="dxa"/>
            <w:shd w:val="clear" w:color="D3DFEE" w:fill="D3DFEE"/>
            <w:vAlign w:val="center"/>
            <w:hideMark/>
          </w:tcPr>
          <w:p w14:paraId="0913CA0B" w14:textId="77777777" w:rsidR="002907BC" w:rsidRPr="00C9534F" w:rsidRDefault="002907BC" w:rsidP="00F64F20">
            <w:pPr>
              <w:spacing w:after="0" w:line="240" w:lineRule="auto"/>
              <w:rPr>
                <w:rFonts w:ascii="Avenir Roman" w:eastAsia="Times New Roman" w:hAnsi="Avenir Roman" w:cs="Arial"/>
                <w:i/>
                <w:iCs/>
                <w:color w:val="000000"/>
                <w:sz w:val="16"/>
                <w:szCs w:val="20"/>
              </w:rPr>
            </w:pPr>
            <w:r w:rsidRPr="00C9534F">
              <w:rPr>
                <w:rFonts w:ascii="Avenir Roman" w:eastAsia="Times New Roman" w:hAnsi="Avenir Roman" w:cs="Arial"/>
                <w:i/>
                <w:iCs/>
                <w:color w:val="000000"/>
                <w:sz w:val="16"/>
                <w:szCs w:val="20"/>
              </w:rPr>
              <w:t>XYZ agency provides opportunities for students in Manufacturing Bridge Courses to Job Shadow.</w:t>
            </w:r>
          </w:p>
        </w:tc>
      </w:tr>
      <w:tr w:rsidR="002907BC" w:rsidRPr="00C9534F" w14:paraId="15A4EB35" w14:textId="77777777" w:rsidTr="005F1DAC">
        <w:trPr>
          <w:trHeight w:hRule="exact" w:val="1247"/>
        </w:trPr>
        <w:tc>
          <w:tcPr>
            <w:tcW w:w="3374" w:type="dxa"/>
            <w:shd w:val="clear" w:color="auto" w:fill="auto"/>
            <w:vAlign w:val="center"/>
            <w:hideMark/>
          </w:tcPr>
          <w:p w14:paraId="06617E2A" w14:textId="6B6CCEFD" w:rsidR="002907BC" w:rsidRPr="00A324A7" w:rsidRDefault="002907BC" w:rsidP="00AD46B9">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AD46B9">
              <w:rPr>
                <w:rFonts w:asciiTheme="minorHAnsi" w:hAnsiTheme="minorHAnsi" w:cs="Arial"/>
                <w:color w:val="04326C"/>
                <w:sz w:val="20"/>
              </w:rPr>
              <w:t>Center for Employment Training (CET)</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6531B90B" w14:textId="167BD5D1" w:rsidR="002907BC" w:rsidRPr="00A324A7" w:rsidRDefault="002907BC" w:rsidP="00885F51">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885F51">
              <w:rPr>
                <w:rFonts w:asciiTheme="minorHAnsi" w:hAnsiTheme="minorHAnsi" w:cs="Arial"/>
                <w:noProof/>
                <w:color w:val="04326C"/>
                <w:sz w:val="20"/>
              </w:rPr>
              <w:t>Education</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3F94C625" w14:textId="1D097887" w:rsidR="002907BC" w:rsidRPr="00A324A7" w:rsidRDefault="002907BC" w:rsidP="00AD46B9">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AD46B9">
              <w:rPr>
                <w:rFonts w:asciiTheme="minorHAnsi" w:hAnsiTheme="minorHAnsi" w:cs="Arial"/>
                <w:noProof/>
                <w:color w:val="04326C"/>
                <w:sz w:val="20"/>
              </w:rPr>
              <w:t>701 Vine Street, San Jose, CA 95110</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4982498A" w14:textId="2BC3015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64C13A4" w14:textId="6F17D14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F9A529E" w14:textId="0A95865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E6061A5" w14:textId="2CF6636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28EE684" w14:textId="4AE9A1A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5D762B35" w14:textId="4CEB2FC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5AAB760A" w14:textId="679F97A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F2DF4E6" w14:textId="591D0F6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6118F612" w14:textId="1E66E728" w:rsidR="002907BC" w:rsidRPr="00A324A7" w:rsidRDefault="005740FE" w:rsidP="00DC3E1F">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Accelerated train to work courses in Culinary, automotive, ECE, electrical, HVAC, Construction and more.</w:t>
            </w:r>
            <w:r w:rsidR="00D021D2">
              <w:rPr>
                <w:rFonts w:asciiTheme="minorHAnsi" w:hAnsiTheme="minorHAnsi" w:cs="Arial"/>
                <w:color w:val="04326C"/>
                <w:sz w:val="20"/>
              </w:rPr>
              <w:t xml:space="preserve"> Cetweb.edu</w:t>
            </w:r>
          </w:p>
        </w:tc>
      </w:tr>
      <w:tr w:rsidR="002907BC" w:rsidRPr="00C9534F" w14:paraId="2033750B" w14:textId="77777777" w:rsidTr="00AD46B9">
        <w:trPr>
          <w:trHeight w:hRule="exact" w:val="833"/>
        </w:trPr>
        <w:tc>
          <w:tcPr>
            <w:tcW w:w="3374" w:type="dxa"/>
            <w:shd w:val="clear" w:color="auto" w:fill="auto"/>
            <w:noWrap/>
            <w:vAlign w:val="center"/>
            <w:hideMark/>
          </w:tcPr>
          <w:p w14:paraId="72DFFB7C" w14:textId="170CD280" w:rsidR="002907BC" w:rsidRPr="00A324A7" w:rsidRDefault="002907BC" w:rsidP="00EA17D8">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EA17D8">
              <w:rPr>
                <w:rFonts w:asciiTheme="minorHAnsi" w:hAnsiTheme="minorHAnsi" w:cs="Arial"/>
                <w:color w:val="04326C"/>
                <w:sz w:val="20"/>
              </w:rPr>
              <w:t>Mission Community College</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15BFBCD6" w14:textId="078CF9A2" w:rsidR="002907BC" w:rsidRPr="00A324A7" w:rsidRDefault="002907BC" w:rsidP="00440C50">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440C50">
              <w:rPr>
                <w:rFonts w:asciiTheme="minorHAnsi" w:hAnsiTheme="minorHAnsi" w:cs="Arial"/>
                <w:noProof/>
                <w:color w:val="04326C"/>
                <w:sz w:val="20"/>
              </w:rPr>
              <w:t>Education</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77BC09B9" w14:textId="60FA43B2" w:rsidR="002907BC" w:rsidRPr="00A324A7" w:rsidRDefault="00EA17D8" w:rsidP="00EA17D8">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300 Mission College Blvd., Santa Clara, CA 95054</w:t>
            </w:r>
          </w:p>
        </w:tc>
        <w:tc>
          <w:tcPr>
            <w:tcW w:w="550" w:type="dxa"/>
            <w:shd w:val="clear" w:color="auto" w:fill="auto"/>
            <w:noWrap/>
            <w:vAlign w:val="center"/>
            <w:hideMark/>
          </w:tcPr>
          <w:p w14:paraId="03CDEFF4" w14:textId="32E369C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E7B0CEE" w14:textId="5FD8FFD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1ABBD29" w14:textId="65B8CB8B"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5484984C" w14:textId="3B6A5C8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DD3839B" w14:textId="18553BB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40F2B697" w14:textId="1F9EEBA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65735EA6" w14:textId="705F678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66CD602" w14:textId="5541EF9E"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085AD895" w14:textId="36B1B901" w:rsidR="002907BC" w:rsidRPr="00A324A7" w:rsidRDefault="002907BC" w:rsidP="00DC3E1F">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DC3E1F" w:rsidRPr="00DC3E1F">
              <w:rPr>
                <w:rFonts w:asciiTheme="minorHAnsi" w:hAnsiTheme="minorHAnsi" w:cs="Arial"/>
                <w:noProof/>
                <w:color w:val="04326C"/>
                <w:sz w:val="20"/>
              </w:rPr>
              <w:t>Education Provider</w:t>
            </w:r>
            <w:r w:rsidRPr="00042660">
              <w:rPr>
                <w:rFonts w:asciiTheme="minorHAnsi" w:hAnsiTheme="minorHAnsi" w:cs="Arial"/>
                <w:color w:val="04326C"/>
                <w:sz w:val="20"/>
              </w:rPr>
              <w:fldChar w:fldCharType="end"/>
            </w:r>
          </w:p>
        </w:tc>
      </w:tr>
      <w:tr w:rsidR="002907BC" w:rsidRPr="00C9534F" w14:paraId="17280C05" w14:textId="77777777" w:rsidTr="00AD46B9">
        <w:trPr>
          <w:trHeight w:hRule="exact" w:val="752"/>
        </w:trPr>
        <w:tc>
          <w:tcPr>
            <w:tcW w:w="3374" w:type="dxa"/>
            <w:shd w:val="clear" w:color="auto" w:fill="auto"/>
            <w:noWrap/>
            <w:vAlign w:val="center"/>
            <w:hideMark/>
          </w:tcPr>
          <w:p w14:paraId="711DE136" w14:textId="239F0E2D" w:rsidR="002907BC" w:rsidRPr="00A324A7" w:rsidRDefault="002907BC" w:rsidP="00EA17D8">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EA17D8">
              <w:rPr>
                <w:rFonts w:asciiTheme="minorHAnsi" w:hAnsiTheme="minorHAnsi" w:cs="Arial"/>
                <w:noProof/>
                <w:color w:val="04326C"/>
                <w:sz w:val="20"/>
              </w:rPr>
              <w:t>West Valley Community College</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2255D9FE" w14:textId="6AA33818" w:rsidR="002907BC" w:rsidRPr="00A324A7" w:rsidRDefault="002907BC" w:rsidP="00440C50">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440C50">
              <w:rPr>
                <w:rFonts w:asciiTheme="minorHAnsi" w:hAnsiTheme="minorHAnsi" w:cs="Arial"/>
                <w:noProof/>
                <w:color w:val="04326C"/>
                <w:sz w:val="20"/>
              </w:rPr>
              <w:t>Education</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5298A509" w14:textId="3BA5EBEA" w:rsidR="002907BC" w:rsidRPr="00A324A7" w:rsidRDefault="00EA17D8" w:rsidP="00EA17D8">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14000 Fruitvale Avenue, Saratoga, Ca 95070</w:t>
            </w:r>
          </w:p>
        </w:tc>
        <w:tc>
          <w:tcPr>
            <w:tcW w:w="550" w:type="dxa"/>
            <w:shd w:val="clear" w:color="auto" w:fill="auto"/>
            <w:noWrap/>
            <w:vAlign w:val="center"/>
            <w:hideMark/>
          </w:tcPr>
          <w:p w14:paraId="45003A36" w14:textId="68FC587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4C611B2" w14:textId="0D896B1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DA1989B" w14:textId="41F5D3D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B683BF7" w14:textId="4637899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58D13B69" w14:textId="0D7FEB0E"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35D0626C" w14:textId="01FAF681"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0826F410" w14:textId="1FB7F23B"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DE10C53" w14:textId="6BE2CEC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6DA2BC8B" w14:textId="7B8B835D" w:rsidR="002907BC" w:rsidRPr="00A324A7" w:rsidRDefault="002907BC" w:rsidP="00DC3E1F">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DC3E1F" w:rsidRPr="00DC3E1F">
              <w:rPr>
                <w:rFonts w:asciiTheme="minorHAnsi" w:hAnsiTheme="minorHAnsi" w:cs="Arial"/>
                <w:noProof/>
                <w:color w:val="04326C"/>
                <w:sz w:val="20"/>
              </w:rPr>
              <w:t>Education Provider</w:t>
            </w:r>
            <w:r w:rsidRPr="00042660">
              <w:rPr>
                <w:rFonts w:asciiTheme="minorHAnsi" w:hAnsiTheme="minorHAnsi" w:cs="Arial"/>
                <w:color w:val="04326C"/>
                <w:sz w:val="20"/>
              </w:rPr>
              <w:fldChar w:fldCharType="end"/>
            </w:r>
          </w:p>
        </w:tc>
      </w:tr>
      <w:tr w:rsidR="002907BC" w:rsidRPr="00C9534F" w14:paraId="182EFF35" w14:textId="77777777" w:rsidTr="00AD46B9">
        <w:trPr>
          <w:trHeight w:hRule="exact" w:val="842"/>
        </w:trPr>
        <w:tc>
          <w:tcPr>
            <w:tcW w:w="3374" w:type="dxa"/>
            <w:shd w:val="clear" w:color="auto" w:fill="auto"/>
            <w:noWrap/>
            <w:vAlign w:val="center"/>
            <w:hideMark/>
          </w:tcPr>
          <w:p w14:paraId="7661E877" w14:textId="14A2755C" w:rsidR="002907BC" w:rsidRPr="00A324A7" w:rsidRDefault="002907BC" w:rsidP="005740FE">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5740FE">
              <w:rPr>
                <w:rFonts w:asciiTheme="minorHAnsi" w:hAnsiTheme="minorHAnsi" w:cs="Arial"/>
                <w:color w:val="04326C"/>
                <w:sz w:val="20"/>
              </w:rPr>
              <w:t>Center for Training and Careers (CTC) Partner Affiliate Center</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25201677" w14:textId="6AE70989" w:rsidR="002907BC" w:rsidRPr="00A324A7" w:rsidRDefault="002907BC" w:rsidP="005740FE">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5740FE">
              <w:rPr>
                <w:rFonts w:asciiTheme="minorHAnsi" w:hAnsiTheme="minorHAnsi" w:cs="Arial"/>
                <w:noProof/>
                <w:color w:val="04326C"/>
                <w:sz w:val="20"/>
              </w:rPr>
              <w:t>Employment</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5B0AA92C" w14:textId="5BA2A937" w:rsidR="002907BC" w:rsidRPr="00A324A7" w:rsidRDefault="002907BC" w:rsidP="005740FE">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5740FE">
              <w:rPr>
                <w:rFonts w:asciiTheme="minorHAnsi" w:hAnsiTheme="minorHAnsi" w:cs="Arial"/>
                <w:color w:val="04326C"/>
                <w:sz w:val="20"/>
              </w:rPr>
              <w:t>749 Story Road, Suite 10, San Jose, CA 95122</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4308E3F0" w14:textId="52F7AF8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71D37B1" w14:textId="5D1BDDF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6EE6268" w14:textId="2545B5C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2421935" w14:textId="351CE60E"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CCDCF88" w14:textId="49BE44A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77B8864D" w14:textId="32681791"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64B57284" w14:textId="6A33F80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E9F86F8" w14:textId="482EDA1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4909CDF5" w14:textId="2271E0EA" w:rsidR="002907BC" w:rsidRPr="00A324A7" w:rsidRDefault="005740FE" w:rsidP="00DC3E1F">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Day employment center for those transitioning into the workforce or needing immediate income.</w:t>
            </w:r>
          </w:p>
        </w:tc>
      </w:tr>
      <w:tr w:rsidR="002907BC" w:rsidRPr="00C9534F" w14:paraId="01E52665" w14:textId="77777777" w:rsidTr="005F1DAC">
        <w:trPr>
          <w:trHeight w:hRule="exact" w:val="923"/>
        </w:trPr>
        <w:tc>
          <w:tcPr>
            <w:tcW w:w="3374" w:type="dxa"/>
            <w:shd w:val="clear" w:color="auto" w:fill="auto"/>
            <w:noWrap/>
            <w:vAlign w:val="center"/>
            <w:hideMark/>
          </w:tcPr>
          <w:p w14:paraId="5E014781" w14:textId="25549FA3" w:rsidR="002907BC" w:rsidRPr="00A324A7" w:rsidRDefault="00D021D2" w:rsidP="00440C50">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ConXion to Community</w:t>
            </w:r>
          </w:p>
        </w:tc>
        <w:tc>
          <w:tcPr>
            <w:tcW w:w="1751" w:type="dxa"/>
            <w:shd w:val="clear" w:color="auto" w:fill="auto"/>
            <w:noWrap/>
            <w:vAlign w:val="center"/>
            <w:hideMark/>
          </w:tcPr>
          <w:p w14:paraId="722102FE" w14:textId="5EF86B33" w:rsidR="002907BC" w:rsidRPr="00A324A7" w:rsidRDefault="002907BC" w:rsidP="00440C50">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440C50">
              <w:rPr>
                <w:rFonts w:asciiTheme="minorHAnsi" w:hAnsiTheme="minorHAnsi" w:cs="Arial"/>
                <w:noProof/>
                <w:color w:val="04326C"/>
                <w:sz w:val="20"/>
              </w:rPr>
              <w:t>Education</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777CB006" w14:textId="664B970C" w:rsidR="002907BC" w:rsidRPr="00A324A7" w:rsidRDefault="00D021D2" w:rsidP="00DC3E1F">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749 Story Road, Unit 10, San Jose, CA 95122</w:t>
            </w:r>
          </w:p>
        </w:tc>
        <w:tc>
          <w:tcPr>
            <w:tcW w:w="550" w:type="dxa"/>
            <w:shd w:val="clear" w:color="auto" w:fill="auto"/>
            <w:noWrap/>
            <w:vAlign w:val="center"/>
            <w:hideMark/>
          </w:tcPr>
          <w:p w14:paraId="0579C9CC" w14:textId="786B2EF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C3F5514" w14:textId="786F396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14AF9C10" w14:textId="50C20C8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002C357" w14:textId="4C3F912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50CBCEA" w14:textId="123F5B0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49634976" w14:textId="2B890D3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64BCEEB5" w14:textId="2CA0FF3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4B854D2" w14:textId="4FFF36B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2E9AC0DA" w14:textId="08C8F1A2" w:rsidR="002907BC" w:rsidRPr="00A324A7" w:rsidRDefault="002907BC" w:rsidP="00DC3E1F">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DC3E1F" w:rsidRPr="00DC3E1F">
              <w:rPr>
                <w:rFonts w:asciiTheme="minorHAnsi" w:hAnsiTheme="minorHAnsi" w:cs="Arial"/>
                <w:noProof/>
                <w:color w:val="04326C"/>
                <w:sz w:val="20"/>
              </w:rPr>
              <w:t>Education Provider</w:t>
            </w:r>
            <w:r w:rsidRPr="00042660">
              <w:rPr>
                <w:rFonts w:asciiTheme="minorHAnsi" w:hAnsiTheme="minorHAnsi" w:cs="Arial"/>
                <w:color w:val="04326C"/>
                <w:sz w:val="20"/>
              </w:rPr>
              <w:fldChar w:fldCharType="end"/>
            </w:r>
            <w:r w:rsidR="00D021D2">
              <w:rPr>
                <w:rFonts w:asciiTheme="minorHAnsi" w:hAnsiTheme="minorHAnsi" w:cs="Arial"/>
                <w:color w:val="04326C"/>
                <w:sz w:val="20"/>
              </w:rPr>
              <w:t>/Conxion.org</w:t>
            </w:r>
          </w:p>
        </w:tc>
      </w:tr>
      <w:tr w:rsidR="002907BC" w:rsidRPr="00C9534F" w14:paraId="6BB1F23A" w14:textId="77777777" w:rsidTr="00AD46B9">
        <w:trPr>
          <w:trHeight w:hRule="exact" w:val="743"/>
        </w:trPr>
        <w:tc>
          <w:tcPr>
            <w:tcW w:w="3374" w:type="dxa"/>
            <w:shd w:val="clear" w:color="auto" w:fill="auto"/>
            <w:noWrap/>
            <w:vAlign w:val="center"/>
            <w:hideMark/>
          </w:tcPr>
          <w:p w14:paraId="4EFE90D6" w14:textId="0A416BD0" w:rsidR="002907BC" w:rsidRPr="00A324A7" w:rsidRDefault="002907BC" w:rsidP="00D021D2">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AD46B9">
              <w:rPr>
                <w:rFonts w:asciiTheme="minorHAnsi" w:hAnsiTheme="minorHAnsi" w:cs="Arial"/>
                <w:color w:val="04326C"/>
                <w:sz w:val="20"/>
              </w:rPr>
              <w:t>YearUp Bay Area</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170738AA" w14:textId="53EFD804" w:rsidR="002907BC" w:rsidRPr="00A324A7" w:rsidRDefault="002907BC" w:rsidP="00AD46B9">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AD46B9">
              <w:rPr>
                <w:rFonts w:asciiTheme="minorHAnsi" w:hAnsiTheme="minorHAnsi" w:cs="Arial"/>
                <w:noProof/>
                <w:color w:val="04326C"/>
                <w:sz w:val="20"/>
              </w:rPr>
              <w:t>Workforce Ed</w:t>
            </w:r>
            <w:r w:rsidRPr="00066A94">
              <w:rPr>
                <w:rFonts w:asciiTheme="minorHAnsi" w:hAnsiTheme="minorHAnsi" w:cs="Arial"/>
                <w:color w:val="04326C"/>
                <w:sz w:val="20"/>
              </w:rPr>
              <w:fldChar w:fldCharType="end"/>
            </w:r>
            <w:r w:rsidR="00AD46B9">
              <w:rPr>
                <w:rFonts w:asciiTheme="minorHAnsi" w:hAnsiTheme="minorHAnsi" w:cs="Arial"/>
                <w:color w:val="04326C"/>
                <w:sz w:val="20"/>
              </w:rPr>
              <w:t>ucation</w:t>
            </w:r>
          </w:p>
        </w:tc>
        <w:tc>
          <w:tcPr>
            <w:tcW w:w="2375" w:type="dxa"/>
            <w:shd w:val="clear" w:color="auto" w:fill="auto"/>
            <w:noWrap/>
            <w:vAlign w:val="center"/>
            <w:hideMark/>
          </w:tcPr>
          <w:p w14:paraId="0B1590DA" w14:textId="210D5710" w:rsidR="002907BC" w:rsidRPr="00A324A7" w:rsidRDefault="002907BC" w:rsidP="00AD46B9">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AD1958" w:rsidRPr="00AD1958">
              <w:rPr>
                <w:rFonts w:asciiTheme="minorHAnsi" w:hAnsiTheme="minorHAnsi" w:cs="Arial"/>
                <w:noProof/>
                <w:color w:val="04326C"/>
                <w:sz w:val="20"/>
              </w:rPr>
              <w:t>https://www.</w:t>
            </w:r>
            <w:r w:rsidR="00AD46B9">
              <w:rPr>
                <w:rFonts w:asciiTheme="minorHAnsi" w:hAnsiTheme="minorHAnsi" w:cs="Arial"/>
                <w:noProof/>
                <w:color w:val="04326C"/>
                <w:sz w:val="20"/>
              </w:rPr>
              <w:t>yearup.org</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5562AC6C" w14:textId="6346295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57D9209" w14:textId="231FF11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D584533" w14:textId="0591661E"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E639EE1" w14:textId="512EBE2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ED2E034" w14:textId="77252B2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5FA1F1ED" w14:textId="5266A16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11214410" w14:textId="609EB0C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AEFE2C9" w14:textId="4280928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6FDC2630" w14:textId="6CFB4299" w:rsidR="002907BC" w:rsidRPr="00A324A7" w:rsidRDefault="002907BC" w:rsidP="00AD46B9">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AD46B9">
              <w:rPr>
                <w:rFonts w:asciiTheme="minorHAnsi" w:hAnsiTheme="minorHAnsi" w:cs="Arial"/>
                <w:color w:val="04326C"/>
                <w:sz w:val="20"/>
              </w:rPr>
              <w:t>Intensive Training and Internship Program</w:t>
            </w:r>
            <w:r w:rsidRPr="00042660">
              <w:rPr>
                <w:rFonts w:asciiTheme="minorHAnsi" w:hAnsiTheme="minorHAnsi" w:cs="Arial"/>
                <w:color w:val="04326C"/>
                <w:sz w:val="20"/>
              </w:rPr>
              <w:fldChar w:fldCharType="end"/>
            </w:r>
          </w:p>
        </w:tc>
      </w:tr>
      <w:tr w:rsidR="002907BC" w:rsidRPr="00C9534F" w14:paraId="61714CA1" w14:textId="77777777" w:rsidTr="00AD46B9">
        <w:trPr>
          <w:trHeight w:hRule="exact" w:val="1139"/>
        </w:trPr>
        <w:tc>
          <w:tcPr>
            <w:tcW w:w="3374" w:type="dxa"/>
            <w:shd w:val="clear" w:color="auto" w:fill="auto"/>
            <w:noWrap/>
            <w:vAlign w:val="center"/>
            <w:hideMark/>
          </w:tcPr>
          <w:p w14:paraId="24A67F67" w14:textId="2F3E2098" w:rsidR="002907BC" w:rsidRPr="00A324A7" w:rsidRDefault="002907BC" w:rsidP="00440C50">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440C50">
              <w:rPr>
                <w:rFonts w:asciiTheme="minorHAnsi" w:hAnsiTheme="minorHAnsi" w:cs="Arial"/>
                <w:noProof/>
                <w:color w:val="04326C"/>
                <w:sz w:val="20"/>
              </w:rPr>
              <w:t>NOVA Connect</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22724E4A" w14:textId="33AAE1F1" w:rsidR="002907BC" w:rsidRPr="00A324A7" w:rsidRDefault="00AD46B9" w:rsidP="00645F4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 xml:space="preserve">Education and Workforce Readiness </w:t>
            </w:r>
          </w:p>
        </w:tc>
        <w:tc>
          <w:tcPr>
            <w:tcW w:w="2375" w:type="dxa"/>
            <w:shd w:val="clear" w:color="auto" w:fill="auto"/>
            <w:noWrap/>
            <w:vAlign w:val="center"/>
            <w:hideMark/>
          </w:tcPr>
          <w:p w14:paraId="16322562" w14:textId="1983C2B3" w:rsidR="002907BC" w:rsidRPr="00A324A7" w:rsidRDefault="002907BC" w:rsidP="000769FD">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0769FD" w:rsidRPr="000769FD">
              <w:rPr>
                <w:rFonts w:asciiTheme="minorHAnsi" w:hAnsiTheme="minorHAnsi" w:cs="Arial"/>
                <w:noProof/>
                <w:color w:val="04326C"/>
                <w:sz w:val="20"/>
              </w:rPr>
              <w:t>505 W. Olive Ave., Suite 550, Sunnyvale, CA 94086</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1CD0D26E" w14:textId="2D52121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122597C9" w14:textId="07D2C5B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73CBAFB" w14:textId="7EE6483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FDE1B87" w14:textId="163882C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6D2FCE9" w14:textId="50FB3F6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1EE5C7D7" w14:textId="781090E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6B0CA805" w14:textId="0258856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73D3BA7" w14:textId="3C1FCE8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33265AAC" w14:textId="32B99E5D" w:rsidR="002907BC" w:rsidRPr="00A324A7" w:rsidRDefault="002907BC" w:rsidP="005F1DAC">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5F1DAC">
              <w:rPr>
                <w:rFonts w:asciiTheme="minorHAnsi" w:hAnsiTheme="minorHAnsi" w:cs="Arial"/>
                <w:color w:val="04326C"/>
                <w:sz w:val="20"/>
              </w:rPr>
              <w:t>C</w:t>
            </w:r>
            <w:r w:rsidR="000769FD" w:rsidRPr="000769FD">
              <w:rPr>
                <w:rFonts w:asciiTheme="minorHAnsi" w:hAnsiTheme="minorHAnsi" w:cs="Arial"/>
                <w:noProof/>
                <w:color w:val="04326C"/>
                <w:sz w:val="20"/>
              </w:rPr>
              <w:t>areer counseling, skills assessment, job search workshops, classroom and on-the-job training.</w:t>
            </w:r>
            <w:r w:rsidRPr="00042660">
              <w:rPr>
                <w:rFonts w:asciiTheme="minorHAnsi" w:hAnsiTheme="minorHAnsi" w:cs="Arial"/>
                <w:color w:val="04326C"/>
                <w:sz w:val="20"/>
              </w:rPr>
              <w:fldChar w:fldCharType="end"/>
            </w:r>
          </w:p>
        </w:tc>
      </w:tr>
      <w:tr w:rsidR="002907BC" w:rsidRPr="00C9534F" w14:paraId="1507F821" w14:textId="77777777" w:rsidTr="00F64F20">
        <w:trPr>
          <w:trHeight w:hRule="exact" w:val="360"/>
        </w:trPr>
        <w:tc>
          <w:tcPr>
            <w:tcW w:w="3374" w:type="dxa"/>
            <w:shd w:val="clear" w:color="auto" w:fill="auto"/>
            <w:noWrap/>
            <w:vAlign w:val="center"/>
            <w:hideMark/>
          </w:tcPr>
          <w:p w14:paraId="529595A7" w14:textId="4147F3BA" w:rsidR="002907BC" w:rsidRPr="00A324A7" w:rsidRDefault="002907BC" w:rsidP="00885F51">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885F51">
              <w:rPr>
                <w:rFonts w:asciiTheme="minorHAnsi" w:hAnsiTheme="minorHAnsi" w:cs="Arial"/>
                <w:noProof/>
                <w:color w:val="04326C"/>
                <w:sz w:val="20"/>
              </w:rPr>
              <w:t>Hope Services</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4F9B075A" w14:textId="469B1D35" w:rsidR="002907BC" w:rsidRPr="00A324A7" w:rsidRDefault="002907BC" w:rsidP="00645F47">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645F47" w:rsidRPr="00645F47">
              <w:rPr>
                <w:rFonts w:asciiTheme="minorHAnsi" w:hAnsiTheme="minorHAnsi" w:cs="Arial"/>
                <w:noProof/>
                <w:color w:val="04326C"/>
                <w:sz w:val="20"/>
              </w:rPr>
              <w:t>ADW/Workskills</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0975DFD1" w14:textId="59914428" w:rsidR="002907BC" w:rsidRPr="00A324A7" w:rsidRDefault="002907BC" w:rsidP="00AD1958">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AD1958" w:rsidRPr="00AD1958">
              <w:rPr>
                <w:rFonts w:asciiTheme="minorHAnsi" w:hAnsiTheme="minorHAnsi" w:cs="Arial"/>
                <w:noProof/>
                <w:color w:val="04326C"/>
                <w:sz w:val="20"/>
              </w:rPr>
              <w:t>30 Las Colinas Lane, San Jose, CA 95119</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0A17F96B" w14:textId="39E4A63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54C842F4" w14:textId="3C99CD9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1BD769D" w14:textId="6990B65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7C7C350E" w14:textId="2F92E42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40C59FD" w14:textId="5DD7972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08F7B246" w14:textId="4D4602B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32D563FC" w14:textId="78D91D6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8E51B26" w14:textId="7325ECF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784F4B48" w14:textId="17353FA2" w:rsidR="002907BC" w:rsidRPr="00A324A7" w:rsidRDefault="002907BC" w:rsidP="00AD1958">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DC3E1F" w:rsidRPr="00DC3E1F">
              <w:rPr>
                <w:rFonts w:asciiTheme="minorHAnsi" w:hAnsiTheme="minorHAnsi" w:cs="Arial"/>
                <w:noProof/>
                <w:color w:val="04326C"/>
                <w:sz w:val="20"/>
              </w:rPr>
              <w:t>Education Provider</w:t>
            </w:r>
            <w:r w:rsidR="00AD1958">
              <w:rPr>
                <w:rFonts w:asciiTheme="minorHAnsi" w:hAnsiTheme="minorHAnsi" w:cs="Arial"/>
                <w:noProof/>
                <w:color w:val="04326C"/>
                <w:sz w:val="20"/>
              </w:rPr>
              <w:t xml:space="preserve"> AWD</w:t>
            </w:r>
            <w:r w:rsidRPr="00042660">
              <w:rPr>
                <w:rFonts w:asciiTheme="minorHAnsi" w:hAnsiTheme="minorHAnsi" w:cs="Arial"/>
                <w:color w:val="04326C"/>
                <w:sz w:val="20"/>
              </w:rPr>
              <w:fldChar w:fldCharType="end"/>
            </w:r>
          </w:p>
        </w:tc>
      </w:tr>
      <w:tr w:rsidR="002907BC" w:rsidRPr="00C9534F" w14:paraId="558B8FF9" w14:textId="77777777" w:rsidTr="00AD46B9">
        <w:trPr>
          <w:trHeight w:hRule="exact" w:val="869"/>
        </w:trPr>
        <w:tc>
          <w:tcPr>
            <w:tcW w:w="3374" w:type="dxa"/>
            <w:shd w:val="clear" w:color="auto" w:fill="auto"/>
            <w:noWrap/>
            <w:vAlign w:val="center"/>
            <w:hideMark/>
          </w:tcPr>
          <w:p w14:paraId="6DC6BDE9" w14:textId="3057CC09" w:rsidR="002907BC" w:rsidRPr="00A324A7" w:rsidRDefault="002907BC" w:rsidP="005707FA">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lastRenderedPageBreak/>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5707FA" w:rsidRPr="005707FA">
              <w:rPr>
                <w:rFonts w:asciiTheme="minorHAnsi" w:hAnsiTheme="minorHAnsi" w:cs="Arial"/>
                <w:noProof/>
                <w:color w:val="04326C"/>
                <w:sz w:val="20"/>
              </w:rPr>
              <w:t>Asian Law Alliance</w:t>
            </w:r>
            <w:r w:rsidRPr="00C248D8">
              <w:rPr>
                <w:rFonts w:asciiTheme="minorHAnsi" w:hAnsiTheme="minorHAnsi" w:cs="Arial"/>
                <w:color w:val="04326C"/>
                <w:sz w:val="20"/>
              </w:rPr>
              <w:fldChar w:fldCharType="end"/>
            </w:r>
          </w:p>
        </w:tc>
        <w:tc>
          <w:tcPr>
            <w:tcW w:w="1751" w:type="dxa"/>
            <w:shd w:val="clear" w:color="auto" w:fill="auto"/>
            <w:noWrap/>
            <w:vAlign w:val="center"/>
            <w:hideMark/>
          </w:tcPr>
          <w:p w14:paraId="7C708F1F" w14:textId="4928EBC7" w:rsidR="002907BC" w:rsidRPr="00A324A7" w:rsidRDefault="002907BC" w:rsidP="001443E8">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1443E8">
              <w:rPr>
                <w:rFonts w:asciiTheme="minorHAnsi" w:hAnsiTheme="minorHAnsi" w:cs="Arial"/>
                <w:noProof/>
                <w:color w:val="04326C"/>
                <w:sz w:val="20"/>
              </w:rPr>
              <w:t>Legal Services</w:t>
            </w:r>
            <w:r w:rsidR="00602C7C">
              <w:rPr>
                <w:rFonts w:asciiTheme="minorHAnsi" w:hAnsiTheme="minorHAnsi" w:cs="Arial"/>
                <w:noProof/>
                <w:color w:val="04326C"/>
                <w:sz w:val="20"/>
              </w:rPr>
              <w:t xml:space="preserve"> and Immigrant Assistance</w:t>
            </w:r>
            <w:r w:rsidRPr="00066A94">
              <w:rPr>
                <w:rFonts w:asciiTheme="minorHAnsi" w:hAnsiTheme="minorHAnsi" w:cs="Arial"/>
                <w:color w:val="04326C"/>
                <w:sz w:val="20"/>
              </w:rPr>
              <w:fldChar w:fldCharType="end"/>
            </w:r>
          </w:p>
        </w:tc>
        <w:tc>
          <w:tcPr>
            <w:tcW w:w="2375" w:type="dxa"/>
            <w:shd w:val="clear" w:color="auto" w:fill="auto"/>
            <w:noWrap/>
            <w:vAlign w:val="center"/>
            <w:hideMark/>
          </w:tcPr>
          <w:p w14:paraId="052FA5A8" w14:textId="2E789723" w:rsidR="002907BC" w:rsidRPr="00A324A7" w:rsidRDefault="002907BC" w:rsidP="005707FA">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5707FA" w:rsidRPr="005707FA">
              <w:rPr>
                <w:rFonts w:asciiTheme="minorHAnsi" w:hAnsiTheme="minorHAnsi" w:cs="Arial"/>
                <w:noProof/>
                <w:color w:val="04326C"/>
                <w:sz w:val="20"/>
              </w:rPr>
              <w:t>991 West Hedding Street, Suite 202 San Jose, CA 95126</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0FF2C838" w14:textId="0038A9D1"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FF7C9EF" w14:textId="19C9723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100ABB81" w14:textId="124FCE4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6C80A13" w14:textId="499C512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33735F2" w14:textId="5D335A3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19C0920B" w14:textId="4CCA541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4D01B315" w14:textId="1FDD528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81D63D9" w14:textId="5A9C024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5A8C5AFD" w14:textId="6E6231C5" w:rsidR="002907BC" w:rsidRPr="00A324A7" w:rsidRDefault="002907BC" w:rsidP="001443E8">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1443E8">
              <w:rPr>
                <w:rFonts w:asciiTheme="minorHAnsi" w:hAnsiTheme="minorHAnsi" w:cs="Arial"/>
                <w:color w:val="04326C"/>
                <w:sz w:val="20"/>
              </w:rPr>
              <w:t>Immigrant assistance via phone, walk-in and legal clinic</w:t>
            </w:r>
            <w:r w:rsidRPr="00042660">
              <w:rPr>
                <w:rFonts w:asciiTheme="minorHAnsi" w:hAnsiTheme="minorHAnsi" w:cs="Arial"/>
                <w:color w:val="04326C"/>
                <w:sz w:val="20"/>
              </w:rPr>
              <w:fldChar w:fldCharType="end"/>
            </w:r>
          </w:p>
        </w:tc>
      </w:tr>
      <w:tr w:rsidR="002907BC" w:rsidRPr="00C9534F" w14:paraId="5570C525" w14:textId="77777777" w:rsidTr="00AD46B9">
        <w:trPr>
          <w:trHeight w:hRule="exact" w:val="752"/>
        </w:trPr>
        <w:tc>
          <w:tcPr>
            <w:tcW w:w="3374" w:type="dxa"/>
            <w:shd w:val="clear" w:color="auto" w:fill="auto"/>
            <w:noWrap/>
            <w:vAlign w:val="center"/>
            <w:hideMark/>
          </w:tcPr>
          <w:p w14:paraId="661F2B28" w14:textId="69187632" w:rsidR="002907BC" w:rsidRPr="00A324A7" w:rsidRDefault="00D021D2" w:rsidP="00645F4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Institute for Career Development</w:t>
            </w:r>
          </w:p>
        </w:tc>
        <w:tc>
          <w:tcPr>
            <w:tcW w:w="1751" w:type="dxa"/>
            <w:shd w:val="clear" w:color="auto" w:fill="auto"/>
            <w:noWrap/>
            <w:vAlign w:val="center"/>
            <w:hideMark/>
          </w:tcPr>
          <w:p w14:paraId="54C7865B" w14:textId="17DE677B" w:rsidR="002907BC" w:rsidRPr="00A324A7" w:rsidRDefault="00D021D2" w:rsidP="00645F4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Education</w:t>
            </w:r>
          </w:p>
        </w:tc>
        <w:tc>
          <w:tcPr>
            <w:tcW w:w="2375" w:type="dxa"/>
            <w:shd w:val="clear" w:color="auto" w:fill="auto"/>
            <w:noWrap/>
            <w:vAlign w:val="center"/>
            <w:hideMark/>
          </w:tcPr>
          <w:p w14:paraId="057A2F53" w14:textId="48AD7E7B" w:rsidR="002907BC" w:rsidRPr="00A324A7" w:rsidRDefault="002907BC" w:rsidP="00D021D2">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D021D2">
              <w:rPr>
                <w:rFonts w:asciiTheme="minorHAnsi" w:hAnsiTheme="minorHAnsi" w:cs="Arial"/>
                <w:noProof/>
                <w:color w:val="04326C"/>
                <w:sz w:val="20"/>
              </w:rPr>
              <w:t>1080 N. 7</w:t>
            </w:r>
            <w:r w:rsidR="00D021D2" w:rsidRPr="00D021D2">
              <w:rPr>
                <w:rFonts w:asciiTheme="minorHAnsi" w:hAnsiTheme="minorHAnsi" w:cs="Arial"/>
                <w:noProof/>
                <w:color w:val="04326C"/>
                <w:sz w:val="20"/>
                <w:vertAlign w:val="superscript"/>
              </w:rPr>
              <w:t>th</w:t>
            </w:r>
            <w:r w:rsidR="00D021D2">
              <w:rPr>
                <w:rFonts w:asciiTheme="minorHAnsi" w:hAnsiTheme="minorHAnsi" w:cs="Arial"/>
                <w:noProof/>
                <w:color w:val="04326C"/>
                <w:sz w:val="20"/>
              </w:rPr>
              <w:t xml:space="preserve"> St., San Jose, CA, 95112</w:t>
            </w:r>
            <w:r w:rsidRPr="0056176A">
              <w:rPr>
                <w:rFonts w:asciiTheme="minorHAnsi" w:hAnsiTheme="minorHAnsi" w:cs="Arial"/>
                <w:color w:val="04326C"/>
                <w:sz w:val="20"/>
              </w:rPr>
              <w:fldChar w:fldCharType="end"/>
            </w:r>
          </w:p>
        </w:tc>
        <w:tc>
          <w:tcPr>
            <w:tcW w:w="550" w:type="dxa"/>
            <w:shd w:val="clear" w:color="auto" w:fill="auto"/>
            <w:noWrap/>
            <w:vAlign w:val="center"/>
            <w:hideMark/>
          </w:tcPr>
          <w:p w14:paraId="3B762399" w14:textId="4C74A95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3E407102" w14:textId="1D6F55F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93C3E0E" w14:textId="0314BA4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725813E" w14:textId="1F77E6F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4DBFF6A" w14:textId="4054958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64A45250" w14:textId="748B246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12D7EBB1" w14:textId="2CE9C3D1"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6E261D1" w14:textId="5D6992C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15CF86BD" w14:textId="37F2C1D5" w:rsidR="002907BC" w:rsidRPr="00A324A7" w:rsidRDefault="002907BC" w:rsidP="00D021D2">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D021D2">
              <w:rPr>
                <w:rFonts w:asciiTheme="minorHAnsi" w:hAnsiTheme="minorHAnsi" w:cs="Arial"/>
                <w:color w:val="04326C"/>
                <w:sz w:val="20"/>
              </w:rPr>
              <w:t xml:space="preserve">CTE Education in primarily office and retail </w:t>
            </w:r>
            <w:r w:rsidR="00B37DBE">
              <w:rPr>
                <w:rFonts w:asciiTheme="minorHAnsi" w:hAnsiTheme="minorHAnsi" w:cs="Arial"/>
                <w:color w:val="04326C"/>
                <w:sz w:val="20"/>
              </w:rPr>
              <w:t>industries</w:t>
            </w:r>
            <w:r w:rsidRPr="00042660">
              <w:rPr>
                <w:rFonts w:asciiTheme="minorHAnsi" w:hAnsiTheme="minorHAnsi" w:cs="Arial"/>
                <w:color w:val="04326C"/>
                <w:sz w:val="20"/>
              </w:rPr>
              <w:fldChar w:fldCharType="end"/>
            </w:r>
          </w:p>
        </w:tc>
      </w:tr>
      <w:tr w:rsidR="002907BC" w:rsidRPr="00C9534F" w14:paraId="118B532B" w14:textId="77777777" w:rsidTr="00AD46B9">
        <w:trPr>
          <w:trHeight w:hRule="exact" w:val="842"/>
        </w:trPr>
        <w:tc>
          <w:tcPr>
            <w:tcW w:w="3374" w:type="dxa"/>
            <w:shd w:val="clear" w:color="auto" w:fill="auto"/>
            <w:noWrap/>
            <w:vAlign w:val="center"/>
            <w:hideMark/>
          </w:tcPr>
          <w:p w14:paraId="6247F707" w14:textId="4CAB32A6" w:rsidR="002907BC" w:rsidRPr="00A324A7" w:rsidRDefault="00602C7C" w:rsidP="00645F4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San Jose City College</w:t>
            </w:r>
          </w:p>
        </w:tc>
        <w:tc>
          <w:tcPr>
            <w:tcW w:w="1751" w:type="dxa"/>
            <w:shd w:val="clear" w:color="auto" w:fill="auto"/>
            <w:noWrap/>
            <w:vAlign w:val="center"/>
            <w:hideMark/>
          </w:tcPr>
          <w:p w14:paraId="7DDCB888" w14:textId="636C724B" w:rsidR="002907BC" w:rsidRPr="00A324A7" w:rsidRDefault="00C27809" w:rsidP="00645F4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Education</w:t>
            </w:r>
          </w:p>
        </w:tc>
        <w:tc>
          <w:tcPr>
            <w:tcW w:w="2375" w:type="dxa"/>
            <w:shd w:val="clear" w:color="auto" w:fill="auto"/>
            <w:noWrap/>
            <w:vAlign w:val="center"/>
            <w:hideMark/>
          </w:tcPr>
          <w:p w14:paraId="17A03651" w14:textId="4F39BFD5" w:rsidR="002907BC" w:rsidRPr="00A324A7" w:rsidRDefault="00C27809" w:rsidP="00645F4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2100 Moorpark Ave, San Jose, CA 95128</w:t>
            </w:r>
          </w:p>
        </w:tc>
        <w:tc>
          <w:tcPr>
            <w:tcW w:w="550" w:type="dxa"/>
            <w:shd w:val="clear" w:color="auto" w:fill="auto"/>
            <w:noWrap/>
            <w:vAlign w:val="center"/>
            <w:hideMark/>
          </w:tcPr>
          <w:p w14:paraId="78506D1B" w14:textId="18C3ED9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4076A10A" w14:textId="2EA8A11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220CDCC5" w14:textId="36C5FB3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627E26C4" w14:textId="0C91F54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1CA205B2" w14:textId="665AB86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2B169B16" w14:textId="552C270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57875231" w14:textId="4FCF094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hideMark/>
          </w:tcPr>
          <w:p w14:paraId="0EC14500" w14:textId="49929A1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hideMark/>
          </w:tcPr>
          <w:p w14:paraId="2780C17B" w14:textId="4DC47006" w:rsidR="002907BC" w:rsidRPr="00A324A7" w:rsidRDefault="00C27809" w:rsidP="00AD1958">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Education Provider</w:t>
            </w:r>
          </w:p>
        </w:tc>
      </w:tr>
      <w:tr w:rsidR="002907BC" w:rsidRPr="00C9534F" w14:paraId="6CECF2A7" w14:textId="77777777" w:rsidTr="00AD46B9">
        <w:trPr>
          <w:trHeight w:hRule="exact" w:val="752"/>
        </w:trPr>
        <w:tc>
          <w:tcPr>
            <w:tcW w:w="3374" w:type="dxa"/>
            <w:shd w:val="clear" w:color="auto" w:fill="auto"/>
            <w:noWrap/>
            <w:vAlign w:val="center"/>
          </w:tcPr>
          <w:p w14:paraId="39EDB750" w14:textId="1ACE219B" w:rsidR="002907BC" w:rsidRPr="00A324A7" w:rsidRDefault="002907BC" w:rsidP="000769FD">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0769FD" w:rsidRPr="000769FD">
              <w:rPr>
                <w:rFonts w:asciiTheme="minorHAnsi" w:hAnsiTheme="minorHAnsi" w:cs="Arial"/>
                <w:noProof/>
                <w:color w:val="04326C"/>
                <w:sz w:val="20"/>
              </w:rPr>
              <w:t>Work 2 Future</w:t>
            </w:r>
            <w:r w:rsidRPr="00C248D8">
              <w:rPr>
                <w:rFonts w:asciiTheme="minorHAnsi" w:hAnsiTheme="minorHAnsi" w:cs="Arial"/>
                <w:color w:val="04326C"/>
                <w:sz w:val="20"/>
              </w:rPr>
              <w:fldChar w:fldCharType="end"/>
            </w:r>
          </w:p>
        </w:tc>
        <w:tc>
          <w:tcPr>
            <w:tcW w:w="1751" w:type="dxa"/>
            <w:shd w:val="clear" w:color="auto" w:fill="auto"/>
            <w:noWrap/>
            <w:vAlign w:val="center"/>
          </w:tcPr>
          <w:p w14:paraId="6F9E466F" w14:textId="55DA6672" w:rsidR="002907BC" w:rsidRPr="00A324A7" w:rsidRDefault="002907BC" w:rsidP="00AD46B9">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0769FD">
              <w:rPr>
                <w:rFonts w:asciiTheme="minorHAnsi" w:hAnsiTheme="minorHAnsi" w:cs="Arial"/>
                <w:noProof/>
                <w:color w:val="04326C"/>
                <w:sz w:val="20"/>
              </w:rPr>
              <w:t>Workforce</w:t>
            </w:r>
            <w:r w:rsidR="00AD46B9">
              <w:rPr>
                <w:rFonts w:asciiTheme="minorHAnsi" w:hAnsiTheme="minorHAnsi" w:cs="Arial"/>
                <w:noProof/>
                <w:color w:val="04326C"/>
                <w:sz w:val="20"/>
              </w:rPr>
              <w:t xml:space="preserve"> Ed.</w:t>
            </w:r>
            <w:r w:rsidRPr="00066A94">
              <w:rPr>
                <w:rFonts w:asciiTheme="minorHAnsi" w:hAnsiTheme="minorHAnsi" w:cs="Arial"/>
                <w:color w:val="04326C"/>
                <w:sz w:val="20"/>
              </w:rPr>
              <w:fldChar w:fldCharType="end"/>
            </w:r>
          </w:p>
        </w:tc>
        <w:tc>
          <w:tcPr>
            <w:tcW w:w="2375" w:type="dxa"/>
            <w:shd w:val="clear" w:color="auto" w:fill="auto"/>
            <w:noWrap/>
            <w:vAlign w:val="center"/>
          </w:tcPr>
          <w:p w14:paraId="26011061" w14:textId="6E2FFD5E" w:rsidR="002907BC" w:rsidRPr="00A324A7" w:rsidRDefault="002907BC" w:rsidP="000769FD">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0769FD" w:rsidRPr="000769FD">
              <w:rPr>
                <w:rFonts w:asciiTheme="minorHAnsi" w:hAnsiTheme="minorHAnsi" w:cs="Arial"/>
                <w:noProof/>
                <w:color w:val="04326C"/>
                <w:sz w:val="20"/>
              </w:rPr>
              <w:t>www.work2future.biz</w:t>
            </w:r>
            <w:r w:rsidRPr="0056176A">
              <w:rPr>
                <w:rFonts w:asciiTheme="minorHAnsi" w:hAnsiTheme="minorHAnsi" w:cs="Arial"/>
                <w:color w:val="04326C"/>
                <w:sz w:val="20"/>
              </w:rPr>
              <w:fldChar w:fldCharType="end"/>
            </w:r>
          </w:p>
        </w:tc>
        <w:tc>
          <w:tcPr>
            <w:tcW w:w="550" w:type="dxa"/>
            <w:shd w:val="clear" w:color="auto" w:fill="auto"/>
            <w:noWrap/>
            <w:vAlign w:val="center"/>
          </w:tcPr>
          <w:p w14:paraId="11DE1D0D" w14:textId="6DB0D7C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110D3DF6" w14:textId="5B325BA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440ECFB9" w14:textId="4DC54DB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0743BF62" w14:textId="1F5BDDA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4D11B78A" w14:textId="3C3BEEBE"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7C1F0A6F" w14:textId="6297E42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4136EC72" w14:textId="512ABEF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3BBB1807" w14:textId="4906324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tcPr>
          <w:p w14:paraId="139597CB" w14:textId="6776E7F1" w:rsidR="002907BC" w:rsidRPr="00A324A7" w:rsidRDefault="002907BC" w:rsidP="000769FD">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0769FD" w:rsidRPr="000769FD">
              <w:rPr>
                <w:rFonts w:asciiTheme="minorHAnsi" w:hAnsiTheme="minorHAnsi" w:cs="Arial"/>
                <w:noProof/>
                <w:color w:val="04326C"/>
                <w:sz w:val="20"/>
              </w:rPr>
              <w:t xml:space="preserve">America's job center of California (AJCC) </w:t>
            </w:r>
            <w:r w:rsidRPr="00042660">
              <w:rPr>
                <w:rFonts w:asciiTheme="minorHAnsi" w:hAnsiTheme="minorHAnsi" w:cs="Arial"/>
                <w:color w:val="04326C"/>
                <w:sz w:val="20"/>
              </w:rPr>
              <w:fldChar w:fldCharType="end"/>
            </w:r>
          </w:p>
        </w:tc>
      </w:tr>
      <w:tr w:rsidR="002907BC" w:rsidRPr="00C9534F" w14:paraId="546DF33F" w14:textId="77777777" w:rsidTr="00AD46B9">
        <w:trPr>
          <w:trHeight w:hRule="exact" w:val="752"/>
        </w:trPr>
        <w:tc>
          <w:tcPr>
            <w:tcW w:w="3374" w:type="dxa"/>
            <w:shd w:val="clear" w:color="auto" w:fill="auto"/>
            <w:noWrap/>
            <w:vAlign w:val="center"/>
          </w:tcPr>
          <w:p w14:paraId="68D2FD9A" w14:textId="1A7464CB" w:rsidR="002907BC" w:rsidRPr="00A324A7" w:rsidRDefault="002907BC" w:rsidP="000769FD">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0769FD" w:rsidRPr="000769FD">
              <w:rPr>
                <w:rFonts w:asciiTheme="minorHAnsi" w:hAnsiTheme="minorHAnsi" w:cs="Arial"/>
                <w:noProof/>
                <w:color w:val="04326C"/>
                <w:sz w:val="20"/>
              </w:rPr>
              <w:t>Catholic Charities of Santa Clara County</w:t>
            </w:r>
            <w:r w:rsidRPr="00C248D8">
              <w:rPr>
                <w:rFonts w:asciiTheme="minorHAnsi" w:hAnsiTheme="minorHAnsi" w:cs="Arial"/>
                <w:color w:val="04326C"/>
                <w:sz w:val="20"/>
              </w:rPr>
              <w:fldChar w:fldCharType="end"/>
            </w:r>
          </w:p>
        </w:tc>
        <w:tc>
          <w:tcPr>
            <w:tcW w:w="1751" w:type="dxa"/>
            <w:shd w:val="clear" w:color="auto" w:fill="auto"/>
            <w:noWrap/>
            <w:vAlign w:val="center"/>
          </w:tcPr>
          <w:p w14:paraId="0157DA63" w14:textId="219A68EB" w:rsidR="002907BC" w:rsidRPr="00A324A7" w:rsidRDefault="00C27809" w:rsidP="00E8592F">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Education and Workforce Readiness</w:t>
            </w:r>
          </w:p>
        </w:tc>
        <w:tc>
          <w:tcPr>
            <w:tcW w:w="2375" w:type="dxa"/>
            <w:shd w:val="clear" w:color="auto" w:fill="auto"/>
            <w:noWrap/>
            <w:vAlign w:val="center"/>
          </w:tcPr>
          <w:p w14:paraId="2261A87C" w14:textId="7FA2BFCA" w:rsidR="002907BC" w:rsidRPr="00A324A7" w:rsidRDefault="002907BC" w:rsidP="000769FD">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0769FD" w:rsidRPr="000769FD">
              <w:rPr>
                <w:rFonts w:asciiTheme="minorHAnsi" w:hAnsiTheme="minorHAnsi" w:cs="Arial"/>
                <w:noProof/>
                <w:color w:val="04326C"/>
                <w:sz w:val="20"/>
              </w:rPr>
              <w:t>2625 Zanker Road, Suite 201, San Jose</w:t>
            </w:r>
            <w:r w:rsidRPr="0056176A">
              <w:rPr>
                <w:rFonts w:asciiTheme="minorHAnsi" w:hAnsiTheme="minorHAnsi" w:cs="Arial"/>
                <w:color w:val="04326C"/>
                <w:sz w:val="20"/>
              </w:rPr>
              <w:fldChar w:fldCharType="end"/>
            </w:r>
          </w:p>
        </w:tc>
        <w:tc>
          <w:tcPr>
            <w:tcW w:w="550" w:type="dxa"/>
            <w:shd w:val="clear" w:color="auto" w:fill="auto"/>
            <w:noWrap/>
            <w:vAlign w:val="center"/>
          </w:tcPr>
          <w:p w14:paraId="17897072" w14:textId="5975259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0EAB8AC3" w14:textId="1684CBD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65F725A7" w14:textId="76C345D1"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556C72D0" w14:textId="717A47A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3C7D7060" w14:textId="060D0903"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2C08AAF4" w14:textId="7A825EEE"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397E3D4A" w14:textId="0F531AE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334CF269" w14:textId="44F4B0F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tcPr>
          <w:p w14:paraId="29FC7053" w14:textId="3CA68A39" w:rsidR="002907BC" w:rsidRPr="00A324A7" w:rsidRDefault="002907BC" w:rsidP="001B0DCC">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0769FD">
              <w:rPr>
                <w:rFonts w:asciiTheme="minorHAnsi" w:hAnsiTheme="minorHAnsi" w:cs="Arial"/>
                <w:color w:val="04326C"/>
                <w:sz w:val="20"/>
              </w:rPr>
              <w:t>Food, housing, health, education</w:t>
            </w:r>
            <w:r w:rsidRPr="00042660">
              <w:rPr>
                <w:rFonts w:asciiTheme="minorHAnsi" w:hAnsiTheme="minorHAnsi" w:cs="Arial"/>
                <w:color w:val="04326C"/>
                <w:sz w:val="20"/>
              </w:rPr>
              <w:fldChar w:fldCharType="end"/>
            </w:r>
          </w:p>
        </w:tc>
      </w:tr>
      <w:tr w:rsidR="002907BC" w:rsidRPr="00C9534F" w14:paraId="31B43AF8" w14:textId="77777777" w:rsidTr="00AD46B9">
        <w:trPr>
          <w:trHeight w:hRule="exact" w:val="752"/>
        </w:trPr>
        <w:tc>
          <w:tcPr>
            <w:tcW w:w="3374" w:type="dxa"/>
            <w:shd w:val="clear" w:color="auto" w:fill="auto"/>
            <w:noWrap/>
            <w:vAlign w:val="center"/>
          </w:tcPr>
          <w:p w14:paraId="5FBF8497" w14:textId="1509805A" w:rsidR="002907BC" w:rsidRPr="00A324A7" w:rsidRDefault="002907BC" w:rsidP="00E8592F">
            <w:pPr>
              <w:spacing w:after="0" w:line="240" w:lineRule="auto"/>
              <w:rPr>
                <w:rFonts w:asciiTheme="minorHAnsi" w:eastAsia="Times New Roman" w:hAnsiTheme="minorHAnsi" w:cstheme="majorHAnsi"/>
                <w:color w:val="04326C"/>
                <w:sz w:val="20"/>
                <w:szCs w:val="20"/>
              </w:rPr>
            </w:pPr>
            <w:r w:rsidRPr="00C248D8">
              <w:rPr>
                <w:rFonts w:asciiTheme="minorHAnsi" w:hAnsiTheme="minorHAnsi" w:cs="Arial"/>
                <w:color w:val="04326C"/>
                <w:sz w:val="20"/>
              </w:rPr>
              <w:fldChar w:fldCharType="begin">
                <w:ffData>
                  <w:name w:val="txt2_1"/>
                  <w:enabled/>
                  <w:calcOnExit w:val="0"/>
                  <w:textInput/>
                </w:ffData>
              </w:fldChar>
            </w:r>
            <w:r w:rsidRPr="00C248D8">
              <w:rPr>
                <w:rFonts w:asciiTheme="minorHAnsi" w:hAnsiTheme="minorHAnsi" w:cs="Arial"/>
                <w:color w:val="04326C"/>
                <w:sz w:val="20"/>
              </w:rPr>
              <w:instrText xml:space="preserve"> FORMTEXT </w:instrText>
            </w:r>
            <w:r w:rsidRPr="00C248D8">
              <w:rPr>
                <w:rFonts w:asciiTheme="minorHAnsi" w:hAnsiTheme="minorHAnsi" w:cs="Arial"/>
                <w:color w:val="04326C"/>
                <w:sz w:val="20"/>
              </w:rPr>
            </w:r>
            <w:r w:rsidRPr="00C248D8">
              <w:rPr>
                <w:rFonts w:asciiTheme="minorHAnsi" w:hAnsiTheme="minorHAnsi" w:cs="Arial"/>
                <w:color w:val="04326C"/>
                <w:sz w:val="20"/>
              </w:rPr>
              <w:fldChar w:fldCharType="separate"/>
            </w:r>
            <w:r w:rsidR="00E8592F" w:rsidRPr="00E8592F">
              <w:rPr>
                <w:rFonts w:asciiTheme="minorHAnsi" w:hAnsiTheme="minorHAnsi" w:cs="Arial"/>
                <w:noProof/>
                <w:color w:val="04326C"/>
                <w:sz w:val="20"/>
              </w:rPr>
              <w:t>Columbia Neighborhood Center (health clinic)</w:t>
            </w:r>
            <w:r w:rsidRPr="00C248D8">
              <w:rPr>
                <w:rFonts w:asciiTheme="minorHAnsi" w:hAnsiTheme="minorHAnsi" w:cs="Arial"/>
                <w:color w:val="04326C"/>
                <w:sz w:val="20"/>
              </w:rPr>
              <w:fldChar w:fldCharType="end"/>
            </w:r>
          </w:p>
        </w:tc>
        <w:tc>
          <w:tcPr>
            <w:tcW w:w="1751" w:type="dxa"/>
            <w:shd w:val="clear" w:color="auto" w:fill="auto"/>
            <w:noWrap/>
            <w:vAlign w:val="center"/>
          </w:tcPr>
          <w:p w14:paraId="514E7CC8" w14:textId="14A7DA3A" w:rsidR="002907BC" w:rsidRPr="00A324A7" w:rsidRDefault="00C27809" w:rsidP="00DC3E1F">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Education and Health Services</w:t>
            </w:r>
          </w:p>
        </w:tc>
        <w:tc>
          <w:tcPr>
            <w:tcW w:w="2375" w:type="dxa"/>
            <w:shd w:val="clear" w:color="auto" w:fill="auto"/>
            <w:noWrap/>
            <w:vAlign w:val="center"/>
          </w:tcPr>
          <w:p w14:paraId="4B15DC06" w14:textId="68EBD868" w:rsidR="002907BC" w:rsidRPr="00A324A7" w:rsidRDefault="002907BC" w:rsidP="00AD1958">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AD1958" w:rsidRPr="00AD1958">
              <w:rPr>
                <w:rFonts w:asciiTheme="minorHAnsi" w:hAnsiTheme="minorHAnsi" w:cs="Arial"/>
                <w:noProof/>
                <w:color w:val="04326C"/>
                <w:sz w:val="20"/>
              </w:rPr>
              <w:t>785 Morse Ave Sunnyvale CA 94085</w:t>
            </w:r>
            <w:r w:rsidRPr="0056176A">
              <w:rPr>
                <w:rFonts w:asciiTheme="minorHAnsi" w:hAnsiTheme="minorHAnsi" w:cs="Arial"/>
                <w:color w:val="04326C"/>
                <w:sz w:val="20"/>
              </w:rPr>
              <w:fldChar w:fldCharType="end"/>
            </w:r>
          </w:p>
        </w:tc>
        <w:tc>
          <w:tcPr>
            <w:tcW w:w="550" w:type="dxa"/>
            <w:shd w:val="clear" w:color="auto" w:fill="auto"/>
            <w:noWrap/>
            <w:vAlign w:val="center"/>
          </w:tcPr>
          <w:p w14:paraId="20A6A414" w14:textId="15C8634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33F15B33" w14:textId="5F0A008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4D447564" w14:textId="4954618B"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56584A34" w14:textId="0E621865"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142394AB" w14:textId="3346A99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1B755207" w14:textId="3CA920E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577CC417" w14:textId="5462389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340B2D8D" w14:textId="71ADA5F4"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tcPr>
          <w:p w14:paraId="2BDF545D" w14:textId="0F6ED7F1" w:rsidR="002907BC" w:rsidRPr="00A324A7" w:rsidRDefault="002907BC" w:rsidP="00DC3E1F">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DC3E1F">
              <w:rPr>
                <w:rFonts w:asciiTheme="minorHAnsi" w:hAnsiTheme="minorHAnsi" w:cs="Arial"/>
                <w:color w:val="04326C"/>
                <w:sz w:val="20"/>
              </w:rPr>
              <w:t>Health services and education</w:t>
            </w:r>
            <w:r w:rsidRPr="00042660">
              <w:rPr>
                <w:rFonts w:asciiTheme="minorHAnsi" w:hAnsiTheme="minorHAnsi" w:cs="Arial"/>
                <w:color w:val="04326C"/>
                <w:sz w:val="20"/>
              </w:rPr>
              <w:fldChar w:fldCharType="end"/>
            </w:r>
          </w:p>
        </w:tc>
      </w:tr>
      <w:tr w:rsidR="002907BC" w:rsidRPr="00C9534F" w14:paraId="275A2ACA" w14:textId="77777777" w:rsidTr="00AD46B9">
        <w:trPr>
          <w:trHeight w:hRule="exact" w:val="743"/>
        </w:trPr>
        <w:tc>
          <w:tcPr>
            <w:tcW w:w="3374" w:type="dxa"/>
            <w:shd w:val="clear" w:color="auto" w:fill="auto"/>
            <w:noWrap/>
            <w:vAlign w:val="center"/>
          </w:tcPr>
          <w:p w14:paraId="6A4704FF" w14:textId="68CEFD27" w:rsidR="002907BC" w:rsidRPr="00A324A7" w:rsidRDefault="00C27809" w:rsidP="00AD1958">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University of California Santa Cruz Extension Certificate Program</w:t>
            </w:r>
          </w:p>
        </w:tc>
        <w:tc>
          <w:tcPr>
            <w:tcW w:w="1751" w:type="dxa"/>
            <w:shd w:val="clear" w:color="auto" w:fill="auto"/>
            <w:noWrap/>
            <w:vAlign w:val="center"/>
          </w:tcPr>
          <w:p w14:paraId="4197A0B9" w14:textId="1B56EAED" w:rsidR="002907BC" w:rsidRPr="00A324A7" w:rsidRDefault="00C27809" w:rsidP="00AD1958">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Education</w:t>
            </w:r>
          </w:p>
        </w:tc>
        <w:tc>
          <w:tcPr>
            <w:tcW w:w="2375" w:type="dxa"/>
            <w:shd w:val="clear" w:color="auto" w:fill="auto"/>
            <w:noWrap/>
            <w:vAlign w:val="center"/>
          </w:tcPr>
          <w:p w14:paraId="70FDBD3C" w14:textId="7FD31524" w:rsidR="002907BC" w:rsidRPr="00A324A7" w:rsidRDefault="00C27809" w:rsidP="009F1287">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rPr>
              <w:t>3175 Bowers Avenue, Santa Clara, CA 95054</w:t>
            </w:r>
          </w:p>
        </w:tc>
        <w:tc>
          <w:tcPr>
            <w:tcW w:w="550" w:type="dxa"/>
            <w:shd w:val="clear" w:color="auto" w:fill="auto"/>
            <w:noWrap/>
            <w:vAlign w:val="center"/>
          </w:tcPr>
          <w:p w14:paraId="51519371" w14:textId="2D33B23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41923E93" w14:textId="36D3FA0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22777627" w14:textId="1116BBBC"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5BFC8D75" w14:textId="64F5726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02CBB2CD" w14:textId="2B565C9D"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57782DDA" w14:textId="42335188"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65538B70" w14:textId="01C8705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5B970829" w14:textId="328EF8B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ed/>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tcPr>
          <w:p w14:paraId="4C20F4BF" w14:textId="4F87CE9E" w:rsidR="002907BC" w:rsidRPr="00A324A7" w:rsidRDefault="002907BC" w:rsidP="005D6B66">
            <w:pPr>
              <w:spacing w:after="0" w:line="240" w:lineRule="auto"/>
              <w:rPr>
                <w:rFonts w:asciiTheme="minorHAnsi" w:eastAsia="Times New Roman" w:hAnsiTheme="minorHAnsi" w:cstheme="majorHAnsi"/>
                <w:color w:val="04326C"/>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5D6B66">
              <w:rPr>
                <w:rFonts w:asciiTheme="minorHAnsi" w:hAnsiTheme="minorHAnsi" w:cs="Arial"/>
                <w:color w:val="04326C"/>
                <w:sz w:val="20"/>
              </w:rPr>
              <w:t>Education Provider</w:t>
            </w:r>
            <w:r w:rsidRPr="00042660">
              <w:rPr>
                <w:rFonts w:asciiTheme="minorHAnsi" w:hAnsiTheme="minorHAnsi" w:cs="Arial"/>
                <w:color w:val="04326C"/>
                <w:sz w:val="20"/>
              </w:rPr>
              <w:fldChar w:fldCharType="end"/>
            </w:r>
          </w:p>
        </w:tc>
      </w:tr>
      <w:tr w:rsidR="002907BC" w:rsidRPr="00C9534F" w14:paraId="54D47928" w14:textId="77777777" w:rsidTr="00AE6A5E">
        <w:trPr>
          <w:trHeight w:hRule="exact" w:val="770"/>
        </w:trPr>
        <w:tc>
          <w:tcPr>
            <w:tcW w:w="3374" w:type="dxa"/>
            <w:shd w:val="clear" w:color="auto" w:fill="auto"/>
            <w:noWrap/>
            <w:vAlign w:val="center"/>
          </w:tcPr>
          <w:p w14:paraId="49285455" w14:textId="2D140B41" w:rsidR="002907BC" w:rsidRPr="00A324A7" w:rsidRDefault="00D27E99" w:rsidP="00AE6A5E">
            <w:pPr>
              <w:spacing w:after="0" w:line="240" w:lineRule="auto"/>
              <w:rPr>
                <w:rFonts w:asciiTheme="minorHAnsi" w:eastAsia="Times New Roman" w:hAnsiTheme="minorHAnsi" w:cstheme="majorHAnsi"/>
                <w:color w:val="04326C"/>
                <w:sz w:val="20"/>
                <w:szCs w:val="20"/>
              </w:rPr>
            </w:pPr>
            <w:r>
              <w:rPr>
                <w:rFonts w:asciiTheme="minorHAnsi" w:hAnsiTheme="minorHAnsi" w:cs="Arial"/>
                <w:color w:val="04326C"/>
                <w:sz w:val="20"/>
                <w:highlight w:val="yellow"/>
              </w:rPr>
              <w:t>See NSCAdultEd.com-&gt;</w:t>
            </w:r>
            <w:r w:rsidR="00AE6A5E">
              <w:rPr>
                <w:rFonts w:asciiTheme="minorHAnsi" w:hAnsiTheme="minorHAnsi" w:cs="Arial"/>
                <w:color w:val="04326C"/>
                <w:sz w:val="20"/>
                <w:highlight w:val="yellow"/>
              </w:rPr>
              <w:t>for full asset list</w:t>
            </w:r>
          </w:p>
        </w:tc>
        <w:tc>
          <w:tcPr>
            <w:tcW w:w="1751" w:type="dxa"/>
            <w:shd w:val="clear" w:color="auto" w:fill="auto"/>
            <w:noWrap/>
            <w:vAlign w:val="center"/>
          </w:tcPr>
          <w:p w14:paraId="2B382FA0" w14:textId="269ADFAD" w:rsidR="002907BC" w:rsidRPr="00A324A7" w:rsidRDefault="002907BC" w:rsidP="00F64F20">
            <w:pPr>
              <w:spacing w:after="0" w:line="240" w:lineRule="auto"/>
              <w:rPr>
                <w:rFonts w:asciiTheme="minorHAnsi" w:eastAsia="Times New Roman" w:hAnsiTheme="minorHAnsi" w:cstheme="majorHAnsi"/>
                <w:color w:val="04326C"/>
                <w:sz w:val="20"/>
                <w:szCs w:val="20"/>
              </w:rPr>
            </w:pPr>
            <w:r w:rsidRPr="00066A94">
              <w:rPr>
                <w:rFonts w:asciiTheme="minorHAnsi" w:hAnsiTheme="minorHAnsi" w:cs="Arial"/>
                <w:color w:val="04326C"/>
                <w:sz w:val="20"/>
              </w:rPr>
              <w:fldChar w:fldCharType="begin">
                <w:ffData>
                  <w:name w:val="txt2_1"/>
                  <w:enabled/>
                  <w:calcOnExit w:val="0"/>
                  <w:textInput/>
                </w:ffData>
              </w:fldChar>
            </w:r>
            <w:r w:rsidRPr="00066A94">
              <w:rPr>
                <w:rFonts w:asciiTheme="minorHAnsi" w:hAnsiTheme="minorHAnsi" w:cs="Arial"/>
                <w:color w:val="04326C"/>
                <w:sz w:val="20"/>
              </w:rPr>
              <w:instrText xml:space="preserve"> FORMTEXT </w:instrText>
            </w:r>
            <w:r w:rsidRPr="00066A94">
              <w:rPr>
                <w:rFonts w:asciiTheme="minorHAnsi" w:hAnsiTheme="minorHAnsi" w:cs="Arial"/>
                <w:color w:val="04326C"/>
                <w:sz w:val="20"/>
              </w:rPr>
            </w:r>
            <w:r w:rsidRPr="00066A94">
              <w:rPr>
                <w:rFonts w:asciiTheme="minorHAnsi" w:hAnsiTheme="minorHAnsi" w:cs="Arial"/>
                <w:color w:val="04326C"/>
                <w:sz w:val="20"/>
              </w:rPr>
              <w:fldChar w:fldCharType="separate"/>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Pr="00066A94">
              <w:rPr>
                <w:rFonts w:asciiTheme="minorHAnsi" w:hAnsiTheme="minorHAnsi" w:cs="Arial"/>
                <w:color w:val="04326C"/>
                <w:sz w:val="20"/>
              </w:rPr>
              <w:fldChar w:fldCharType="end"/>
            </w:r>
          </w:p>
        </w:tc>
        <w:tc>
          <w:tcPr>
            <w:tcW w:w="2375" w:type="dxa"/>
            <w:shd w:val="clear" w:color="auto" w:fill="auto"/>
            <w:noWrap/>
            <w:vAlign w:val="center"/>
          </w:tcPr>
          <w:p w14:paraId="2587D270" w14:textId="4019BF67" w:rsidR="002907BC" w:rsidRPr="00A324A7" w:rsidRDefault="002907BC" w:rsidP="00F64F20">
            <w:pPr>
              <w:spacing w:after="0" w:line="240" w:lineRule="auto"/>
              <w:rPr>
                <w:rFonts w:asciiTheme="minorHAnsi" w:eastAsia="Times New Roman" w:hAnsiTheme="minorHAnsi" w:cstheme="majorHAnsi"/>
                <w:color w:val="04326C"/>
                <w:sz w:val="20"/>
                <w:szCs w:val="20"/>
              </w:rPr>
            </w:pPr>
            <w:r w:rsidRPr="0056176A">
              <w:rPr>
                <w:rFonts w:asciiTheme="minorHAnsi" w:hAnsiTheme="minorHAnsi" w:cs="Arial"/>
                <w:color w:val="04326C"/>
                <w:sz w:val="20"/>
              </w:rPr>
              <w:fldChar w:fldCharType="begin">
                <w:ffData>
                  <w:name w:val="txt2_1"/>
                  <w:enabled/>
                  <w:calcOnExit w:val="0"/>
                  <w:textInput/>
                </w:ffData>
              </w:fldChar>
            </w:r>
            <w:r w:rsidRPr="0056176A">
              <w:rPr>
                <w:rFonts w:asciiTheme="minorHAnsi" w:hAnsiTheme="minorHAnsi" w:cs="Arial"/>
                <w:color w:val="04326C"/>
                <w:sz w:val="20"/>
              </w:rPr>
              <w:instrText xml:space="preserve"> FORMTEXT </w:instrText>
            </w:r>
            <w:r w:rsidRPr="0056176A">
              <w:rPr>
                <w:rFonts w:asciiTheme="minorHAnsi" w:hAnsiTheme="minorHAnsi" w:cs="Arial"/>
                <w:color w:val="04326C"/>
                <w:sz w:val="20"/>
              </w:rPr>
            </w:r>
            <w:r w:rsidRPr="0056176A">
              <w:rPr>
                <w:rFonts w:asciiTheme="minorHAnsi" w:hAnsiTheme="minorHAnsi" w:cs="Arial"/>
                <w:color w:val="04326C"/>
                <w:sz w:val="20"/>
              </w:rPr>
              <w:fldChar w:fldCharType="separate"/>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Pr="0056176A">
              <w:rPr>
                <w:rFonts w:asciiTheme="minorHAnsi" w:hAnsiTheme="minorHAnsi" w:cs="Arial"/>
                <w:color w:val="04326C"/>
                <w:sz w:val="20"/>
              </w:rPr>
              <w:fldChar w:fldCharType="end"/>
            </w:r>
          </w:p>
        </w:tc>
        <w:tc>
          <w:tcPr>
            <w:tcW w:w="550" w:type="dxa"/>
            <w:shd w:val="clear" w:color="auto" w:fill="auto"/>
            <w:noWrap/>
            <w:vAlign w:val="center"/>
          </w:tcPr>
          <w:p w14:paraId="66A0C6D6" w14:textId="45792202"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40F8E9C4" w14:textId="3BA90201"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282CDEDE" w14:textId="757F16A7"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5C6EBC3E" w14:textId="16D25FD6"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1F388F4F" w14:textId="3D75EC0A"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3A1CE093" w14:textId="75B0F0E0"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vAlign w:val="center"/>
          </w:tcPr>
          <w:p w14:paraId="4E167378" w14:textId="7CF824C9"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550" w:type="dxa"/>
            <w:shd w:val="clear" w:color="auto" w:fill="auto"/>
            <w:noWrap/>
            <w:vAlign w:val="center"/>
          </w:tcPr>
          <w:p w14:paraId="57DE9C0B" w14:textId="0E04008F" w:rsidR="002907BC" w:rsidRPr="00A324A7" w:rsidRDefault="002907BC" w:rsidP="00F64F20">
            <w:pPr>
              <w:snapToGrid w:val="0"/>
              <w:spacing w:after="0" w:line="240" w:lineRule="auto"/>
              <w:jc w:val="center"/>
              <w:rPr>
                <w:rFonts w:asciiTheme="minorHAnsi" w:eastAsia="Times New Roman" w:hAnsiTheme="minorHAnsi" w:cstheme="majorHAnsi"/>
                <w:color w:val="04326C"/>
                <w:sz w:val="20"/>
                <w:szCs w:val="20"/>
              </w:rPr>
            </w:pPr>
            <w:r w:rsidRPr="00A324A7">
              <w:rPr>
                <w:rFonts w:asciiTheme="minorHAnsi" w:eastAsia="Times New Roman" w:hAnsiTheme="minorHAnsi" w:cstheme="majorHAnsi"/>
                <w:color w:val="04326C"/>
                <w:sz w:val="20"/>
                <w:szCs w:val="20"/>
              </w:rPr>
              <w:fldChar w:fldCharType="begin">
                <w:ffData>
                  <w:name w:val="Check1"/>
                  <w:enabled/>
                  <w:calcOnExit w:val="0"/>
                  <w:checkBox>
                    <w:sizeAuto/>
                    <w:default w:val="0"/>
                  </w:checkBox>
                </w:ffData>
              </w:fldChar>
            </w:r>
            <w:r w:rsidRPr="00A324A7">
              <w:rPr>
                <w:rFonts w:asciiTheme="minorHAnsi" w:eastAsia="Times New Roman" w:hAnsiTheme="minorHAnsi" w:cstheme="majorHAnsi"/>
                <w:color w:val="04326C"/>
                <w:sz w:val="20"/>
                <w:szCs w:val="20"/>
              </w:rPr>
              <w:instrText xml:space="preserve"> FORMCHECKBOX </w:instrText>
            </w:r>
            <w:r w:rsidRPr="00A324A7">
              <w:rPr>
                <w:rFonts w:asciiTheme="minorHAnsi" w:eastAsia="Times New Roman" w:hAnsiTheme="minorHAnsi" w:cstheme="majorHAnsi"/>
                <w:color w:val="04326C"/>
                <w:sz w:val="20"/>
                <w:szCs w:val="20"/>
              </w:rPr>
            </w:r>
            <w:r w:rsidRPr="00A324A7">
              <w:rPr>
                <w:rFonts w:asciiTheme="minorHAnsi" w:eastAsia="Times New Roman" w:hAnsiTheme="minorHAnsi" w:cstheme="majorHAnsi"/>
                <w:color w:val="04326C"/>
                <w:sz w:val="20"/>
                <w:szCs w:val="20"/>
              </w:rPr>
              <w:fldChar w:fldCharType="end"/>
            </w:r>
          </w:p>
        </w:tc>
        <w:tc>
          <w:tcPr>
            <w:tcW w:w="3178" w:type="dxa"/>
            <w:shd w:val="clear" w:color="auto" w:fill="auto"/>
            <w:noWrap/>
            <w:vAlign w:val="center"/>
          </w:tcPr>
          <w:p w14:paraId="121543BE" w14:textId="001C5E41" w:rsidR="002907BC" w:rsidRPr="0078667F" w:rsidRDefault="002907BC" w:rsidP="00F64F20">
            <w:pPr>
              <w:rPr>
                <w:rFonts w:asciiTheme="minorHAnsi" w:eastAsia="Times New Roman" w:hAnsiTheme="minorHAnsi" w:cstheme="majorHAnsi"/>
                <w:sz w:val="20"/>
                <w:szCs w:val="20"/>
              </w:rPr>
            </w:pPr>
            <w:r w:rsidRPr="00042660">
              <w:rPr>
                <w:rFonts w:asciiTheme="minorHAnsi" w:hAnsiTheme="minorHAnsi" w:cs="Arial"/>
                <w:color w:val="04326C"/>
                <w:sz w:val="20"/>
              </w:rPr>
              <w:fldChar w:fldCharType="begin">
                <w:ffData>
                  <w:name w:val="txt2_1"/>
                  <w:enabled/>
                  <w:calcOnExit w:val="0"/>
                  <w:textInput/>
                </w:ffData>
              </w:fldChar>
            </w:r>
            <w:r w:rsidRPr="00042660">
              <w:rPr>
                <w:rFonts w:asciiTheme="minorHAnsi" w:hAnsiTheme="minorHAnsi" w:cs="Arial"/>
                <w:color w:val="04326C"/>
                <w:sz w:val="20"/>
              </w:rPr>
              <w:instrText xml:space="preserve"> FORMTEXT </w:instrText>
            </w:r>
            <w:r w:rsidRPr="00042660">
              <w:rPr>
                <w:rFonts w:asciiTheme="minorHAnsi" w:hAnsiTheme="minorHAnsi" w:cs="Arial"/>
                <w:color w:val="04326C"/>
                <w:sz w:val="20"/>
              </w:rPr>
            </w:r>
            <w:r w:rsidRPr="00042660">
              <w:rPr>
                <w:rFonts w:asciiTheme="minorHAnsi" w:hAnsiTheme="minorHAnsi" w:cs="Arial"/>
                <w:color w:val="04326C"/>
                <w:sz w:val="20"/>
              </w:rPr>
              <w:fldChar w:fldCharType="separate"/>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Pr="00042660">
              <w:rPr>
                <w:rFonts w:asciiTheme="minorHAnsi" w:hAnsiTheme="minorHAnsi" w:cs="Arial"/>
                <w:color w:val="04326C"/>
                <w:sz w:val="20"/>
              </w:rPr>
              <w:fldChar w:fldCharType="end"/>
            </w:r>
          </w:p>
        </w:tc>
      </w:tr>
    </w:tbl>
    <w:p w14:paraId="552EEC92" w14:textId="621464C2" w:rsidR="0078667F" w:rsidRPr="0078667F" w:rsidRDefault="0078667F" w:rsidP="0078667F">
      <w:pPr>
        <w:rPr>
          <w:rFonts w:eastAsia="Lato Light" w:cstheme="majorHAnsi"/>
          <w:sz w:val="32"/>
          <w:szCs w:val="32"/>
        </w:rPr>
        <w:sectPr w:rsidR="0078667F" w:rsidRPr="0078667F" w:rsidSect="00C444D1">
          <w:pgSz w:w="15840" w:h="12240" w:orient="landscape"/>
          <w:pgMar w:top="720" w:right="720" w:bottom="720" w:left="720" w:header="720" w:footer="720" w:gutter="0"/>
          <w:cols w:space="720"/>
          <w:docGrid w:linePitch="299"/>
        </w:sectPr>
      </w:pPr>
    </w:p>
    <w:p w14:paraId="5291C02D" w14:textId="374D4BC7" w:rsidR="00600745" w:rsidRPr="00C94148" w:rsidRDefault="00600745" w:rsidP="00C94148">
      <w:pPr>
        <w:pStyle w:val="Heading3"/>
      </w:pPr>
      <w:bookmarkStart w:id="11" w:name="_Toc527969656"/>
      <w:r w:rsidRPr="00C94148">
        <w:lastRenderedPageBreak/>
        <w:t xml:space="preserve">Table 2. </w:t>
      </w:r>
      <w:r w:rsidR="00DF5980" w:rsidRPr="00C94148">
        <w:t>Funding for Adult Education Programs and Services</w:t>
      </w:r>
      <w:bookmarkEnd w:id="11"/>
    </w:p>
    <w:tbl>
      <w:tblPr>
        <w:tblW w:w="9540" w:type="dxa"/>
        <w:tblLook w:val="04A0" w:firstRow="1" w:lastRow="0" w:firstColumn="1" w:lastColumn="0" w:noHBand="0" w:noVBand="1"/>
      </w:tblPr>
      <w:tblGrid>
        <w:gridCol w:w="3420"/>
        <w:gridCol w:w="2040"/>
        <w:gridCol w:w="2040"/>
        <w:gridCol w:w="2040"/>
      </w:tblGrid>
      <w:tr w:rsidR="00915E51" w:rsidRPr="00915E51" w14:paraId="1C56D4EB" w14:textId="77777777" w:rsidTr="00915E51">
        <w:trPr>
          <w:trHeight w:val="700"/>
        </w:trPr>
        <w:tc>
          <w:tcPr>
            <w:tcW w:w="3420" w:type="dxa"/>
            <w:tcBorders>
              <w:top w:val="single" w:sz="4" w:space="0" w:color="999999"/>
              <w:left w:val="single" w:sz="4" w:space="0" w:color="999999"/>
              <w:bottom w:val="nil"/>
              <w:right w:val="single" w:sz="4" w:space="0" w:color="999999"/>
            </w:tcBorders>
            <w:shd w:val="clear" w:color="073763" w:fill="073763"/>
            <w:vAlign w:val="center"/>
            <w:hideMark/>
          </w:tcPr>
          <w:p w14:paraId="3C5E7E12" w14:textId="77777777" w:rsidR="00915E51" w:rsidRPr="00915E51" w:rsidRDefault="00915E51" w:rsidP="00915E51">
            <w:pPr>
              <w:spacing w:after="0" w:line="240" w:lineRule="auto"/>
              <w:jc w:val="center"/>
              <w:rPr>
                <w:rFonts w:ascii="Avenir Roman" w:eastAsia="Times New Roman" w:hAnsi="Avenir Roman" w:cs="Arial"/>
                <w:b/>
                <w:bCs/>
                <w:color w:val="FFFFFF"/>
                <w:sz w:val="20"/>
                <w:szCs w:val="20"/>
              </w:rPr>
            </w:pPr>
            <w:bookmarkStart w:id="12" w:name="_i6up0sepe37c" w:colFirst="0" w:colLast="0"/>
            <w:bookmarkEnd w:id="12"/>
            <w:r w:rsidRPr="00915E51">
              <w:rPr>
                <w:rFonts w:ascii="Avenir Roman" w:eastAsia="Times New Roman" w:hAnsi="Avenir Roman" w:cs="Arial"/>
                <w:b/>
                <w:bCs/>
                <w:color w:val="FFFFFF"/>
                <w:sz w:val="20"/>
                <w:szCs w:val="20"/>
              </w:rPr>
              <w:t>Source and Type of Funds</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101742A5" w14:textId="77777777" w:rsidR="00915E51" w:rsidRPr="00915E51" w:rsidRDefault="00915E51" w:rsidP="00915E51">
            <w:pPr>
              <w:spacing w:after="0" w:line="240" w:lineRule="auto"/>
              <w:jc w:val="center"/>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FY2019-20</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67648011" w14:textId="77777777" w:rsidR="00915E51" w:rsidRPr="00915E51" w:rsidRDefault="00915E51" w:rsidP="00915E51">
            <w:pPr>
              <w:spacing w:after="0" w:line="240" w:lineRule="auto"/>
              <w:jc w:val="center"/>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FY2020-21</w:t>
            </w:r>
          </w:p>
        </w:tc>
        <w:tc>
          <w:tcPr>
            <w:tcW w:w="2040" w:type="dxa"/>
            <w:tcBorders>
              <w:top w:val="single" w:sz="4" w:space="0" w:color="999999"/>
              <w:left w:val="single" w:sz="4" w:space="0" w:color="999999"/>
              <w:bottom w:val="nil"/>
              <w:right w:val="single" w:sz="4" w:space="0" w:color="999999"/>
            </w:tcBorders>
            <w:shd w:val="clear" w:color="073763" w:fill="073763"/>
            <w:vAlign w:val="center"/>
            <w:hideMark/>
          </w:tcPr>
          <w:p w14:paraId="1591FAFF" w14:textId="77777777" w:rsidR="00915E51" w:rsidRPr="00915E51" w:rsidRDefault="00915E51" w:rsidP="00915E51">
            <w:pPr>
              <w:spacing w:after="0" w:line="240" w:lineRule="auto"/>
              <w:jc w:val="center"/>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Funding Estimates FY2021-22</w:t>
            </w:r>
          </w:p>
        </w:tc>
      </w:tr>
      <w:tr w:rsidR="00915E51" w:rsidRPr="00915E51" w14:paraId="20BBE9E3" w14:textId="77777777" w:rsidTr="00915E51">
        <w:trPr>
          <w:trHeight w:val="500"/>
        </w:trPr>
        <w:tc>
          <w:tcPr>
            <w:tcW w:w="3420" w:type="dxa"/>
            <w:tcBorders>
              <w:top w:val="single" w:sz="4" w:space="0" w:color="999999"/>
              <w:left w:val="single" w:sz="4" w:space="0" w:color="999999"/>
              <w:bottom w:val="single" w:sz="4" w:space="0" w:color="999999"/>
              <w:right w:val="nil"/>
            </w:tcBorders>
            <w:shd w:val="clear" w:color="C0C0C0" w:fill="C0C0C0"/>
            <w:vAlign w:val="center"/>
            <w:hideMark/>
          </w:tcPr>
          <w:p w14:paraId="4A32EB66" w14:textId="77777777" w:rsidR="00915E51" w:rsidRPr="00915E51" w:rsidRDefault="00915E51" w:rsidP="00915E51">
            <w:pPr>
              <w:spacing w:after="0" w:line="240" w:lineRule="auto"/>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State / Federal Funding</w:t>
            </w:r>
          </w:p>
        </w:tc>
        <w:tc>
          <w:tcPr>
            <w:tcW w:w="2040" w:type="dxa"/>
            <w:tcBorders>
              <w:top w:val="single" w:sz="4" w:space="0" w:color="999999"/>
              <w:left w:val="nil"/>
              <w:bottom w:val="single" w:sz="4" w:space="0" w:color="999999"/>
              <w:right w:val="nil"/>
            </w:tcBorders>
            <w:shd w:val="clear" w:color="C0C0C0" w:fill="C0C0C0"/>
            <w:vAlign w:val="center"/>
            <w:hideMark/>
          </w:tcPr>
          <w:p w14:paraId="1E7D9275" w14:textId="77777777" w:rsidR="00915E51" w:rsidRPr="00915E51" w:rsidRDefault="00915E51" w:rsidP="00915E51">
            <w:pPr>
              <w:spacing w:after="0" w:line="240" w:lineRule="auto"/>
              <w:jc w:val="center"/>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 </w:t>
            </w:r>
          </w:p>
        </w:tc>
        <w:tc>
          <w:tcPr>
            <w:tcW w:w="2040" w:type="dxa"/>
            <w:tcBorders>
              <w:top w:val="single" w:sz="4" w:space="0" w:color="999999"/>
              <w:left w:val="nil"/>
              <w:bottom w:val="single" w:sz="4" w:space="0" w:color="999999"/>
              <w:right w:val="nil"/>
            </w:tcBorders>
            <w:shd w:val="clear" w:color="C0C0C0" w:fill="C0C0C0"/>
            <w:vAlign w:val="center"/>
            <w:hideMark/>
          </w:tcPr>
          <w:p w14:paraId="52684348" w14:textId="77777777" w:rsidR="00915E51" w:rsidRPr="00915E51" w:rsidRDefault="00915E51" w:rsidP="00915E51">
            <w:pPr>
              <w:spacing w:after="0" w:line="240" w:lineRule="auto"/>
              <w:jc w:val="center"/>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 </w:t>
            </w:r>
          </w:p>
        </w:tc>
        <w:tc>
          <w:tcPr>
            <w:tcW w:w="2040" w:type="dxa"/>
            <w:tcBorders>
              <w:top w:val="single" w:sz="4" w:space="0" w:color="999999"/>
              <w:left w:val="nil"/>
              <w:bottom w:val="single" w:sz="4" w:space="0" w:color="999999"/>
              <w:right w:val="single" w:sz="4" w:space="0" w:color="999999"/>
            </w:tcBorders>
            <w:shd w:val="clear" w:color="C0C0C0" w:fill="C0C0C0"/>
            <w:vAlign w:val="center"/>
            <w:hideMark/>
          </w:tcPr>
          <w:p w14:paraId="04EA0484" w14:textId="77777777" w:rsidR="00915E51" w:rsidRPr="00915E51" w:rsidRDefault="00915E51" w:rsidP="00915E51">
            <w:pPr>
              <w:spacing w:after="0" w:line="240" w:lineRule="auto"/>
              <w:jc w:val="center"/>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 </w:t>
            </w:r>
          </w:p>
        </w:tc>
      </w:tr>
      <w:tr w:rsidR="00DF5980" w:rsidRPr="00915E51" w14:paraId="6C620EC3"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4086A33" w14:textId="77777777" w:rsidR="00DF5980" w:rsidRPr="00915E51" w:rsidRDefault="00DF5980" w:rsidP="00DF5980">
            <w:pPr>
              <w:spacing w:after="0" w:line="240" w:lineRule="auto"/>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AEP</w:t>
            </w:r>
          </w:p>
        </w:tc>
        <w:tc>
          <w:tcPr>
            <w:tcW w:w="2040" w:type="dxa"/>
            <w:tcBorders>
              <w:top w:val="nil"/>
              <w:left w:val="nil"/>
              <w:bottom w:val="single" w:sz="4" w:space="0" w:color="999999"/>
              <w:right w:val="single" w:sz="4" w:space="0" w:color="999999"/>
            </w:tcBorders>
            <w:shd w:val="clear" w:color="auto" w:fill="auto"/>
            <w:noWrap/>
            <w:vAlign w:val="center"/>
            <w:hideMark/>
          </w:tcPr>
          <w:p w14:paraId="31DF2455" w14:textId="2F27DB39" w:rsidR="00DF5980" w:rsidRPr="00A324A7" w:rsidRDefault="00ED7C32" w:rsidP="00DF5980">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$8,740,046</w:t>
            </w:r>
          </w:p>
        </w:tc>
        <w:tc>
          <w:tcPr>
            <w:tcW w:w="2040" w:type="dxa"/>
            <w:tcBorders>
              <w:top w:val="nil"/>
              <w:left w:val="nil"/>
              <w:bottom w:val="single" w:sz="4" w:space="0" w:color="999999"/>
              <w:right w:val="single" w:sz="4" w:space="0" w:color="999999"/>
            </w:tcBorders>
            <w:shd w:val="clear" w:color="auto" w:fill="auto"/>
            <w:noWrap/>
            <w:vAlign w:val="center"/>
            <w:hideMark/>
          </w:tcPr>
          <w:p w14:paraId="5881A9BE" w14:textId="771DAF00" w:rsidR="00DF5980" w:rsidRPr="00A324A7" w:rsidRDefault="00ED7C32" w:rsidP="00DF5980">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$8,740,046</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0159C833" w14:textId="5F9F546E" w:rsidR="00DF5980" w:rsidRPr="00A324A7" w:rsidRDefault="00ED7C32" w:rsidP="00DF5980">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$8,740,046</w:t>
            </w:r>
          </w:p>
        </w:tc>
      </w:tr>
      <w:tr w:rsidR="00776666" w:rsidRPr="00915E51" w14:paraId="130636C7" w14:textId="77777777" w:rsidTr="00885F51">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9BE7A74" w14:textId="043AB1E0" w:rsidR="00776666" w:rsidRPr="00915E51" w:rsidRDefault="00776666" w:rsidP="00885F51">
            <w:pPr>
              <w:spacing w:after="0" w:line="240" w:lineRule="auto"/>
              <w:rPr>
                <w:rFonts w:ascii="Avenir Roman" w:eastAsia="Times New Roman" w:hAnsi="Avenir Roman" w:cs="Arial"/>
                <w:b/>
                <w:bCs/>
                <w:color w:val="auto"/>
                <w:sz w:val="20"/>
                <w:szCs w:val="20"/>
              </w:rPr>
            </w:pPr>
            <w:r w:rsidRPr="00D95331">
              <w:rPr>
                <w:rFonts w:ascii="Avenir Roman" w:eastAsia="Times New Roman" w:hAnsi="Avenir Roman" w:cs="Arial"/>
                <w:b/>
                <w:bCs/>
                <w:color w:val="auto"/>
                <w:sz w:val="20"/>
                <w:szCs w:val="20"/>
              </w:rPr>
              <w:t>CalWORK</w:t>
            </w:r>
            <w:r>
              <w:rPr>
                <w:rFonts w:ascii="Avenir Roman" w:eastAsia="Times New Roman" w:hAnsi="Avenir Roman" w:cs="Arial"/>
                <w:b/>
                <w:bCs/>
                <w:color w:val="auto"/>
                <w:sz w:val="20"/>
                <w:szCs w:val="20"/>
              </w:rPr>
              <w:t>s</w:t>
            </w:r>
          </w:p>
        </w:tc>
        <w:tc>
          <w:tcPr>
            <w:tcW w:w="2040" w:type="dxa"/>
            <w:tcBorders>
              <w:top w:val="nil"/>
              <w:left w:val="nil"/>
              <w:bottom w:val="single" w:sz="4" w:space="0" w:color="999999"/>
              <w:right w:val="single" w:sz="4" w:space="0" w:color="999999"/>
            </w:tcBorders>
            <w:shd w:val="clear" w:color="auto" w:fill="auto"/>
            <w:noWrap/>
            <w:vAlign w:val="center"/>
            <w:hideMark/>
          </w:tcPr>
          <w:p w14:paraId="5B6C98C5" w14:textId="05AF1BA4" w:rsidR="00776666" w:rsidRPr="00A324A7" w:rsidRDefault="00D82283" w:rsidP="00885F51">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$200,564</w:t>
            </w:r>
          </w:p>
        </w:tc>
        <w:tc>
          <w:tcPr>
            <w:tcW w:w="2040" w:type="dxa"/>
            <w:tcBorders>
              <w:top w:val="nil"/>
              <w:left w:val="nil"/>
              <w:bottom w:val="single" w:sz="4" w:space="0" w:color="999999"/>
              <w:right w:val="single" w:sz="4" w:space="0" w:color="999999"/>
            </w:tcBorders>
            <w:shd w:val="clear" w:color="auto" w:fill="auto"/>
            <w:noWrap/>
            <w:vAlign w:val="center"/>
            <w:hideMark/>
          </w:tcPr>
          <w:p w14:paraId="702D953B" w14:textId="20955911" w:rsidR="00776666" w:rsidRPr="00A324A7" w:rsidRDefault="00D82283" w:rsidP="00885F51">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$200,564</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1FC2E635" w14:textId="72019C56" w:rsidR="00776666" w:rsidRPr="00A324A7" w:rsidRDefault="00D82283" w:rsidP="00885F51">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$200,564</w:t>
            </w:r>
          </w:p>
        </w:tc>
      </w:tr>
      <w:tr w:rsidR="00776666" w:rsidRPr="00915E51" w14:paraId="6847CD88" w14:textId="77777777" w:rsidTr="00885F51">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979C50C" w14:textId="77777777" w:rsidR="00776666" w:rsidRPr="00140F8B" w:rsidRDefault="00776666" w:rsidP="00885F51">
            <w:pPr>
              <w:spacing w:after="0" w:line="240" w:lineRule="auto"/>
              <w:rPr>
                <w:rFonts w:ascii="Avenir Roman" w:eastAsia="Times New Roman" w:hAnsi="Avenir Roman" w:cs="Arial"/>
                <w:b/>
                <w:bCs/>
                <w:color w:val="auto"/>
                <w:sz w:val="20"/>
                <w:szCs w:val="20"/>
                <w:highlight w:val="yellow"/>
              </w:rPr>
            </w:pPr>
            <w:r w:rsidRPr="00D27E99">
              <w:rPr>
                <w:rFonts w:ascii="Avenir Roman" w:eastAsia="Times New Roman" w:hAnsi="Avenir Roman" w:cs="Arial"/>
                <w:b/>
                <w:bCs/>
                <w:color w:val="auto"/>
                <w:sz w:val="20"/>
                <w:szCs w:val="20"/>
              </w:rPr>
              <w:t>CCD Apportionment</w:t>
            </w:r>
          </w:p>
        </w:tc>
        <w:tc>
          <w:tcPr>
            <w:tcW w:w="2040" w:type="dxa"/>
            <w:tcBorders>
              <w:top w:val="nil"/>
              <w:left w:val="nil"/>
              <w:bottom w:val="single" w:sz="4" w:space="0" w:color="999999"/>
              <w:right w:val="single" w:sz="4" w:space="0" w:color="999999"/>
            </w:tcBorders>
            <w:shd w:val="clear" w:color="auto" w:fill="auto"/>
            <w:noWrap/>
            <w:vAlign w:val="center"/>
            <w:hideMark/>
          </w:tcPr>
          <w:p w14:paraId="7F895CF5" w14:textId="5B21085B" w:rsidR="00776666" w:rsidRPr="00140F8B" w:rsidRDefault="00776666" w:rsidP="004E08A5">
            <w:pPr>
              <w:spacing w:after="0" w:line="240" w:lineRule="auto"/>
              <w:jc w:val="right"/>
              <w:rPr>
                <w:rFonts w:asciiTheme="minorHAnsi" w:eastAsia="Times New Roman" w:hAnsiTheme="minorHAnsi" w:cs="Arial"/>
                <w:color w:val="04326C"/>
                <w:sz w:val="20"/>
                <w:szCs w:val="20"/>
                <w:highlight w:val="yellow"/>
              </w:rPr>
            </w:pPr>
            <w:r w:rsidRPr="00140F8B">
              <w:rPr>
                <w:rFonts w:asciiTheme="minorHAnsi" w:eastAsia="Times New Roman" w:hAnsiTheme="minorHAnsi" w:cs="Arial"/>
                <w:color w:val="04326C"/>
                <w:sz w:val="20"/>
                <w:szCs w:val="20"/>
                <w:highlight w:val="yellow"/>
              </w:rPr>
              <w:fldChar w:fldCharType="begin">
                <w:ffData>
                  <w:name w:val="aep1"/>
                  <w:enabled/>
                  <w:calcOnExit/>
                  <w:textInput>
                    <w:type w:val="number"/>
                    <w:default w:val="$0"/>
                    <w:format w:val="$#,##0"/>
                  </w:textInput>
                </w:ffData>
              </w:fldChar>
            </w:r>
            <w:r w:rsidRPr="00140F8B">
              <w:rPr>
                <w:rFonts w:asciiTheme="minorHAnsi" w:eastAsia="Times New Roman" w:hAnsiTheme="minorHAnsi" w:cs="Arial"/>
                <w:color w:val="04326C"/>
                <w:sz w:val="20"/>
                <w:szCs w:val="20"/>
                <w:highlight w:val="yellow"/>
              </w:rPr>
              <w:instrText xml:space="preserve"> FORMTEXT </w:instrText>
            </w:r>
            <w:r w:rsidRPr="00140F8B">
              <w:rPr>
                <w:rFonts w:asciiTheme="minorHAnsi" w:eastAsia="Times New Roman" w:hAnsiTheme="minorHAnsi" w:cs="Arial"/>
                <w:color w:val="04326C"/>
                <w:sz w:val="20"/>
                <w:szCs w:val="20"/>
                <w:highlight w:val="yellow"/>
              </w:rPr>
            </w:r>
            <w:r w:rsidRPr="00140F8B">
              <w:rPr>
                <w:rFonts w:asciiTheme="minorHAnsi" w:eastAsia="Times New Roman" w:hAnsiTheme="minorHAnsi" w:cs="Arial"/>
                <w:color w:val="04326C"/>
                <w:sz w:val="20"/>
                <w:szCs w:val="20"/>
                <w:highlight w:val="yellow"/>
              </w:rPr>
              <w:fldChar w:fldCharType="separate"/>
            </w:r>
            <w:r w:rsidR="004E08A5" w:rsidRPr="004E08A5">
              <w:rPr>
                <w:rFonts w:asciiTheme="minorHAnsi" w:eastAsia="Times New Roman" w:hAnsiTheme="minorHAnsi" w:cs="Arial"/>
                <w:noProof/>
                <w:color w:val="04326C"/>
                <w:sz w:val="20"/>
                <w:szCs w:val="20"/>
              </w:rPr>
              <w:t>$39,658,602</w:t>
            </w:r>
            <w:r w:rsidRPr="00140F8B">
              <w:rPr>
                <w:rFonts w:asciiTheme="minorHAnsi" w:eastAsia="Times New Roman" w:hAnsiTheme="minorHAnsi" w:cs="Arial"/>
                <w:color w:val="04326C"/>
                <w:sz w:val="20"/>
                <w:szCs w:val="20"/>
                <w:highlight w:val="yellow"/>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53C03005" w14:textId="2FEEF20D" w:rsidR="00776666" w:rsidRPr="00140F8B" w:rsidRDefault="00776666" w:rsidP="004E08A5">
            <w:pPr>
              <w:spacing w:after="0" w:line="240" w:lineRule="auto"/>
              <w:jc w:val="right"/>
              <w:rPr>
                <w:rFonts w:asciiTheme="minorHAnsi" w:eastAsia="Times New Roman" w:hAnsiTheme="minorHAnsi" w:cs="Arial"/>
                <w:color w:val="04326C"/>
                <w:sz w:val="20"/>
                <w:szCs w:val="20"/>
                <w:highlight w:val="yellow"/>
              </w:rPr>
            </w:pPr>
            <w:r w:rsidRPr="00140F8B">
              <w:rPr>
                <w:rFonts w:asciiTheme="minorHAnsi" w:eastAsia="Times New Roman" w:hAnsiTheme="minorHAnsi" w:cs="Arial"/>
                <w:color w:val="04326C"/>
                <w:sz w:val="20"/>
                <w:szCs w:val="20"/>
                <w:highlight w:val="yellow"/>
              </w:rPr>
              <w:fldChar w:fldCharType="begin">
                <w:ffData>
                  <w:name w:val="aep1"/>
                  <w:enabled/>
                  <w:calcOnExit/>
                  <w:textInput>
                    <w:type w:val="number"/>
                    <w:default w:val="$0"/>
                    <w:format w:val="$#,##0"/>
                  </w:textInput>
                </w:ffData>
              </w:fldChar>
            </w:r>
            <w:r w:rsidRPr="00140F8B">
              <w:rPr>
                <w:rFonts w:asciiTheme="minorHAnsi" w:eastAsia="Times New Roman" w:hAnsiTheme="minorHAnsi" w:cs="Arial"/>
                <w:color w:val="04326C"/>
                <w:sz w:val="20"/>
                <w:szCs w:val="20"/>
                <w:highlight w:val="yellow"/>
              </w:rPr>
              <w:instrText xml:space="preserve"> FORMTEXT </w:instrText>
            </w:r>
            <w:r w:rsidRPr="00140F8B">
              <w:rPr>
                <w:rFonts w:asciiTheme="minorHAnsi" w:eastAsia="Times New Roman" w:hAnsiTheme="minorHAnsi" w:cs="Arial"/>
                <w:color w:val="04326C"/>
                <w:sz w:val="20"/>
                <w:szCs w:val="20"/>
                <w:highlight w:val="yellow"/>
              </w:rPr>
            </w:r>
            <w:r w:rsidRPr="00140F8B">
              <w:rPr>
                <w:rFonts w:asciiTheme="minorHAnsi" w:eastAsia="Times New Roman" w:hAnsiTheme="minorHAnsi" w:cs="Arial"/>
                <w:color w:val="04326C"/>
                <w:sz w:val="20"/>
                <w:szCs w:val="20"/>
                <w:highlight w:val="yellow"/>
              </w:rPr>
              <w:fldChar w:fldCharType="separate"/>
            </w:r>
            <w:r w:rsidR="004E08A5" w:rsidRPr="004E08A5">
              <w:rPr>
                <w:rFonts w:asciiTheme="minorHAnsi" w:eastAsia="Times New Roman" w:hAnsiTheme="minorHAnsi" w:cs="Arial"/>
                <w:noProof/>
                <w:color w:val="04326C"/>
                <w:sz w:val="20"/>
                <w:szCs w:val="20"/>
              </w:rPr>
              <w:t>$39,658,602</w:t>
            </w:r>
            <w:r w:rsidRPr="00140F8B">
              <w:rPr>
                <w:rFonts w:asciiTheme="minorHAnsi" w:eastAsia="Times New Roman" w:hAnsiTheme="minorHAnsi" w:cs="Arial"/>
                <w:color w:val="04326C"/>
                <w:sz w:val="20"/>
                <w:szCs w:val="20"/>
                <w:highlight w:val="yellow"/>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0EFF03F7" w14:textId="5B0394EE" w:rsidR="00776666" w:rsidRPr="00140F8B" w:rsidRDefault="00776666" w:rsidP="004E08A5">
            <w:pPr>
              <w:spacing w:after="0" w:line="240" w:lineRule="auto"/>
              <w:jc w:val="right"/>
              <w:rPr>
                <w:rFonts w:asciiTheme="minorHAnsi" w:eastAsia="Times New Roman" w:hAnsiTheme="minorHAnsi" w:cs="Arial"/>
                <w:color w:val="04326C"/>
                <w:sz w:val="20"/>
                <w:szCs w:val="20"/>
                <w:highlight w:val="yellow"/>
              </w:rPr>
            </w:pPr>
            <w:r w:rsidRPr="00140F8B">
              <w:rPr>
                <w:rFonts w:asciiTheme="minorHAnsi" w:eastAsia="Times New Roman" w:hAnsiTheme="minorHAnsi" w:cs="Arial"/>
                <w:color w:val="04326C"/>
                <w:sz w:val="20"/>
                <w:szCs w:val="20"/>
                <w:highlight w:val="yellow"/>
              </w:rPr>
              <w:fldChar w:fldCharType="begin">
                <w:ffData>
                  <w:name w:val="aep1"/>
                  <w:enabled/>
                  <w:calcOnExit/>
                  <w:textInput>
                    <w:type w:val="number"/>
                    <w:default w:val="$0"/>
                    <w:format w:val="$#,##0"/>
                  </w:textInput>
                </w:ffData>
              </w:fldChar>
            </w:r>
            <w:r w:rsidRPr="00140F8B">
              <w:rPr>
                <w:rFonts w:asciiTheme="minorHAnsi" w:eastAsia="Times New Roman" w:hAnsiTheme="minorHAnsi" w:cs="Arial"/>
                <w:color w:val="04326C"/>
                <w:sz w:val="20"/>
                <w:szCs w:val="20"/>
                <w:highlight w:val="yellow"/>
              </w:rPr>
              <w:instrText xml:space="preserve"> FORMTEXT </w:instrText>
            </w:r>
            <w:r w:rsidRPr="00140F8B">
              <w:rPr>
                <w:rFonts w:asciiTheme="minorHAnsi" w:eastAsia="Times New Roman" w:hAnsiTheme="minorHAnsi" w:cs="Arial"/>
                <w:color w:val="04326C"/>
                <w:sz w:val="20"/>
                <w:szCs w:val="20"/>
                <w:highlight w:val="yellow"/>
              </w:rPr>
            </w:r>
            <w:r w:rsidRPr="00140F8B">
              <w:rPr>
                <w:rFonts w:asciiTheme="minorHAnsi" w:eastAsia="Times New Roman" w:hAnsiTheme="minorHAnsi" w:cs="Arial"/>
                <w:color w:val="04326C"/>
                <w:sz w:val="20"/>
                <w:szCs w:val="20"/>
                <w:highlight w:val="yellow"/>
              </w:rPr>
              <w:fldChar w:fldCharType="separate"/>
            </w:r>
            <w:r w:rsidR="004E08A5" w:rsidRPr="004E08A5">
              <w:rPr>
                <w:rFonts w:asciiTheme="minorHAnsi" w:eastAsia="Times New Roman" w:hAnsiTheme="minorHAnsi" w:cs="Arial"/>
                <w:noProof/>
                <w:color w:val="04326C"/>
                <w:sz w:val="20"/>
                <w:szCs w:val="20"/>
              </w:rPr>
              <w:t>$39,658,602</w:t>
            </w:r>
            <w:r w:rsidRPr="00140F8B">
              <w:rPr>
                <w:rFonts w:asciiTheme="minorHAnsi" w:eastAsia="Times New Roman" w:hAnsiTheme="minorHAnsi" w:cs="Arial"/>
                <w:color w:val="04326C"/>
                <w:sz w:val="20"/>
                <w:szCs w:val="20"/>
                <w:highlight w:val="yellow"/>
              </w:rPr>
              <w:fldChar w:fldCharType="end"/>
            </w:r>
          </w:p>
        </w:tc>
      </w:tr>
      <w:tr w:rsidR="00776666" w:rsidRPr="00915E51" w14:paraId="552CFF58" w14:textId="77777777" w:rsidTr="00885F51">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62BBABD" w14:textId="77777777" w:rsidR="00776666" w:rsidRPr="00915E51" w:rsidRDefault="00776666" w:rsidP="00885F51">
            <w:pPr>
              <w:spacing w:after="0" w:line="240" w:lineRule="auto"/>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Corrections</w:t>
            </w:r>
          </w:p>
        </w:tc>
        <w:tc>
          <w:tcPr>
            <w:tcW w:w="2040" w:type="dxa"/>
            <w:tcBorders>
              <w:top w:val="nil"/>
              <w:left w:val="nil"/>
              <w:bottom w:val="single" w:sz="4" w:space="0" w:color="999999"/>
              <w:right w:val="single" w:sz="4" w:space="0" w:color="999999"/>
            </w:tcBorders>
            <w:shd w:val="clear" w:color="auto" w:fill="auto"/>
            <w:noWrap/>
            <w:vAlign w:val="center"/>
            <w:hideMark/>
          </w:tcPr>
          <w:p w14:paraId="76A79F2D" w14:textId="55F4BC3C" w:rsidR="00776666" w:rsidRPr="00A324A7" w:rsidRDefault="00ED7C32" w:rsidP="00885F51">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$0</w:t>
            </w:r>
          </w:p>
        </w:tc>
        <w:tc>
          <w:tcPr>
            <w:tcW w:w="2040" w:type="dxa"/>
            <w:tcBorders>
              <w:top w:val="nil"/>
              <w:left w:val="nil"/>
              <w:bottom w:val="single" w:sz="4" w:space="0" w:color="999999"/>
              <w:right w:val="single" w:sz="4" w:space="0" w:color="999999"/>
            </w:tcBorders>
            <w:shd w:val="clear" w:color="auto" w:fill="auto"/>
            <w:noWrap/>
            <w:vAlign w:val="center"/>
            <w:hideMark/>
          </w:tcPr>
          <w:p w14:paraId="17927C3C" w14:textId="22565158" w:rsidR="00776666" w:rsidRPr="00A324A7" w:rsidRDefault="00ED7C32" w:rsidP="00885F51">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$0</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69B4B913" w14:textId="6ECBFD67" w:rsidR="00776666" w:rsidRPr="00A324A7" w:rsidRDefault="00ED7C32" w:rsidP="00885F51">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$0</w:t>
            </w:r>
          </w:p>
        </w:tc>
      </w:tr>
      <w:tr w:rsidR="00776666" w:rsidRPr="00915E51" w14:paraId="5ADFCFA1" w14:textId="77777777" w:rsidTr="00885F51">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3A4261A" w14:textId="2453751D" w:rsidR="00776666" w:rsidRPr="00915E51" w:rsidRDefault="00776666" w:rsidP="00776666">
            <w:pPr>
              <w:spacing w:after="0" w:line="240" w:lineRule="auto"/>
              <w:rPr>
                <w:rFonts w:ascii="Avenir Roman" w:eastAsia="Times New Roman" w:hAnsi="Avenir Roman" w:cs="Arial"/>
                <w:b/>
                <w:bCs/>
                <w:color w:val="auto"/>
                <w:sz w:val="20"/>
                <w:szCs w:val="20"/>
              </w:rPr>
            </w:pPr>
            <w:r>
              <w:rPr>
                <w:rFonts w:ascii="Avenir Roman" w:eastAsia="Times New Roman" w:hAnsi="Avenir Roman" w:cs="Arial"/>
                <w:b/>
                <w:bCs/>
                <w:color w:val="auto"/>
                <w:sz w:val="20"/>
                <w:szCs w:val="20"/>
              </w:rPr>
              <w:t>LCFF / District Funds</w:t>
            </w:r>
          </w:p>
        </w:tc>
        <w:tc>
          <w:tcPr>
            <w:tcW w:w="2040" w:type="dxa"/>
            <w:tcBorders>
              <w:top w:val="nil"/>
              <w:left w:val="nil"/>
              <w:bottom w:val="single" w:sz="4" w:space="0" w:color="999999"/>
              <w:right w:val="single" w:sz="4" w:space="0" w:color="999999"/>
            </w:tcBorders>
            <w:shd w:val="clear" w:color="auto" w:fill="auto"/>
            <w:noWrap/>
            <w:vAlign w:val="center"/>
          </w:tcPr>
          <w:p w14:paraId="1B566773" w14:textId="73E3B1B0"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$0</w:t>
            </w:r>
          </w:p>
        </w:tc>
        <w:tc>
          <w:tcPr>
            <w:tcW w:w="2040" w:type="dxa"/>
            <w:tcBorders>
              <w:top w:val="nil"/>
              <w:left w:val="nil"/>
              <w:bottom w:val="single" w:sz="4" w:space="0" w:color="999999"/>
              <w:right w:val="single" w:sz="4" w:space="0" w:color="999999"/>
            </w:tcBorders>
            <w:shd w:val="clear" w:color="auto" w:fill="auto"/>
            <w:noWrap/>
            <w:vAlign w:val="center"/>
          </w:tcPr>
          <w:p w14:paraId="5CCB5C80" w14:textId="09D3C374"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$0</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tcPr>
          <w:p w14:paraId="00A87D69" w14:textId="7A289B83"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$0</w:t>
            </w:r>
          </w:p>
        </w:tc>
      </w:tr>
      <w:tr w:rsidR="00776666" w:rsidRPr="00915E51" w14:paraId="3C7D0C85" w14:textId="77777777" w:rsidTr="00885F51">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3C2F7A08" w14:textId="77777777" w:rsidR="00776666" w:rsidRPr="00915E51" w:rsidRDefault="00776666" w:rsidP="00776666">
            <w:pPr>
              <w:spacing w:after="0" w:line="240" w:lineRule="auto"/>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Perkins V</w:t>
            </w:r>
          </w:p>
        </w:tc>
        <w:tc>
          <w:tcPr>
            <w:tcW w:w="2040" w:type="dxa"/>
            <w:tcBorders>
              <w:top w:val="nil"/>
              <w:left w:val="nil"/>
              <w:bottom w:val="single" w:sz="4" w:space="0" w:color="999999"/>
              <w:right w:val="single" w:sz="4" w:space="0" w:color="999999"/>
            </w:tcBorders>
            <w:shd w:val="clear" w:color="auto" w:fill="auto"/>
            <w:noWrap/>
            <w:vAlign w:val="center"/>
            <w:hideMark/>
          </w:tcPr>
          <w:p w14:paraId="04695E73" w14:textId="3AED750A"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$25,807</w:t>
            </w:r>
          </w:p>
        </w:tc>
        <w:tc>
          <w:tcPr>
            <w:tcW w:w="2040" w:type="dxa"/>
            <w:tcBorders>
              <w:top w:val="nil"/>
              <w:left w:val="nil"/>
              <w:bottom w:val="single" w:sz="4" w:space="0" w:color="999999"/>
              <w:right w:val="single" w:sz="4" w:space="0" w:color="999999"/>
            </w:tcBorders>
            <w:shd w:val="clear" w:color="auto" w:fill="auto"/>
            <w:noWrap/>
            <w:vAlign w:val="center"/>
            <w:hideMark/>
          </w:tcPr>
          <w:p w14:paraId="59591793" w14:textId="0D57CBF0"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$25,807</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9EA4C47" w14:textId="7613E276"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$25,807</w:t>
            </w:r>
          </w:p>
        </w:tc>
      </w:tr>
      <w:tr w:rsidR="00776666" w:rsidRPr="00915E51" w14:paraId="23AABDEE"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08DD3E90" w14:textId="16372B94" w:rsidR="00776666" w:rsidRPr="00915E51" w:rsidRDefault="00776666" w:rsidP="00776666">
            <w:pPr>
              <w:spacing w:after="0" w:line="240" w:lineRule="auto"/>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 xml:space="preserve">WIOA </w:t>
            </w:r>
            <w:r>
              <w:rPr>
                <w:rFonts w:ascii="Avenir Roman" w:eastAsia="Times New Roman" w:hAnsi="Avenir Roman" w:cs="Arial"/>
                <w:b/>
                <w:bCs/>
                <w:color w:val="auto"/>
                <w:sz w:val="20"/>
                <w:szCs w:val="20"/>
              </w:rPr>
              <w:t>II</w:t>
            </w:r>
          </w:p>
        </w:tc>
        <w:tc>
          <w:tcPr>
            <w:tcW w:w="2040" w:type="dxa"/>
            <w:tcBorders>
              <w:top w:val="nil"/>
              <w:left w:val="nil"/>
              <w:bottom w:val="single" w:sz="4" w:space="0" w:color="999999"/>
              <w:right w:val="single" w:sz="4" w:space="0" w:color="999999"/>
            </w:tcBorders>
            <w:shd w:val="clear" w:color="auto" w:fill="auto"/>
            <w:noWrap/>
            <w:vAlign w:val="center"/>
            <w:hideMark/>
          </w:tcPr>
          <w:p w14:paraId="2AB5D2BC" w14:textId="08589857" w:rsidR="00776666" w:rsidRPr="00A324A7" w:rsidRDefault="00ED7C32"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$759,682</w:t>
            </w:r>
          </w:p>
        </w:tc>
        <w:tc>
          <w:tcPr>
            <w:tcW w:w="2040" w:type="dxa"/>
            <w:tcBorders>
              <w:top w:val="nil"/>
              <w:left w:val="nil"/>
              <w:bottom w:val="single" w:sz="4" w:space="0" w:color="999999"/>
              <w:right w:val="single" w:sz="4" w:space="0" w:color="999999"/>
            </w:tcBorders>
            <w:shd w:val="clear" w:color="auto" w:fill="auto"/>
            <w:noWrap/>
            <w:vAlign w:val="center"/>
            <w:hideMark/>
          </w:tcPr>
          <w:p w14:paraId="1C624786" w14:textId="168148AE"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$759,682</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015E8F43" w14:textId="116FAEE9"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$759,682</w:t>
            </w:r>
          </w:p>
        </w:tc>
      </w:tr>
      <w:tr w:rsidR="00776666" w:rsidRPr="00915E51" w14:paraId="5E3D2FEA" w14:textId="77777777" w:rsidTr="00915E51">
        <w:trPr>
          <w:trHeight w:val="500"/>
        </w:trPr>
        <w:tc>
          <w:tcPr>
            <w:tcW w:w="3420" w:type="dxa"/>
            <w:tcBorders>
              <w:top w:val="single" w:sz="4" w:space="0" w:color="999999"/>
              <w:left w:val="single" w:sz="4" w:space="0" w:color="999999"/>
              <w:bottom w:val="single" w:sz="4" w:space="0" w:color="999999"/>
              <w:right w:val="nil"/>
            </w:tcBorders>
            <w:shd w:val="clear" w:color="C0C0C0" w:fill="C0C0C0"/>
            <w:vAlign w:val="center"/>
            <w:hideMark/>
          </w:tcPr>
          <w:p w14:paraId="78AFB88F" w14:textId="77777777" w:rsidR="00776666" w:rsidRPr="00915E51" w:rsidRDefault="00776666" w:rsidP="00776666">
            <w:pPr>
              <w:spacing w:after="0" w:line="240" w:lineRule="auto"/>
              <w:rPr>
                <w:rFonts w:ascii="Avenir Roman" w:eastAsia="Times New Roman" w:hAnsi="Avenir Roman" w:cs="Arial"/>
                <w:b/>
                <w:bCs/>
                <w:color w:val="auto"/>
                <w:sz w:val="20"/>
                <w:szCs w:val="20"/>
              </w:rPr>
            </w:pPr>
            <w:r w:rsidRPr="00915E51">
              <w:rPr>
                <w:rFonts w:ascii="Avenir Roman" w:eastAsia="Times New Roman" w:hAnsi="Avenir Roman" w:cs="Arial"/>
                <w:b/>
                <w:bCs/>
                <w:color w:val="auto"/>
                <w:sz w:val="20"/>
                <w:szCs w:val="20"/>
              </w:rPr>
              <w:t>Other</w:t>
            </w:r>
          </w:p>
        </w:tc>
        <w:tc>
          <w:tcPr>
            <w:tcW w:w="2040" w:type="dxa"/>
            <w:tcBorders>
              <w:top w:val="nil"/>
              <w:left w:val="nil"/>
              <w:bottom w:val="single" w:sz="4" w:space="0" w:color="999999"/>
              <w:right w:val="nil"/>
            </w:tcBorders>
            <w:shd w:val="clear" w:color="C0C0C0" w:fill="C0C0C0"/>
            <w:vAlign w:val="center"/>
            <w:hideMark/>
          </w:tcPr>
          <w:p w14:paraId="084830FD" w14:textId="57AC61B0" w:rsidR="00776666" w:rsidRPr="00775D42" w:rsidRDefault="00776666" w:rsidP="00776666">
            <w:pPr>
              <w:spacing w:after="0" w:line="240" w:lineRule="auto"/>
              <w:jc w:val="right"/>
              <w:rPr>
                <w:rFonts w:asciiTheme="minorHAnsi" w:eastAsia="Times New Roman" w:hAnsiTheme="minorHAnsi" w:cs="Arial"/>
                <w:b/>
                <w:bCs/>
                <w:color w:val="BFBFBF" w:themeColor="background1" w:themeShade="BF"/>
                <w:sz w:val="20"/>
                <w:szCs w:val="20"/>
              </w:rPr>
            </w:pPr>
            <w:r w:rsidRPr="00775D42">
              <w:rPr>
                <w:rFonts w:asciiTheme="minorHAnsi" w:eastAsia="Times New Roman" w:hAnsiTheme="minorHAnsi"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asciiTheme="minorHAnsi" w:eastAsia="Times New Roman" w:hAnsiTheme="minorHAnsi" w:cs="Arial"/>
                <w:b/>
                <w:bCs/>
                <w:color w:val="BFBFBF" w:themeColor="background1" w:themeShade="BF"/>
                <w:sz w:val="20"/>
                <w:szCs w:val="20"/>
              </w:rPr>
              <w:instrText xml:space="preserve"> FORMTEXT </w:instrText>
            </w:r>
            <w:r w:rsidRPr="00775D42">
              <w:rPr>
                <w:rFonts w:asciiTheme="minorHAnsi" w:eastAsia="Times New Roman" w:hAnsiTheme="minorHAnsi" w:cs="Arial"/>
                <w:b/>
                <w:bCs/>
                <w:color w:val="BFBFBF" w:themeColor="background1" w:themeShade="BF"/>
                <w:sz w:val="20"/>
                <w:szCs w:val="20"/>
              </w:rPr>
            </w:r>
            <w:r w:rsidRPr="00775D42">
              <w:rPr>
                <w:rFonts w:asciiTheme="minorHAnsi" w:eastAsia="Times New Roman" w:hAnsiTheme="minorHAnsi" w:cs="Arial"/>
                <w:b/>
                <w:bCs/>
                <w:color w:val="BFBFBF" w:themeColor="background1" w:themeShade="BF"/>
                <w:sz w:val="20"/>
                <w:szCs w:val="20"/>
              </w:rPr>
              <w:fldChar w:fldCharType="separate"/>
            </w:r>
            <w:r>
              <w:rPr>
                <w:rFonts w:asciiTheme="minorHAnsi" w:eastAsia="Times New Roman" w:hAnsiTheme="minorHAnsi" w:cs="Arial"/>
                <w:b/>
                <w:bCs/>
                <w:noProof/>
                <w:color w:val="BFBFBF" w:themeColor="background1" w:themeShade="BF"/>
                <w:sz w:val="20"/>
                <w:szCs w:val="20"/>
              </w:rPr>
              <w:t>$0</w:t>
            </w:r>
            <w:r w:rsidRPr="00775D42">
              <w:rPr>
                <w:rFonts w:asciiTheme="minorHAnsi" w:eastAsia="Times New Roman" w:hAnsiTheme="minorHAnsi" w:cs="Arial"/>
                <w:b/>
                <w:bCs/>
                <w:color w:val="BFBFBF" w:themeColor="background1" w:themeShade="BF"/>
                <w:sz w:val="20"/>
                <w:szCs w:val="20"/>
              </w:rPr>
              <w:fldChar w:fldCharType="end"/>
            </w:r>
          </w:p>
        </w:tc>
        <w:tc>
          <w:tcPr>
            <w:tcW w:w="2040" w:type="dxa"/>
            <w:tcBorders>
              <w:top w:val="nil"/>
              <w:left w:val="nil"/>
              <w:bottom w:val="single" w:sz="4" w:space="0" w:color="999999"/>
              <w:right w:val="nil"/>
            </w:tcBorders>
            <w:shd w:val="clear" w:color="C0C0C0" w:fill="C0C0C0"/>
            <w:vAlign w:val="center"/>
            <w:hideMark/>
          </w:tcPr>
          <w:p w14:paraId="548C0C7C" w14:textId="47EEB2C3" w:rsidR="00776666" w:rsidRPr="00775D42" w:rsidRDefault="00776666" w:rsidP="00776666">
            <w:pPr>
              <w:spacing w:after="0" w:line="240" w:lineRule="auto"/>
              <w:jc w:val="right"/>
              <w:rPr>
                <w:rFonts w:asciiTheme="minorHAnsi" w:eastAsia="Times New Roman" w:hAnsiTheme="minorHAnsi" w:cs="Arial"/>
                <w:b/>
                <w:bCs/>
                <w:color w:val="BFBFBF" w:themeColor="background1" w:themeShade="BF"/>
                <w:sz w:val="20"/>
                <w:szCs w:val="20"/>
              </w:rPr>
            </w:pPr>
            <w:r w:rsidRPr="00775D42">
              <w:rPr>
                <w:rFonts w:asciiTheme="minorHAnsi" w:eastAsia="Times New Roman" w:hAnsiTheme="minorHAnsi"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asciiTheme="minorHAnsi" w:eastAsia="Times New Roman" w:hAnsiTheme="minorHAnsi" w:cs="Arial"/>
                <w:b/>
                <w:bCs/>
                <w:color w:val="BFBFBF" w:themeColor="background1" w:themeShade="BF"/>
                <w:sz w:val="20"/>
                <w:szCs w:val="20"/>
              </w:rPr>
              <w:instrText xml:space="preserve"> FORMTEXT </w:instrText>
            </w:r>
            <w:r w:rsidRPr="00775D42">
              <w:rPr>
                <w:rFonts w:asciiTheme="minorHAnsi" w:eastAsia="Times New Roman" w:hAnsiTheme="minorHAnsi" w:cs="Arial"/>
                <w:b/>
                <w:bCs/>
                <w:color w:val="BFBFBF" w:themeColor="background1" w:themeShade="BF"/>
                <w:sz w:val="20"/>
                <w:szCs w:val="20"/>
              </w:rPr>
            </w:r>
            <w:r w:rsidRPr="00775D42">
              <w:rPr>
                <w:rFonts w:asciiTheme="minorHAnsi" w:eastAsia="Times New Roman" w:hAnsiTheme="minorHAnsi" w:cs="Arial"/>
                <w:b/>
                <w:bCs/>
                <w:color w:val="BFBFBF" w:themeColor="background1" w:themeShade="BF"/>
                <w:sz w:val="20"/>
                <w:szCs w:val="20"/>
              </w:rPr>
              <w:fldChar w:fldCharType="separate"/>
            </w:r>
            <w:r>
              <w:rPr>
                <w:rFonts w:asciiTheme="minorHAnsi" w:eastAsia="Times New Roman" w:hAnsiTheme="minorHAnsi" w:cs="Arial"/>
                <w:b/>
                <w:bCs/>
                <w:noProof/>
                <w:color w:val="BFBFBF" w:themeColor="background1" w:themeShade="BF"/>
                <w:sz w:val="20"/>
                <w:szCs w:val="20"/>
              </w:rPr>
              <w:t>$0</w:t>
            </w:r>
            <w:r w:rsidRPr="00775D42">
              <w:rPr>
                <w:rFonts w:asciiTheme="minorHAnsi" w:eastAsia="Times New Roman" w:hAnsiTheme="minorHAnsi" w:cs="Arial"/>
                <w:b/>
                <w:bCs/>
                <w:color w:val="BFBFBF" w:themeColor="background1" w:themeShade="BF"/>
                <w:sz w:val="20"/>
                <w:szCs w:val="20"/>
              </w:rPr>
              <w:fldChar w:fldCharType="end"/>
            </w:r>
          </w:p>
        </w:tc>
        <w:tc>
          <w:tcPr>
            <w:tcW w:w="2040" w:type="dxa"/>
            <w:tcBorders>
              <w:top w:val="single" w:sz="4" w:space="0" w:color="999999"/>
              <w:left w:val="nil"/>
              <w:bottom w:val="single" w:sz="4" w:space="0" w:color="999999"/>
              <w:right w:val="single" w:sz="4" w:space="0" w:color="999999"/>
            </w:tcBorders>
            <w:shd w:val="clear" w:color="C0C0C0" w:fill="C0C0C0"/>
            <w:vAlign w:val="center"/>
            <w:hideMark/>
          </w:tcPr>
          <w:p w14:paraId="1BC7E231" w14:textId="38AA5F7F" w:rsidR="00776666" w:rsidRPr="00775D42" w:rsidRDefault="00776666" w:rsidP="00776666">
            <w:pPr>
              <w:spacing w:after="0" w:line="240" w:lineRule="auto"/>
              <w:jc w:val="right"/>
              <w:rPr>
                <w:rFonts w:asciiTheme="minorHAnsi" w:eastAsia="Times New Roman" w:hAnsiTheme="minorHAnsi" w:cs="Arial"/>
                <w:b/>
                <w:bCs/>
                <w:color w:val="BFBFBF" w:themeColor="background1" w:themeShade="BF"/>
                <w:sz w:val="20"/>
                <w:szCs w:val="20"/>
              </w:rPr>
            </w:pPr>
            <w:r w:rsidRPr="00775D42">
              <w:rPr>
                <w:rFonts w:asciiTheme="minorHAnsi" w:eastAsia="Times New Roman" w:hAnsiTheme="minorHAnsi" w:cs="Arial"/>
                <w:b/>
                <w:bCs/>
                <w:color w:val="BFBFBF" w:themeColor="background1" w:themeShade="BF"/>
                <w:sz w:val="20"/>
                <w:szCs w:val="20"/>
              </w:rPr>
              <w:fldChar w:fldCharType="begin">
                <w:ffData>
                  <w:name w:val=""/>
                  <w:enabled w:val="0"/>
                  <w:calcOnExit w:val="0"/>
                  <w:textInput>
                    <w:type w:val="number"/>
                    <w:default w:val="$0"/>
                    <w:format w:val="$#,##0"/>
                  </w:textInput>
                </w:ffData>
              </w:fldChar>
            </w:r>
            <w:r w:rsidRPr="00775D42">
              <w:rPr>
                <w:rFonts w:asciiTheme="minorHAnsi" w:eastAsia="Times New Roman" w:hAnsiTheme="minorHAnsi" w:cs="Arial"/>
                <w:b/>
                <w:bCs/>
                <w:color w:val="BFBFBF" w:themeColor="background1" w:themeShade="BF"/>
                <w:sz w:val="20"/>
                <w:szCs w:val="20"/>
              </w:rPr>
              <w:instrText xml:space="preserve"> FORMTEXT </w:instrText>
            </w:r>
            <w:r w:rsidRPr="00775D42">
              <w:rPr>
                <w:rFonts w:asciiTheme="minorHAnsi" w:eastAsia="Times New Roman" w:hAnsiTheme="minorHAnsi" w:cs="Arial"/>
                <w:b/>
                <w:bCs/>
                <w:color w:val="BFBFBF" w:themeColor="background1" w:themeShade="BF"/>
                <w:sz w:val="20"/>
                <w:szCs w:val="20"/>
              </w:rPr>
            </w:r>
            <w:r w:rsidRPr="00775D42">
              <w:rPr>
                <w:rFonts w:asciiTheme="minorHAnsi" w:eastAsia="Times New Roman" w:hAnsiTheme="minorHAnsi" w:cs="Arial"/>
                <w:b/>
                <w:bCs/>
                <w:color w:val="BFBFBF" w:themeColor="background1" w:themeShade="BF"/>
                <w:sz w:val="20"/>
                <w:szCs w:val="20"/>
              </w:rPr>
              <w:fldChar w:fldCharType="separate"/>
            </w:r>
            <w:r>
              <w:rPr>
                <w:rFonts w:asciiTheme="minorHAnsi" w:eastAsia="Times New Roman" w:hAnsiTheme="minorHAnsi" w:cs="Arial"/>
                <w:b/>
                <w:bCs/>
                <w:noProof/>
                <w:color w:val="BFBFBF" w:themeColor="background1" w:themeShade="BF"/>
                <w:sz w:val="20"/>
                <w:szCs w:val="20"/>
              </w:rPr>
              <w:t>$0</w:t>
            </w:r>
            <w:r w:rsidRPr="00775D42">
              <w:rPr>
                <w:rFonts w:asciiTheme="minorHAnsi" w:eastAsia="Times New Roman" w:hAnsiTheme="minorHAnsi" w:cs="Arial"/>
                <w:b/>
                <w:bCs/>
                <w:color w:val="BFBFBF" w:themeColor="background1" w:themeShade="BF"/>
                <w:sz w:val="20"/>
                <w:szCs w:val="20"/>
              </w:rPr>
              <w:fldChar w:fldCharType="end"/>
            </w:r>
          </w:p>
        </w:tc>
      </w:tr>
      <w:tr w:rsidR="00776666" w:rsidRPr="00915E51" w14:paraId="77992256"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6C641419" w14:textId="62959AEF" w:rsidR="00776666" w:rsidRPr="00A324A7" w:rsidRDefault="00D82283" w:rsidP="00776666">
            <w:pPr>
              <w:spacing w:after="0" w:line="240" w:lineRule="auto"/>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Donations</w:t>
            </w:r>
          </w:p>
        </w:tc>
        <w:tc>
          <w:tcPr>
            <w:tcW w:w="2040" w:type="dxa"/>
            <w:tcBorders>
              <w:top w:val="nil"/>
              <w:left w:val="nil"/>
              <w:bottom w:val="single" w:sz="4" w:space="0" w:color="999999"/>
              <w:right w:val="single" w:sz="4" w:space="0" w:color="999999"/>
            </w:tcBorders>
            <w:shd w:val="clear" w:color="auto" w:fill="auto"/>
            <w:noWrap/>
            <w:vAlign w:val="center"/>
            <w:hideMark/>
          </w:tcPr>
          <w:p w14:paraId="5663F918" w14:textId="6B26A627"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$340,602</w:t>
            </w:r>
          </w:p>
        </w:tc>
        <w:tc>
          <w:tcPr>
            <w:tcW w:w="2040" w:type="dxa"/>
            <w:tcBorders>
              <w:top w:val="nil"/>
              <w:left w:val="nil"/>
              <w:bottom w:val="single" w:sz="4" w:space="0" w:color="999999"/>
              <w:right w:val="single" w:sz="4" w:space="0" w:color="999999"/>
            </w:tcBorders>
            <w:shd w:val="clear" w:color="auto" w:fill="auto"/>
            <w:noWrap/>
            <w:vAlign w:val="center"/>
            <w:hideMark/>
          </w:tcPr>
          <w:p w14:paraId="5457EADB" w14:textId="48C0563D"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$340,602</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BD9A4EE" w14:textId="7ED7F6D0"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$340,602</w:t>
            </w:r>
          </w:p>
        </w:tc>
      </w:tr>
      <w:tr w:rsidR="00776666" w:rsidRPr="00915E51" w14:paraId="7ACD05C0"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48C74251" w14:textId="79E6A17F" w:rsidR="00776666" w:rsidRPr="00A324A7" w:rsidRDefault="00D82283" w:rsidP="00776666">
            <w:pPr>
              <w:spacing w:after="0" w:line="240" w:lineRule="auto"/>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Strong Workforce</w:t>
            </w:r>
          </w:p>
        </w:tc>
        <w:tc>
          <w:tcPr>
            <w:tcW w:w="2040" w:type="dxa"/>
            <w:tcBorders>
              <w:top w:val="nil"/>
              <w:left w:val="nil"/>
              <w:bottom w:val="single" w:sz="4" w:space="0" w:color="999999"/>
              <w:right w:val="single" w:sz="4" w:space="0" w:color="999999"/>
            </w:tcBorders>
            <w:shd w:val="clear" w:color="auto" w:fill="auto"/>
            <w:noWrap/>
            <w:vAlign w:val="center"/>
            <w:hideMark/>
          </w:tcPr>
          <w:p w14:paraId="1F47E7AF" w14:textId="51FABFA0"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3,682</w:t>
            </w:r>
          </w:p>
        </w:tc>
        <w:tc>
          <w:tcPr>
            <w:tcW w:w="2040" w:type="dxa"/>
            <w:tcBorders>
              <w:top w:val="nil"/>
              <w:left w:val="nil"/>
              <w:bottom w:val="single" w:sz="4" w:space="0" w:color="999999"/>
              <w:right w:val="single" w:sz="4" w:space="0" w:color="999999"/>
            </w:tcBorders>
            <w:shd w:val="clear" w:color="auto" w:fill="auto"/>
            <w:noWrap/>
            <w:vAlign w:val="center"/>
            <w:hideMark/>
          </w:tcPr>
          <w:p w14:paraId="248FD847" w14:textId="23A12ED4"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3,682</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3D68DC02" w14:textId="63269511" w:rsidR="00776666" w:rsidRPr="00A324A7" w:rsidRDefault="00D82283" w:rsidP="00776666">
            <w:pPr>
              <w:spacing w:after="0" w:line="240" w:lineRule="auto"/>
              <w:jc w:val="right"/>
              <w:rPr>
                <w:rFonts w:asciiTheme="minorHAnsi" w:eastAsia="Times New Roman" w:hAnsiTheme="minorHAnsi" w:cs="Arial"/>
                <w:color w:val="04326C"/>
                <w:sz w:val="20"/>
                <w:szCs w:val="20"/>
              </w:rPr>
            </w:pPr>
            <w:r>
              <w:rPr>
                <w:rFonts w:asciiTheme="minorHAnsi" w:eastAsia="Times New Roman" w:hAnsiTheme="minorHAnsi" w:cs="Arial"/>
                <w:color w:val="04326C"/>
                <w:sz w:val="20"/>
                <w:szCs w:val="20"/>
              </w:rPr>
              <w:t>3,682</w:t>
            </w:r>
          </w:p>
        </w:tc>
      </w:tr>
      <w:tr w:rsidR="00776666" w:rsidRPr="00915E51" w14:paraId="3D644072"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6628C77" w14:textId="54206B8E" w:rsidR="00776666" w:rsidRPr="000675B1" w:rsidRDefault="00662825" w:rsidP="00776666">
            <w:pPr>
              <w:spacing w:after="0" w:line="240" w:lineRule="auto"/>
              <w:rPr>
                <w:rFonts w:asciiTheme="minorHAnsi" w:eastAsia="Times New Roman" w:hAnsiTheme="minorHAnsi" w:cs="Arial"/>
                <w:color w:val="04326C"/>
                <w:sz w:val="20"/>
                <w:szCs w:val="20"/>
              </w:rPr>
            </w:pPr>
            <w:r w:rsidRPr="000675B1">
              <w:rPr>
                <w:rFonts w:asciiTheme="minorHAnsi" w:eastAsia="Times New Roman" w:hAnsiTheme="minorHAnsi" w:cs="Arial"/>
                <w:color w:val="04326C"/>
                <w:sz w:val="20"/>
                <w:szCs w:val="20"/>
              </w:rPr>
              <w:t xml:space="preserve">In-Kind </w:t>
            </w:r>
          </w:p>
        </w:tc>
        <w:tc>
          <w:tcPr>
            <w:tcW w:w="2040" w:type="dxa"/>
            <w:tcBorders>
              <w:top w:val="nil"/>
              <w:left w:val="nil"/>
              <w:bottom w:val="single" w:sz="4" w:space="0" w:color="999999"/>
              <w:right w:val="single" w:sz="4" w:space="0" w:color="999999"/>
            </w:tcBorders>
            <w:shd w:val="clear" w:color="auto" w:fill="auto"/>
            <w:noWrap/>
            <w:vAlign w:val="center"/>
            <w:hideMark/>
          </w:tcPr>
          <w:p w14:paraId="2DB3727F" w14:textId="056BEC41" w:rsidR="00776666" w:rsidRPr="000675B1" w:rsidRDefault="000675B1" w:rsidP="00776666">
            <w:pPr>
              <w:spacing w:after="0" w:line="240" w:lineRule="auto"/>
              <w:jc w:val="right"/>
              <w:rPr>
                <w:rFonts w:asciiTheme="minorHAnsi" w:eastAsia="Times New Roman" w:hAnsiTheme="minorHAnsi" w:cs="Arial"/>
                <w:color w:val="04326C"/>
                <w:sz w:val="20"/>
                <w:szCs w:val="20"/>
              </w:rPr>
            </w:pPr>
            <w:r w:rsidRPr="000675B1">
              <w:rPr>
                <w:rFonts w:asciiTheme="minorHAnsi" w:eastAsia="Times New Roman" w:hAnsiTheme="minorHAnsi" w:cs="Arial"/>
                <w:color w:val="04326C"/>
                <w:sz w:val="20"/>
                <w:szCs w:val="20"/>
              </w:rPr>
              <w:t>$678673</w:t>
            </w:r>
          </w:p>
        </w:tc>
        <w:tc>
          <w:tcPr>
            <w:tcW w:w="2040" w:type="dxa"/>
            <w:tcBorders>
              <w:top w:val="nil"/>
              <w:left w:val="nil"/>
              <w:bottom w:val="single" w:sz="4" w:space="0" w:color="999999"/>
              <w:right w:val="single" w:sz="4" w:space="0" w:color="999999"/>
            </w:tcBorders>
            <w:shd w:val="clear" w:color="auto" w:fill="auto"/>
            <w:noWrap/>
            <w:vAlign w:val="center"/>
            <w:hideMark/>
          </w:tcPr>
          <w:p w14:paraId="583C2DA1" w14:textId="06544043" w:rsidR="00776666" w:rsidRPr="000675B1" w:rsidRDefault="000675B1" w:rsidP="000675B1">
            <w:pPr>
              <w:spacing w:after="0" w:line="240" w:lineRule="auto"/>
              <w:jc w:val="right"/>
              <w:rPr>
                <w:rFonts w:asciiTheme="minorHAnsi" w:eastAsia="Times New Roman" w:hAnsiTheme="minorHAnsi" w:cs="Arial"/>
                <w:color w:val="04326C"/>
                <w:sz w:val="20"/>
                <w:szCs w:val="20"/>
              </w:rPr>
            </w:pPr>
            <w:r w:rsidRPr="000675B1">
              <w:rPr>
                <w:rFonts w:asciiTheme="minorHAnsi" w:eastAsia="Times New Roman" w:hAnsiTheme="minorHAnsi" w:cs="Arial"/>
                <w:color w:val="04326C"/>
                <w:sz w:val="20"/>
                <w:szCs w:val="20"/>
              </w:rPr>
              <w:t>$</w:t>
            </w:r>
            <w:r>
              <w:rPr>
                <w:rFonts w:asciiTheme="minorHAnsi" w:eastAsia="Times New Roman" w:hAnsiTheme="minorHAnsi" w:cs="Arial"/>
                <w:color w:val="04326C"/>
                <w:sz w:val="20"/>
                <w:szCs w:val="20"/>
              </w:rPr>
              <w:t>8</w:t>
            </w:r>
            <w:r w:rsidRPr="000675B1">
              <w:rPr>
                <w:rFonts w:asciiTheme="minorHAnsi" w:eastAsia="Times New Roman" w:hAnsiTheme="minorHAnsi" w:cs="Arial"/>
                <w:color w:val="04326C"/>
                <w:sz w:val="20"/>
                <w:szCs w:val="20"/>
              </w:rPr>
              <w:t>78673</w:t>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17AF5BDF" w14:textId="3ECEC1FE" w:rsidR="00776666" w:rsidRPr="000675B1" w:rsidRDefault="000675B1" w:rsidP="000675B1">
            <w:pPr>
              <w:spacing w:after="0" w:line="240" w:lineRule="auto"/>
              <w:jc w:val="right"/>
              <w:rPr>
                <w:rFonts w:asciiTheme="minorHAnsi" w:eastAsia="Times New Roman" w:hAnsiTheme="minorHAnsi" w:cs="Arial"/>
                <w:color w:val="04326C"/>
                <w:sz w:val="20"/>
                <w:szCs w:val="20"/>
              </w:rPr>
            </w:pPr>
            <w:r w:rsidRPr="000675B1">
              <w:rPr>
                <w:rFonts w:asciiTheme="minorHAnsi" w:eastAsia="Times New Roman" w:hAnsiTheme="minorHAnsi" w:cs="Arial"/>
                <w:color w:val="04326C"/>
                <w:sz w:val="20"/>
                <w:szCs w:val="20"/>
              </w:rPr>
              <w:t>$</w:t>
            </w:r>
            <w:r>
              <w:rPr>
                <w:rFonts w:asciiTheme="minorHAnsi" w:eastAsia="Times New Roman" w:hAnsiTheme="minorHAnsi" w:cs="Arial"/>
                <w:color w:val="04326C"/>
                <w:sz w:val="20"/>
                <w:szCs w:val="20"/>
              </w:rPr>
              <w:t>8</w:t>
            </w:r>
            <w:r w:rsidRPr="000675B1">
              <w:rPr>
                <w:rFonts w:asciiTheme="minorHAnsi" w:eastAsia="Times New Roman" w:hAnsiTheme="minorHAnsi" w:cs="Arial"/>
                <w:color w:val="04326C"/>
                <w:sz w:val="20"/>
                <w:szCs w:val="20"/>
              </w:rPr>
              <w:t>78673</w:t>
            </w:r>
          </w:p>
        </w:tc>
      </w:tr>
      <w:tr w:rsidR="00776666" w:rsidRPr="00915E51" w14:paraId="7987FD0E"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4A09255D" w14:textId="0B438DDE" w:rsidR="00776666" w:rsidRPr="00A324A7" w:rsidRDefault="00776666" w:rsidP="00776666">
            <w:pPr>
              <w:spacing w:after="0" w:line="240" w:lineRule="auto"/>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Text2"/>
                  <w:enabled/>
                  <w:calcOnExi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sidRPr="00A324A7">
              <w:rPr>
                <w:rFonts w:asciiTheme="minorHAnsi" w:eastAsia="Times New Roman" w:hAnsiTheme="minorHAnsi"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5BEB335B" w14:textId="37782D25"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691E0A57" w14:textId="019E4CC5"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407F951B" w14:textId="13412FB1"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r>
      <w:tr w:rsidR="00776666" w:rsidRPr="00915E51" w14:paraId="31BD9AF5"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7103F087" w14:textId="1C1B74E0" w:rsidR="00776666" w:rsidRPr="00A324A7" w:rsidRDefault="00776666" w:rsidP="00776666">
            <w:pPr>
              <w:spacing w:after="0" w:line="240" w:lineRule="auto"/>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Text2"/>
                  <w:enabled/>
                  <w:calcOnExi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sidRPr="00A324A7">
              <w:rPr>
                <w:rFonts w:asciiTheme="minorHAnsi" w:eastAsia="Times New Roman" w:hAnsiTheme="minorHAnsi"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3F2F615B" w14:textId="3B2C6608"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17B6B2B5" w14:textId="5BF3C608"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56F28AA4" w14:textId="6D43C4AA"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r>
      <w:tr w:rsidR="00776666" w:rsidRPr="00915E51" w14:paraId="526A8EA8" w14:textId="77777777" w:rsidTr="00DF5980">
        <w:trPr>
          <w:trHeight w:val="500"/>
        </w:trPr>
        <w:tc>
          <w:tcPr>
            <w:tcW w:w="342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51EE79A0" w14:textId="3A91F8FB" w:rsidR="00776666" w:rsidRPr="00A324A7" w:rsidRDefault="00776666" w:rsidP="00776666">
            <w:pPr>
              <w:spacing w:after="0" w:line="240" w:lineRule="auto"/>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Text2"/>
                  <w:enabled/>
                  <w:calcOnExi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Pr>
                <w:rFonts w:asciiTheme="minorHAnsi" w:eastAsia="Times New Roman" w:hAnsiTheme="minorHAnsi" w:cs="Arial"/>
                <w:noProof/>
                <w:color w:val="04326C"/>
                <w:sz w:val="20"/>
                <w:szCs w:val="20"/>
              </w:rPr>
              <w:t> </w:t>
            </w:r>
            <w:r w:rsidRPr="00A324A7">
              <w:rPr>
                <w:rFonts w:asciiTheme="minorHAnsi" w:eastAsia="Times New Roman" w:hAnsiTheme="minorHAnsi"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44BCDA0C" w14:textId="4319C6D8"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c>
          <w:tcPr>
            <w:tcW w:w="2040" w:type="dxa"/>
            <w:tcBorders>
              <w:top w:val="nil"/>
              <w:left w:val="nil"/>
              <w:bottom w:val="single" w:sz="4" w:space="0" w:color="999999"/>
              <w:right w:val="single" w:sz="4" w:space="0" w:color="999999"/>
            </w:tcBorders>
            <w:shd w:val="clear" w:color="auto" w:fill="auto"/>
            <w:noWrap/>
            <w:vAlign w:val="center"/>
            <w:hideMark/>
          </w:tcPr>
          <w:p w14:paraId="1C05DFEB" w14:textId="1F496D01"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c>
          <w:tcPr>
            <w:tcW w:w="2040" w:type="dxa"/>
            <w:tcBorders>
              <w:top w:val="single" w:sz="4" w:space="0" w:color="999999"/>
              <w:left w:val="single" w:sz="4" w:space="0" w:color="999999"/>
              <w:bottom w:val="single" w:sz="4" w:space="0" w:color="999999"/>
              <w:right w:val="single" w:sz="4" w:space="0" w:color="999999"/>
            </w:tcBorders>
            <w:shd w:val="clear" w:color="auto" w:fill="auto"/>
            <w:noWrap/>
            <w:vAlign w:val="center"/>
            <w:hideMark/>
          </w:tcPr>
          <w:p w14:paraId="286C00E1" w14:textId="74B3DFA8" w:rsidR="00776666" w:rsidRPr="00A324A7" w:rsidRDefault="00776666" w:rsidP="00776666">
            <w:pPr>
              <w:spacing w:after="0" w:line="240" w:lineRule="auto"/>
              <w:jc w:val="right"/>
              <w:rPr>
                <w:rFonts w:asciiTheme="minorHAnsi" w:eastAsia="Times New Roman" w:hAnsiTheme="minorHAnsi" w:cs="Arial"/>
                <w:color w:val="04326C"/>
                <w:sz w:val="20"/>
                <w:szCs w:val="20"/>
              </w:rPr>
            </w:pPr>
            <w:r w:rsidRPr="00A324A7">
              <w:rPr>
                <w:rFonts w:asciiTheme="minorHAnsi" w:eastAsia="Times New Roman" w:hAnsiTheme="minorHAnsi" w:cs="Arial"/>
                <w:color w:val="04326C"/>
                <w:sz w:val="20"/>
                <w:szCs w:val="20"/>
              </w:rPr>
              <w:fldChar w:fldCharType="begin">
                <w:ffData>
                  <w:name w:val="aep1"/>
                  <w:enabled/>
                  <w:calcOnExit/>
                  <w:textInput>
                    <w:type w:val="number"/>
                    <w:default w:val="$0"/>
                    <w:format w:val="$#,##0"/>
                  </w:textInput>
                </w:ffData>
              </w:fldChar>
            </w:r>
            <w:r w:rsidRPr="00A324A7">
              <w:rPr>
                <w:rFonts w:asciiTheme="minorHAnsi" w:eastAsia="Times New Roman" w:hAnsiTheme="minorHAnsi" w:cs="Arial"/>
                <w:color w:val="04326C"/>
                <w:sz w:val="20"/>
                <w:szCs w:val="20"/>
              </w:rPr>
              <w:instrText xml:space="preserve"> FORMTEXT </w:instrText>
            </w:r>
            <w:r w:rsidRPr="00A324A7">
              <w:rPr>
                <w:rFonts w:asciiTheme="minorHAnsi" w:eastAsia="Times New Roman" w:hAnsiTheme="minorHAnsi" w:cs="Arial"/>
                <w:color w:val="04326C"/>
                <w:sz w:val="20"/>
                <w:szCs w:val="20"/>
              </w:rPr>
            </w:r>
            <w:r w:rsidRPr="00A324A7">
              <w:rPr>
                <w:rFonts w:asciiTheme="minorHAnsi" w:eastAsia="Times New Roman" w:hAnsiTheme="minorHAnsi" w:cs="Arial"/>
                <w:color w:val="04326C"/>
                <w:sz w:val="20"/>
                <w:szCs w:val="20"/>
              </w:rPr>
              <w:fldChar w:fldCharType="separate"/>
            </w:r>
            <w:r>
              <w:rPr>
                <w:rFonts w:asciiTheme="minorHAnsi" w:eastAsia="Times New Roman" w:hAnsiTheme="minorHAnsi" w:cs="Arial"/>
                <w:noProof/>
                <w:color w:val="04326C"/>
                <w:sz w:val="20"/>
                <w:szCs w:val="20"/>
              </w:rPr>
              <w:t>$0</w:t>
            </w:r>
            <w:r w:rsidRPr="00A324A7">
              <w:rPr>
                <w:rFonts w:asciiTheme="minorHAnsi" w:eastAsia="Times New Roman" w:hAnsiTheme="minorHAnsi" w:cs="Arial"/>
                <w:color w:val="04326C"/>
                <w:sz w:val="20"/>
                <w:szCs w:val="20"/>
              </w:rPr>
              <w:fldChar w:fldCharType="end"/>
            </w:r>
          </w:p>
        </w:tc>
      </w:tr>
      <w:tr w:rsidR="00776666" w:rsidRPr="00915E51" w14:paraId="6BF4198A" w14:textId="77777777" w:rsidTr="00915E51">
        <w:trPr>
          <w:trHeight w:val="500"/>
        </w:trPr>
        <w:tc>
          <w:tcPr>
            <w:tcW w:w="342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5CEF917B" w14:textId="77777777" w:rsidR="00776666" w:rsidRPr="00915E51" w:rsidRDefault="00776666" w:rsidP="00776666">
            <w:pPr>
              <w:spacing w:after="0" w:line="240" w:lineRule="auto"/>
              <w:rPr>
                <w:rFonts w:ascii="Avenir Roman" w:eastAsia="Times New Roman" w:hAnsi="Avenir Roman" w:cs="Arial"/>
                <w:b/>
                <w:bCs/>
                <w:color w:val="FFFFFF"/>
                <w:sz w:val="20"/>
                <w:szCs w:val="20"/>
              </w:rPr>
            </w:pPr>
            <w:r w:rsidRPr="00915E51">
              <w:rPr>
                <w:rFonts w:ascii="Avenir Roman" w:eastAsia="Times New Roman" w:hAnsi="Avenir Roman" w:cs="Arial"/>
                <w:b/>
                <w:bCs/>
                <w:color w:val="FFFFFF"/>
                <w:sz w:val="20"/>
                <w:szCs w:val="20"/>
              </w:rPr>
              <w:t>Total</w:t>
            </w:r>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6DACFC57" w14:textId="168BC1CE" w:rsidR="00776666" w:rsidRPr="000A6B81" w:rsidRDefault="00140F8B" w:rsidP="00776666">
            <w:pPr>
              <w:spacing w:after="0" w:line="240" w:lineRule="auto"/>
              <w:jc w:val="right"/>
              <w:rPr>
                <w:rFonts w:asciiTheme="minorHAnsi" w:eastAsia="Times New Roman" w:hAnsiTheme="minorHAnsi" w:cs="Arial"/>
                <w:b/>
                <w:bCs/>
                <w:color w:val="FFFFFF" w:themeColor="background1"/>
                <w:sz w:val="20"/>
                <w:szCs w:val="20"/>
              </w:rPr>
            </w:pPr>
            <w:r>
              <w:rPr>
                <w:rFonts w:asciiTheme="minorHAnsi" w:eastAsia="Times New Roman" w:hAnsiTheme="minorHAnsi" w:cs="Arial"/>
                <w:b/>
                <w:bCs/>
                <w:color w:val="FFFFFF" w:themeColor="background1"/>
                <w:sz w:val="20"/>
                <w:szCs w:val="20"/>
              </w:rPr>
              <w:fldChar w:fldCharType="begin">
                <w:ffData>
                  <w:name w:val="Text3"/>
                  <w:enabled w:val="0"/>
                  <w:calcOnExit/>
                  <w:textInput>
                    <w:type w:val="calculated"/>
                    <w:default w:val="=SUM(ABOVE)"/>
                    <w:format w:val="$#,##0"/>
                  </w:textInput>
                </w:ffData>
              </w:fldChar>
            </w:r>
            <w:bookmarkStart w:id="13" w:name="Text3"/>
            <w:r>
              <w:rPr>
                <w:rFonts w:asciiTheme="minorHAnsi" w:eastAsia="Times New Roman" w:hAnsiTheme="minorHAnsi" w:cs="Arial"/>
                <w:b/>
                <w:bCs/>
                <w:color w:val="FFFFFF" w:themeColor="background1"/>
                <w:sz w:val="20"/>
                <w:szCs w:val="20"/>
              </w:rPr>
              <w:instrText xml:space="preserve"> FORMTEXT </w:instrText>
            </w:r>
            <w:r>
              <w:rPr>
                <w:rFonts w:asciiTheme="minorHAnsi" w:eastAsia="Times New Roman" w:hAnsiTheme="minorHAnsi" w:cs="Arial"/>
                <w:b/>
                <w:bCs/>
                <w:color w:val="FFFFFF" w:themeColor="background1"/>
                <w:sz w:val="20"/>
                <w:szCs w:val="20"/>
              </w:rPr>
              <w:fldChar w:fldCharType="begin"/>
            </w:r>
            <w:r>
              <w:rPr>
                <w:rFonts w:asciiTheme="minorHAnsi" w:eastAsia="Times New Roman" w:hAnsiTheme="minorHAnsi" w:cs="Arial"/>
                <w:b/>
                <w:bCs/>
                <w:color w:val="FFFFFF" w:themeColor="background1"/>
                <w:sz w:val="20"/>
                <w:szCs w:val="20"/>
              </w:rPr>
              <w:instrText xml:space="preserve"> =SUM(ABOVE) </w:instrText>
            </w:r>
            <w:r>
              <w:rPr>
                <w:rFonts w:asciiTheme="minorHAnsi" w:eastAsia="Times New Roman" w:hAnsiTheme="minorHAnsi" w:cs="Arial"/>
                <w:b/>
                <w:bCs/>
                <w:color w:val="FFFFFF" w:themeColor="background1"/>
                <w:sz w:val="20"/>
                <w:szCs w:val="20"/>
              </w:rPr>
              <w:fldChar w:fldCharType="separate"/>
            </w:r>
            <w:r>
              <w:rPr>
                <w:rFonts w:asciiTheme="minorHAnsi" w:eastAsia="Times New Roman" w:hAnsiTheme="minorHAnsi" w:cs="Arial"/>
                <w:b/>
                <w:bCs/>
                <w:noProof/>
                <w:color w:val="FFFFFF" w:themeColor="background1"/>
                <w:sz w:val="20"/>
                <w:szCs w:val="20"/>
              </w:rPr>
              <w:instrText>$10,070,383.00</w:instrText>
            </w:r>
            <w:r>
              <w:rPr>
                <w:rFonts w:asciiTheme="minorHAnsi" w:eastAsia="Times New Roman" w:hAnsiTheme="minorHAnsi" w:cs="Arial"/>
                <w:b/>
                <w:bCs/>
                <w:color w:val="FFFFFF" w:themeColor="background1"/>
                <w:sz w:val="20"/>
                <w:szCs w:val="20"/>
              </w:rPr>
              <w:fldChar w:fldCharType="end"/>
            </w:r>
            <w:r>
              <w:rPr>
                <w:rFonts w:asciiTheme="minorHAnsi" w:eastAsia="Times New Roman" w:hAnsiTheme="minorHAnsi" w:cs="Arial"/>
                <w:b/>
                <w:bCs/>
                <w:color w:val="FFFFFF" w:themeColor="background1"/>
                <w:sz w:val="20"/>
                <w:szCs w:val="20"/>
              </w:rPr>
            </w:r>
            <w:r>
              <w:rPr>
                <w:rFonts w:asciiTheme="minorHAnsi" w:eastAsia="Times New Roman" w:hAnsiTheme="minorHAnsi" w:cs="Arial"/>
                <w:b/>
                <w:bCs/>
                <w:color w:val="FFFFFF" w:themeColor="background1"/>
                <w:sz w:val="20"/>
                <w:szCs w:val="20"/>
              </w:rPr>
              <w:fldChar w:fldCharType="separate"/>
            </w:r>
            <w:r>
              <w:rPr>
                <w:rFonts w:asciiTheme="minorHAnsi" w:eastAsia="Times New Roman" w:hAnsiTheme="minorHAnsi" w:cs="Arial"/>
                <w:b/>
                <w:bCs/>
                <w:noProof/>
                <w:color w:val="FFFFFF" w:themeColor="background1"/>
                <w:sz w:val="20"/>
                <w:szCs w:val="20"/>
              </w:rPr>
              <w:t>$10,070,383</w:t>
            </w:r>
            <w:r>
              <w:rPr>
                <w:rFonts w:asciiTheme="minorHAnsi" w:eastAsia="Times New Roman" w:hAnsiTheme="minorHAnsi" w:cs="Arial"/>
                <w:b/>
                <w:bCs/>
                <w:color w:val="FFFFFF" w:themeColor="background1"/>
                <w:sz w:val="20"/>
                <w:szCs w:val="20"/>
              </w:rPr>
              <w:fldChar w:fldCharType="end"/>
            </w:r>
            <w:bookmarkEnd w:id="13"/>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20597B96" w14:textId="22D89FCB" w:rsidR="00776666" w:rsidRPr="000A6B81" w:rsidRDefault="00140F8B" w:rsidP="00776666">
            <w:pPr>
              <w:spacing w:after="0" w:line="240" w:lineRule="auto"/>
              <w:jc w:val="right"/>
              <w:rPr>
                <w:rFonts w:asciiTheme="minorHAnsi" w:eastAsia="Times New Roman" w:hAnsiTheme="minorHAnsi" w:cs="Arial"/>
                <w:b/>
                <w:bCs/>
                <w:color w:val="FFFFFF" w:themeColor="background1"/>
                <w:sz w:val="20"/>
                <w:szCs w:val="20"/>
              </w:rPr>
            </w:pPr>
            <w:r>
              <w:rPr>
                <w:rFonts w:asciiTheme="minorHAnsi" w:eastAsia="Times New Roman" w:hAnsiTheme="minorHAnsi" w:cs="Arial"/>
                <w:b/>
                <w:bCs/>
                <w:color w:val="FFFFFF" w:themeColor="background1"/>
                <w:sz w:val="20"/>
                <w:szCs w:val="20"/>
              </w:rPr>
              <w:fldChar w:fldCharType="begin">
                <w:ffData>
                  <w:name w:val=""/>
                  <w:enabled w:val="0"/>
                  <w:calcOnExit w:val="0"/>
                  <w:textInput>
                    <w:type w:val="calculated"/>
                    <w:default w:val="=SUM(ABOVE)"/>
                    <w:format w:val="$#,##0"/>
                  </w:textInput>
                </w:ffData>
              </w:fldChar>
            </w:r>
            <w:r>
              <w:rPr>
                <w:rFonts w:asciiTheme="minorHAnsi" w:eastAsia="Times New Roman" w:hAnsiTheme="minorHAnsi" w:cs="Arial"/>
                <w:b/>
                <w:bCs/>
                <w:color w:val="FFFFFF" w:themeColor="background1"/>
                <w:sz w:val="20"/>
                <w:szCs w:val="20"/>
              </w:rPr>
              <w:instrText xml:space="preserve"> FORMTEXT </w:instrText>
            </w:r>
            <w:r>
              <w:rPr>
                <w:rFonts w:asciiTheme="minorHAnsi" w:eastAsia="Times New Roman" w:hAnsiTheme="minorHAnsi" w:cs="Arial"/>
                <w:b/>
                <w:bCs/>
                <w:color w:val="FFFFFF" w:themeColor="background1"/>
                <w:sz w:val="20"/>
                <w:szCs w:val="20"/>
              </w:rPr>
              <w:fldChar w:fldCharType="begin"/>
            </w:r>
            <w:r>
              <w:rPr>
                <w:rFonts w:asciiTheme="minorHAnsi" w:eastAsia="Times New Roman" w:hAnsiTheme="minorHAnsi" w:cs="Arial"/>
                <w:b/>
                <w:bCs/>
                <w:color w:val="FFFFFF" w:themeColor="background1"/>
                <w:sz w:val="20"/>
                <w:szCs w:val="20"/>
              </w:rPr>
              <w:instrText xml:space="preserve"> =SUM(ABOVE) </w:instrText>
            </w:r>
            <w:r>
              <w:rPr>
                <w:rFonts w:asciiTheme="minorHAnsi" w:eastAsia="Times New Roman" w:hAnsiTheme="minorHAnsi" w:cs="Arial"/>
                <w:b/>
                <w:bCs/>
                <w:color w:val="FFFFFF" w:themeColor="background1"/>
                <w:sz w:val="20"/>
                <w:szCs w:val="20"/>
              </w:rPr>
              <w:fldChar w:fldCharType="separate"/>
            </w:r>
            <w:r>
              <w:rPr>
                <w:rFonts w:asciiTheme="minorHAnsi" w:eastAsia="Times New Roman" w:hAnsiTheme="minorHAnsi" w:cs="Arial"/>
                <w:b/>
                <w:bCs/>
                <w:noProof/>
                <w:color w:val="FFFFFF" w:themeColor="background1"/>
                <w:sz w:val="20"/>
                <w:szCs w:val="20"/>
              </w:rPr>
              <w:instrText>$10,070,383.00</w:instrText>
            </w:r>
            <w:r>
              <w:rPr>
                <w:rFonts w:asciiTheme="minorHAnsi" w:eastAsia="Times New Roman" w:hAnsiTheme="minorHAnsi" w:cs="Arial"/>
                <w:b/>
                <w:bCs/>
                <w:color w:val="FFFFFF" w:themeColor="background1"/>
                <w:sz w:val="20"/>
                <w:szCs w:val="20"/>
              </w:rPr>
              <w:fldChar w:fldCharType="end"/>
            </w:r>
            <w:r>
              <w:rPr>
                <w:rFonts w:asciiTheme="minorHAnsi" w:eastAsia="Times New Roman" w:hAnsiTheme="minorHAnsi" w:cs="Arial"/>
                <w:b/>
                <w:bCs/>
                <w:color w:val="FFFFFF" w:themeColor="background1"/>
                <w:sz w:val="20"/>
                <w:szCs w:val="20"/>
              </w:rPr>
            </w:r>
            <w:r>
              <w:rPr>
                <w:rFonts w:asciiTheme="minorHAnsi" w:eastAsia="Times New Roman" w:hAnsiTheme="minorHAnsi" w:cs="Arial"/>
                <w:b/>
                <w:bCs/>
                <w:color w:val="FFFFFF" w:themeColor="background1"/>
                <w:sz w:val="20"/>
                <w:szCs w:val="20"/>
              </w:rPr>
              <w:fldChar w:fldCharType="separate"/>
            </w:r>
            <w:r>
              <w:rPr>
                <w:rFonts w:asciiTheme="minorHAnsi" w:eastAsia="Times New Roman" w:hAnsiTheme="minorHAnsi" w:cs="Arial"/>
                <w:b/>
                <w:bCs/>
                <w:noProof/>
                <w:color w:val="FFFFFF" w:themeColor="background1"/>
                <w:sz w:val="20"/>
                <w:szCs w:val="20"/>
              </w:rPr>
              <w:t>$10,070,383</w:t>
            </w:r>
            <w:r>
              <w:rPr>
                <w:rFonts w:asciiTheme="minorHAnsi" w:eastAsia="Times New Roman" w:hAnsiTheme="minorHAnsi" w:cs="Arial"/>
                <w:b/>
                <w:bCs/>
                <w:color w:val="FFFFFF" w:themeColor="background1"/>
                <w:sz w:val="20"/>
                <w:szCs w:val="20"/>
              </w:rPr>
              <w:fldChar w:fldCharType="end"/>
            </w:r>
          </w:p>
        </w:tc>
        <w:tc>
          <w:tcPr>
            <w:tcW w:w="2040" w:type="dxa"/>
            <w:tcBorders>
              <w:top w:val="double" w:sz="6" w:space="0" w:color="000000"/>
              <w:left w:val="single" w:sz="4" w:space="0" w:color="999999"/>
              <w:bottom w:val="single" w:sz="4" w:space="0" w:color="999999"/>
              <w:right w:val="single" w:sz="4" w:space="0" w:color="999999"/>
            </w:tcBorders>
            <w:shd w:val="clear" w:color="073763" w:fill="073763"/>
            <w:vAlign w:val="center"/>
            <w:hideMark/>
          </w:tcPr>
          <w:p w14:paraId="23E6E536" w14:textId="075F0CAF" w:rsidR="00776666" w:rsidRPr="000A6B81" w:rsidRDefault="00140F8B" w:rsidP="00776666">
            <w:pPr>
              <w:spacing w:after="0" w:line="240" w:lineRule="auto"/>
              <w:jc w:val="right"/>
              <w:rPr>
                <w:rFonts w:asciiTheme="minorHAnsi" w:eastAsia="Times New Roman" w:hAnsiTheme="minorHAnsi" w:cs="Arial"/>
                <w:b/>
                <w:bCs/>
                <w:color w:val="FFFFFF" w:themeColor="background1"/>
                <w:sz w:val="20"/>
                <w:szCs w:val="20"/>
              </w:rPr>
            </w:pPr>
            <w:r>
              <w:rPr>
                <w:rFonts w:asciiTheme="minorHAnsi" w:eastAsia="Times New Roman" w:hAnsiTheme="minorHAnsi" w:cs="Arial"/>
                <w:b/>
                <w:bCs/>
                <w:color w:val="FFFFFF" w:themeColor="background1"/>
                <w:sz w:val="20"/>
                <w:szCs w:val="20"/>
              </w:rPr>
              <w:fldChar w:fldCharType="begin">
                <w:ffData>
                  <w:name w:val=""/>
                  <w:enabled w:val="0"/>
                  <w:calcOnExit w:val="0"/>
                  <w:textInput>
                    <w:type w:val="calculated"/>
                    <w:default w:val="=SUM(ABOVE)"/>
                    <w:format w:val="$#,##0"/>
                  </w:textInput>
                </w:ffData>
              </w:fldChar>
            </w:r>
            <w:r>
              <w:rPr>
                <w:rFonts w:asciiTheme="minorHAnsi" w:eastAsia="Times New Roman" w:hAnsiTheme="minorHAnsi" w:cs="Arial"/>
                <w:b/>
                <w:bCs/>
                <w:color w:val="FFFFFF" w:themeColor="background1"/>
                <w:sz w:val="20"/>
                <w:szCs w:val="20"/>
              </w:rPr>
              <w:instrText xml:space="preserve"> FORMTEXT </w:instrText>
            </w:r>
            <w:r>
              <w:rPr>
                <w:rFonts w:asciiTheme="minorHAnsi" w:eastAsia="Times New Roman" w:hAnsiTheme="minorHAnsi" w:cs="Arial"/>
                <w:b/>
                <w:bCs/>
                <w:color w:val="FFFFFF" w:themeColor="background1"/>
                <w:sz w:val="20"/>
                <w:szCs w:val="20"/>
              </w:rPr>
              <w:fldChar w:fldCharType="begin"/>
            </w:r>
            <w:r>
              <w:rPr>
                <w:rFonts w:asciiTheme="minorHAnsi" w:eastAsia="Times New Roman" w:hAnsiTheme="minorHAnsi" w:cs="Arial"/>
                <w:b/>
                <w:bCs/>
                <w:color w:val="FFFFFF" w:themeColor="background1"/>
                <w:sz w:val="20"/>
                <w:szCs w:val="20"/>
              </w:rPr>
              <w:instrText xml:space="preserve"> =SUM(ABOVE) </w:instrText>
            </w:r>
            <w:r>
              <w:rPr>
                <w:rFonts w:asciiTheme="minorHAnsi" w:eastAsia="Times New Roman" w:hAnsiTheme="minorHAnsi" w:cs="Arial"/>
                <w:b/>
                <w:bCs/>
                <w:color w:val="FFFFFF" w:themeColor="background1"/>
                <w:sz w:val="20"/>
                <w:szCs w:val="20"/>
              </w:rPr>
              <w:fldChar w:fldCharType="separate"/>
            </w:r>
            <w:r>
              <w:rPr>
                <w:rFonts w:asciiTheme="minorHAnsi" w:eastAsia="Times New Roman" w:hAnsiTheme="minorHAnsi" w:cs="Arial"/>
                <w:b/>
                <w:bCs/>
                <w:noProof/>
                <w:color w:val="FFFFFF" w:themeColor="background1"/>
                <w:sz w:val="20"/>
                <w:szCs w:val="20"/>
              </w:rPr>
              <w:instrText>$10,070,383.00</w:instrText>
            </w:r>
            <w:r>
              <w:rPr>
                <w:rFonts w:asciiTheme="minorHAnsi" w:eastAsia="Times New Roman" w:hAnsiTheme="minorHAnsi" w:cs="Arial"/>
                <w:b/>
                <w:bCs/>
                <w:color w:val="FFFFFF" w:themeColor="background1"/>
                <w:sz w:val="20"/>
                <w:szCs w:val="20"/>
              </w:rPr>
              <w:fldChar w:fldCharType="end"/>
            </w:r>
            <w:r>
              <w:rPr>
                <w:rFonts w:asciiTheme="minorHAnsi" w:eastAsia="Times New Roman" w:hAnsiTheme="minorHAnsi" w:cs="Arial"/>
                <w:b/>
                <w:bCs/>
                <w:color w:val="FFFFFF" w:themeColor="background1"/>
                <w:sz w:val="20"/>
                <w:szCs w:val="20"/>
              </w:rPr>
            </w:r>
            <w:r>
              <w:rPr>
                <w:rFonts w:asciiTheme="minorHAnsi" w:eastAsia="Times New Roman" w:hAnsiTheme="minorHAnsi" w:cs="Arial"/>
                <w:b/>
                <w:bCs/>
                <w:color w:val="FFFFFF" w:themeColor="background1"/>
                <w:sz w:val="20"/>
                <w:szCs w:val="20"/>
              </w:rPr>
              <w:fldChar w:fldCharType="separate"/>
            </w:r>
            <w:r>
              <w:rPr>
                <w:rFonts w:asciiTheme="minorHAnsi" w:eastAsia="Times New Roman" w:hAnsiTheme="minorHAnsi" w:cs="Arial"/>
                <w:b/>
                <w:bCs/>
                <w:noProof/>
                <w:color w:val="FFFFFF" w:themeColor="background1"/>
                <w:sz w:val="20"/>
                <w:szCs w:val="20"/>
              </w:rPr>
              <w:t>$10,070,383</w:t>
            </w:r>
            <w:r>
              <w:rPr>
                <w:rFonts w:asciiTheme="minorHAnsi" w:eastAsia="Times New Roman" w:hAnsiTheme="minorHAnsi" w:cs="Arial"/>
                <w:b/>
                <w:bCs/>
                <w:color w:val="FFFFFF" w:themeColor="background1"/>
                <w:sz w:val="20"/>
                <w:szCs w:val="20"/>
              </w:rPr>
              <w:fldChar w:fldCharType="end"/>
            </w:r>
          </w:p>
        </w:tc>
      </w:tr>
    </w:tbl>
    <w:p w14:paraId="7717F393" w14:textId="7E49A8E1" w:rsidR="00D27E99" w:rsidRDefault="00D27E99">
      <w:pPr>
        <w:spacing w:after="0" w:line="240" w:lineRule="auto"/>
      </w:pPr>
      <w:bookmarkStart w:id="14" w:name="_omfndvzdm7rz" w:colFirst="0" w:colLast="0"/>
      <w:bookmarkEnd w:id="14"/>
    </w:p>
    <w:p w14:paraId="2062EC39" w14:textId="4D32DB39" w:rsidR="00953A7B" w:rsidRPr="00D27E99" w:rsidRDefault="00D27E99">
      <w:pPr>
        <w:spacing w:after="0" w:line="240" w:lineRule="auto"/>
      </w:pPr>
      <w:r>
        <w:br w:type="page"/>
      </w:r>
    </w:p>
    <w:p w14:paraId="2A4BF323" w14:textId="31E1D782" w:rsidR="00600745" w:rsidRPr="000C0327" w:rsidRDefault="00600745" w:rsidP="00DD508B">
      <w:pPr>
        <w:pStyle w:val="Heading2"/>
        <w:spacing w:line="276" w:lineRule="auto"/>
        <w:rPr>
          <w:color w:val="1F3864" w:themeColor="accent1" w:themeShade="80"/>
        </w:rPr>
      </w:pPr>
      <w:bookmarkStart w:id="15" w:name="_Toc527969657"/>
      <w:r w:rsidRPr="000C0327">
        <w:rPr>
          <w:color w:val="1F3864" w:themeColor="accent1" w:themeShade="80"/>
        </w:rPr>
        <w:lastRenderedPageBreak/>
        <w:t>2.3 Community Need and Customers</w:t>
      </w:r>
      <w:bookmarkStart w:id="16" w:name="_ekcc2l1gkq0c" w:colFirst="0" w:colLast="0"/>
      <w:bookmarkEnd w:id="15"/>
      <w:bookmarkEnd w:id="16"/>
    </w:p>
    <w:p w14:paraId="70A365A8" w14:textId="77777777" w:rsidR="00B77AF0" w:rsidRPr="000C0327" w:rsidRDefault="00E75BB0" w:rsidP="00DD508B">
      <w:pPr>
        <w:spacing w:after="0"/>
        <w:rPr>
          <w:rFonts w:asciiTheme="minorHAnsi" w:hAnsiTheme="minorHAnsi"/>
          <w:color w:val="1F3864" w:themeColor="accent1" w:themeShade="80"/>
          <w:sz w:val="24"/>
          <w:szCs w:val="24"/>
        </w:rPr>
      </w:pPr>
      <w:bookmarkStart w:id="17" w:name="_1iwn752kuqcu" w:colFirst="0" w:colLast="0"/>
      <w:bookmarkEnd w:id="17"/>
      <w:r w:rsidRPr="000C0327">
        <w:rPr>
          <w:rFonts w:asciiTheme="minorHAnsi" w:hAnsiTheme="minorHAnsi"/>
          <w:color w:val="1F3864" w:themeColor="accent1" w:themeShade="80"/>
          <w:sz w:val="24"/>
          <w:szCs w:val="24"/>
        </w:rPr>
        <w:t>There are several things we have learned in our analysis of community need and our customers.</w:t>
      </w:r>
    </w:p>
    <w:p w14:paraId="0B0E088E" w14:textId="77777777" w:rsidR="00B77AF0" w:rsidRPr="000C0327" w:rsidRDefault="00B77AF0" w:rsidP="00DD508B">
      <w:pPr>
        <w:spacing w:after="0"/>
        <w:rPr>
          <w:rFonts w:asciiTheme="minorHAnsi" w:hAnsiTheme="minorHAnsi"/>
          <w:color w:val="1F3864" w:themeColor="accent1" w:themeShade="80"/>
          <w:sz w:val="24"/>
          <w:szCs w:val="24"/>
        </w:rPr>
      </w:pPr>
    </w:p>
    <w:p w14:paraId="350D65E0" w14:textId="396F2E86" w:rsidR="001C6C57" w:rsidRPr="000C0327" w:rsidRDefault="005C3435" w:rsidP="00DD508B">
      <w:pPr>
        <w:spacing w:after="0"/>
        <w:rPr>
          <w:rFonts w:asciiTheme="minorHAnsi" w:hAnsiTheme="minorHAnsi"/>
          <w:color w:val="1F3864" w:themeColor="accent1" w:themeShade="80"/>
          <w:sz w:val="24"/>
          <w:szCs w:val="24"/>
        </w:rPr>
      </w:pPr>
      <w:r w:rsidRPr="000C0327">
        <w:rPr>
          <w:rFonts w:asciiTheme="minorHAnsi" w:hAnsiTheme="minorHAnsi"/>
          <w:color w:val="1F3864" w:themeColor="accent1" w:themeShade="80"/>
          <w:sz w:val="24"/>
          <w:szCs w:val="24"/>
        </w:rPr>
        <w:t>For our region, o</w:t>
      </w:r>
      <w:r w:rsidR="00B77AF0" w:rsidRPr="000C0327">
        <w:rPr>
          <w:rFonts w:asciiTheme="minorHAnsi" w:hAnsiTheme="minorHAnsi"/>
          <w:color w:val="1F3864" w:themeColor="accent1" w:themeShade="80"/>
          <w:sz w:val="24"/>
          <w:szCs w:val="24"/>
        </w:rPr>
        <w:t xml:space="preserve">ne of our largest populations in need </w:t>
      </w:r>
      <w:r w:rsidR="006E45FB">
        <w:rPr>
          <w:rFonts w:asciiTheme="minorHAnsi" w:hAnsiTheme="minorHAnsi"/>
          <w:color w:val="1F3864" w:themeColor="accent1" w:themeShade="80"/>
          <w:sz w:val="24"/>
          <w:szCs w:val="24"/>
        </w:rPr>
        <w:t>includes</w:t>
      </w:r>
      <w:r w:rsidR="00B77AF0" w:rsidRPr="000C0327">
        <w:rPr>
          <w:rFonts w:asciiTheme="minorHAnsi" w:hAnsiTheme="minorHAnsi"/>
          <w:color w:val="1F3864" w:themeColor="accent1" w:themeShade="80"/>
          <w:sz w:val="24"/>
          <w:szCs w:val="24"/>
        </w:rPr>
        <w:t xml:space="preserve"> those who spe</w:t>
      </w:r>
      <w:r w:rsidRPr="000C0327">
        <w:rPr>
          <w:rFonts w:asciiTheme="minorHAnsi" w:hAnsiTheme="minorHAnsi"/>
          <w:color w:val="1F3864" w:themeColor="accent1" w:themeShade="80"/>
          <w:sz w:val="24"/>
          <w:szCs w:val="24"/>
        </w:rPr>
        <w:t>ak English less than “very well.</w:t>
      </w:r>
      <w:r w:rsidR="00B77AF0" w:rsidRPr="000C0327">
        <w:rPr>
          <w:rFonts w:asciiTheme="minorHAnsi" w:hAnsiTheme="minorHAnsi"/>
          <w:color w:val="1F3864" w:themeColor="accent1" w:themeShade="80"/>
          <w:sz w:val="24"/>
          <w:szCs w:val="24"/>
        </w:rPr>
        <w:t xml:space="preserve">” </w:t>
      </w:r>
      <w:r w:rsidRPr="000C0327">
        <w:rPr>
          <w:rFonts w:asciiTheme="minorHAnsi" w:hAnsiTheme="minorHAnsi"/>
          <w:color w:val="1F3864" w:themeColor="accent1" w:themeShade="80"/>
          <w:sz w:val="24"/>
          <w:szCs w:val="24"/>
        </w:rPr>
        <w:t>For</w:t>
      </w:r>
      <w:r w:rsidR="00B77AF0" w:rsidRPr="000C0327">
        <w:rPr>
          <w:rFonts w:asciiTheme="minorHAnsi" w:hAnsiTheme="minorHAnsi"/>
          <w:color w:val="1F3864" w:themeColor="accent1" w:themeShade="80"/>
          <w:sz w:val="24"/>
          <w:szCs w:val="24"/>
        </w:rPr>
        <w:t xml:space="preserve"> those 25 and older</w:t>
      </w:r>
      <w:r w:rsidRPr="000C0327">
        <w:rPr>
          <w:rFonts w:asciiTheme="minorHAnsi" w:hAnsiTheme="minorHAnsi"/>
          <w:color w:val="1F3864" w:themeColor="accent1" w:themeShade="80"/>
          <w:sz w:val="24"/>
          <w:szCs w:val="24"/>
        </w:rPr>
        <w:t xml:space="preserve">, this number is estimated </w:t>
      </w:r>
      <w:r w:rsidR="00B77AF0" w:rsidRPr="000C0327">
        <w:rPr>
          <w:rFonts w:asciiTheme="minorHAnsi" w:hAnsiTheme="minorHAnsi"/>
          <w:color w:val="1F3864" w:themeColor="accent1" w:themeShade="80"/>
          <w:sz w:val="24"/>
          <w:szCs w:val="24"/>
        </w:rPr>
        <w:t>51,093</w:t>
      </w:r>
      <w:r w:rsidR="00123687" w:rsidRPr="000C0327">
        <w:rPr>
          <w:rStyle w:val="FootnoteReference"/>
          <w:rFonts w:asciiTheme="minorHAnsi" w:hAnsiTheme="minorHAnsi"/>
          <w:color w:val="1F3864" w:themeColor="accent1" w:themeShade="80"/>
          <w:sz w:val="24"/>
          <w:szCs w:val="24"/>
        </w:rPr>
        <w:footnoteReference w:id="4"/>
      </w:r>
      <w:r w:rsidR="00B77AF0" w:rsidRPr="000C0327">
        <w:rPr>
          <w:rFonts w:asciiTheme="minorHAnsi" w:hAnsiTheme="minorHAnsi"/>
          <w:color w:val="1F3864" w:themeColor="accent1" w:themeShade="80"/>
          <w:sz w:val="24"/>
          <w:szCs w:val="24"/>
        </w:rPr>
        <w:t xml:space="preserve">.  In addition, we know that this number </w:t>
      </w:r>
      <w:r w:rsidR="00EA2E91" w:rsidRPr="000C0327">
        <w:rPr>
          <w:rFonts w:asciiTheme="minorHAnsi" w:hAnsiTheme="minorHAnsi"/>
          <w:color w:val="1F3864" w:themeColor="accent1" w:themeShade="80"/>
          <w:sz w:val="24"/>
          <w:szCs w:val="24"/>
        </w:rPr>
        <w:t>of those in need is actually</w:t>
      </w:r>
      <w:r w:rsidR="00B77AF0" w:rsidRPr="000C0327">
        <w:rPr>
          <w:rFonts w:asciiTheme="minorHAnsi" w:hAnsiTheme="minorHAnsi"/>
          <w:color w:val="1F3864" w:themeColor="accent1" w:themeShade="80"/>
          <w:sz w:val="24"/>
          <w:szCs w:val="24"/>
        </w:rPr>
        <w:t xml:space="preserve"> higher as </w:t>
      </w:r>
      <w:r w:rsidR="00EA2E91" w:rsidRPr="000C0327">
        <w:rPr>
          <w:rFonts w:asciiTheme="minorHAnsi" w:hAnsiTheme="minorHAnsi"/>
          <w:color w:val="1F3864" w:themeColor="accent1" w:themeShade="80"/>
          <w:sz w:val="24"/>
          <w:szCs w:val="24"/>
        </w:rPr>
        <w:t xml:space="preserve">we serve a number of individuals who work in our region but do not live in our region; </w:t>
      </w:r>
      <w:r w:rsidR="00B77AF0" w:rsidRPr="000C0327">
        <w:rPr>
          <w:rFonts w:asciiTheme="minorHAnsi" w:hAnsiTheme="minorHAnsi"/>
          <w:color w:val="1F3864" w:themeColor="accent1" w:themeShade="80"/>
          <w:sz w:val="24"/>
          <w:szCs w:val="24"/>
        </w:rPr>
        <w:t>the cost of living has pushed many to live outside of the boundaries of our consortium</w:t>
      </w:r>
      <w:r w:rsidR="00EA2E91" w:rsidRPr="000C0327">
        <w:rPr>
          <w:rFonts w:asciiTheme="minorHAnsi" w:hAnsiTheme="minorHAnsi"/>
          <w:color w:val="1F3864" w:themeColor="accent1" w:themeShade="80"/>
          <w:sz w:val="24"/>
          <w:szCs w:val="24"/>
        </w:rPr>
        <w:t>, so there are many more potential students in our workforce</w:t>
      </w:r>
      <w:r w:rsidR="00B77AF0" w:rsidRPr="000C0327">
        <w:rPr>
          <w:rFonts w:asciiTheme="minorHAnsi" w:hAnsiTheme="minorHAnsi"/>
          <w:color w:val="1F3864" w:themeColor="accent1" w:themeShade="80"/>
          <w:sz w:val="24"/>
          <w:szCs w:val="24"/>
        </w:rPr>
        <w:t>.</w:t>
      </w:r>
      <w:r w:rsidR="00123687" w:rsidRPr="000C0327">
        <w:rPr>
          <w:rFonts w:asciiTheme="minorHAnsi" w:hAnsiTheme="minorHAnsi"/>
          <w:color w:val="1F3864" w:themeColor="accent1" w:themeShade="80"/>
          <w:sz w:val="24"/>
          <w:szCs w:val="24"/>
        </w:rPr>
        <w:t xml:space="preserve">  Given that we </w:t>
      </w:r>
      <w:r w:rsidR="00B40CFE" w:rsidRPr="000C0327">
        <w:rPr>
          <w:rFonts w:asciiTheme="minorHAnsi" w:hAnsiTheme="minorHAnsi"/>
          <w:color w:val="1F3864" w:themeColor="accent1" w:themeShade="80"/>
          <w:sz w:val="24"/>
          <w:szCs w:val="24"/>
        </w:rPr>
        <w:t xml:space="preserve">served a total of 2,829 ESL students in 2017-2018 (which was 37% of our total </w:t>
      </w:r>
      <w:r w:rsidR="00EA2E91" w:rsidRPr="000C0327">
        <w:rPr>
          <w:rFonts w:asciiTheme="minorHAnsi" w:hAnsiTheme="minorHAnsi"/>
          <w:color w:val="1F3864" w:themeColor="accent1" w:themeShade="80"/>
          <w:sz w:val="24"/>
          <w:szCs w:val="24"/>
        </w:rPr>
        <w:t xml:space="preserve">students </w:t>
      </w:r>
      <w:r w:rsidR="00B40CFE" w:rsidRPr="000C0327">
        <w:rPr>
          <w:rFonts w:asciiTheme="minorHAnsi" w:hAnsiTheme="minorHAnsi"/>
          <w:color w:val="1F3864" w:themeColor="accent1" w:themeShade="80"/>
          <w:sz w:val="24"/>
          <w:szCs w:val="24"/>
        </w:rPr>
        <w:t>served)</w:t>
      </w:r>
      <w:r w:rsidR="00B40CFE" w:rsidRPr="000C0327">
        <w:rPr>
          <w:rStyle w:val="FootnoteReference"/>
          <w:rFonts w:asciiTheme="minorHAnsi" w:hAnsiTheme="minorHAnsi"/>
          <w:color w:val="1F3864" w:themeColor="accent1" w:themeShade="80"/>
          <w:sz w:val="24"/>
          <w:szCs w:val="24"/>
        </w:rPr>
        <w:footnoteReference w:id="5"/>
      </w:r>
      <w:r w:rsidR="00B40CFE" w:rsidRPr="000C0327">
        <w:rPr>
          <w:rFonts w:asciiTheme="minorHAnsi" w:hAnsiTheme="minorHAnsi"/>
          <w:color w:val="1F3864" w:themeColor="accent1" w:themeShade="80"/>
          <w:sz w:val="24"/>
          <w:szCs w:val="24"/>
        </w:rPr>
        <w:t>, there is a great need to expand services for English language acquisition.</w:t>
      </w:r>
      <w:r w:rsidR="00123687" w:rsidRPr="000C0327">
        <w:rPr>
          <w:rFonts w:asciiTheme="minorHAnsi" w:hAnsiTheme="minorHAnsi"/>
          <w:color w:val="1F3864" w:themeColor="accent1" w:themeShade="80"/>
          <w:sz w:val="24"/>
          <w:szCs w:val="24"/>
        </w:rPr>
        <w:t xml:space="preserve"> </w:t>
      </w:r>
      <w:r w:rsidR="003549E4" w:rsidRPr="000C0327">
        <w:rPr>
          <w:rFonts w:asciiTheme="minorHAnsi" w:hAnsiTheme="minorHAnsi"/>
          <w:color w:val="1F3864" w:themeColor="accent1" w:themeShade="80"/>
          <w:sz w:val="24"/>
          <w:szCs w:val="24"/>
        </w:rPr>
        <w:t xml:space="preserve">Of those 2,829 students, </w:t>
      </w:r>
      <w:r w:rsidR="00AC7587" w:rsidRPr="000C0327">
        <w:rPr>
          <w:rFonts w:asciiTheme="minorHAnsi" w:hAnsiTheme="minorHAnsi"/>
          <w:color w:val="1F3864" w:themeColor="accent1" w:themeShade="80"/>
          <w:sz w:val="24"/>
          <w:szCs w:val="24"/>
        </w:rPr>
        <w:t>89% reported the biggest barrier to employment</w:t>
      </w:r>
      <w:r w:rsidR="00586E60" w:rsidRPr="000C0327">
        <w:rPr>
          <w:rFonts w:asciiTheme="minorHAnsi" w:hAnsiTheme="minorHAnsi"/>
          <w:color w:val="1F3864" w:themeColor="accent1" w:themeShade="80"/>
          <w:sz w:val="24"/>
          <w:szCs w:val="24"/>
        </w:rPr>
        <w:t xml:space="preserve"> is their lack of English skills</w:t>
      </w:r>
      <w:r w:rsidR="00AC7587" w:rsidRPr="000C0327">
        <w:rPr>
          <w:rFonts w:asciiTheme="minorHAnsi" w:hAnsiTheme="minorHAnsi"/>
          <w:color w:val="1F3864" w:themeColor="accent1" w:themeShade="80"/>
          <w:sz w:val="24"/>
          <w:szCs w:val="24"/>
        </w:rPr>
        <w:t xml:space="preserve">. </w:t>
      </w:r>
      <w:r w:rsidR="00586E60" w:rsidRPr="000C0327">
        <w:rPr>
          <w:rFonts w:asciiTheme="minorHAnsi" w:hAnsiTheme="minorHAnsi"/>
          <w:color w:val="1F3864" w:themeColor="accent1" w:themeShade="80"/>
          <w:sz w:val="24"/>
          <w:szCs w:val="24"/>
        </w:rPr>
        <w:t xml:space="preserve">In addition, 30% report that cultural barriers are keeping them from employment; the accompanying </w:t>
      </w:r>
      <w:r w:rsidR="000C0327" w:rsidRPr="000C0327">
        <w:rPr>
          <w:rFonts w:asciiTheme="minorHAnsi" w:hAnsiTheme="minorHAnsi"/>
          <w:color w:val="1F3864" w:themeColor="accent1" w:themeShade="80"/>
          <w:sz w:val="24"/>
          <w:szCs w:val="24"/>
        </w:rPr>
        <w:t>EL C</w:t>
      </w:r>
      <w:r w:rsidR="00586E60" w:rsidRPr="000C0327">
        <w:rPr>
          <w:rFonts w:asciiTheme="minorHAnsi" w:hAnsiTheme="minorHAnsi"/>
          <w:color w:val="1F3864" w:themeColor="accent1" w:themeShade="80"/>
          <w:sz w:val="24"/>
          <w:szCs w:val="24"/>
        </w:rPr>
        <w:t xml:space="preserve">ivics and immigrant integration </w:t>
      </w:r>
      <w:r w:rsidRPr="000C0327">
        <w:rPr>
          <w:rFonts w:asciiTheme="minorHAnsi" w:hAnsiTheme="minorHAnsi"/>
          <w:color w:val="1F3864" w:themeColor="accent1" w:themeShade="80"/>
          <w:sz w:val="24"/>
          <w:szCs w:val="24"/>
        </w:rPr>
        <w:t>content</w:t>
      </w:r>
      <w:r w:rsidR="00586E60" w:rsidRPr="000C0327">
        <w:rPr>
          <w:rFonts w:asciiTheme="minorHAnsi" w:hAnsiTheme="minorHAnsi"/>
          <w:color w:val="1F3864" w:themeColor="accent1" w:themeShade="80"/>
          <w:sz w:val="24"/>
          <w:szCs w:val="24"/>
        </w:rPr>
        <w:t xml:space="preserve"> that are integrated within the ESL curriculum </w:t>
      </w:r>
      <w:r w:rsidR="000B15EE" w:rsidRPr="000C0327">
        <w:rPr>
          <w:rFonts w:asciiTheme="minorHAnsi" w:hAnsiTheme="minorHAnsi"/>
          <w:color w:val="1F3864" w:themeColor="accent1" w:themeShade="80"/>
          <w:sz w:val="24"/>
          <w:szCs w:val="24"/>
        </w:rPr>
        <w:t>is yet another reason to expand services</w:t>
      </w:r>
      <w:r w:rsidR="00586E60" w:rsidRPr="000C0327">
        <w:rPr>
          <w:rFonts w:asciiTheme="minorHAnsi" w:hAnsiTheme="minorHAnsi"/>
          <w:color w:val="1F3864" w:themeColor="accent1" w:themeShade="80"/>
          <w:sz w:val="24"/>
          <w:szCs w:val="24"/>
        </w:rPr>
        <w:t xml:space="preserve">.  </w:t>
      </w:r>
      <w:r w:rsidR="001C6C57" w:rsidRPr="000C0327">
        <w:rPr>
          <w:rFonts w:asciiTheme="minorHAnsi" w:hAnsiTheme="minorHAnsi"/>
          <w:color w:val="1F3864" w:themeColor="accent1" w:themeShade="80"/>
          <w:sz w:val="24"/>
          <w:szCs w:val="24"/>
        </w:rPr>
        <w:t xml:space="preserve">One key factor that inhibits increasing </w:t>
      </w:r>
      <w:r w:rsidR="005105F6" w:rsidRPr="000C0327">
        <w:rPr>
          <w:rFonts w:asciiTheme="minorHAnsi" w:hAnsiTheme="minorHAnsi"/>
          <w:color w:val="1F3864" w:themeColor="accent1" w:themeShade="80"/>
          <w:sz w:val="24"/>
          <w:szCs w:val="24"/>
        </w:rPr>
        <w:t xml:space="preserve">service to the English Learner population is a lack of </w:t>
      </w:r>
      <w:r w:rsidR="00050A68" w:rsidRPr="000C0327">
        <w:rPr>
          <w:rFonts w:asciiTheme="minorHAnsi" w:hAnsiTheme="minorHAnsi"/>
          <w:color w:val="1F3864" w:themeColor="accent1" w:themeShade="80"/>
          <w:sz w:val="24"/>
          <w:szCs w:val="24"/>
        </w:rPr>
        <w:t>daytime classrooms available for use</w:t>
      </w:r>
      <w:r w:rsidR="005105F6" w:rsidRPr="000C0327">
        <w:rPr>
          <w:rFonts w:asciiTheme="minorHAnsi" w:hAnsiTheme="minorHAnsi"/>
          <w:color w:val="1F3864" w:themeColor="accent1" w:themeShade="80"/>
          <w:sz w:val="24"/>
          <w:szCs w:val="24"/>
        </w:rPr>
        <w:t xml:space="preserve"> for the Adult Schools</w:t>
      </w:r>
      <w:r w:rsidR="00050A68" w:rsidRPr="000C0327">
        <w:rPr>
          <w:rFonts w:asciiTheme="minorHAnsi" w:hAnsiTheme="minorHAnsi"/>
          <w:color w:val="1F3864" w:themeColor="accent1" w:themeShade="80"/>
          <w:sz w:val="24"/>
          <w:szCs w:val="24"/>
        </w:rPr>
        <w:t xml:space="preserve">. </w:t>
      </w:r>
      <w:r w:rsidR="005105F6" w:rsidRPr="000C0327">
        <w:rPr>
          <w:rFonts w:asciiTheme="minorHAnsi" w:hAnsiTheme="minorHAnsi"/>
          <w:color w:val="1F3864" w:themeColor="accent1" w:themeShade="80"/>
          <w:sz w:val="24"/>
          <w:szCs w:val="24"/>
        </w:rPr>
        <w:t>We know this from the waiting lists for placement</w:t>
      </w:r>
      <w:r w:rsidR="00586E60" w:rsidRPr="000C0327">
        <w:rPr>
          <w:rFonts w:asciiTheme="minorHAnsi" w:hAnsiTheme="minorHAnsi"/>
          <w:color w:val="1F3864" w:themeColor="accent1" w:themeShade="80"/>
          <w:sz w:val="24"/>
          <w:szCs w:val="24"/>
        </w:rPr>
        <w:t xml:space="preserve"> and </w:t>
      </w:r>
      <w:r w:rsidR="005105F6" w:rsidRPr="000C0327">
        <w:rPr>
          <w:rFonts w:asciiTheme="minorHAnsi" w:hAnsiTheme="minorHAnsi"/>
          <w:color w:val="1F3864" w:themeColor="accent1" w:themeShade="80"/>
          <w:sz w:val="24"/>
          <w:szCs w:val="24"/>
        </w:rPr>
        <w:t>high demand for testing and entry</w:t>
      </w:r>
      <w:r w:rsidR="00586E60" w:rsidRPr="000C0327">
        <w:rPr>
          <w:rFonts w:asciiTheme="minorHAnsi" w:hAnsiTheme="minorHAnsi"/>
          <w:color w:val="1F3864" w:themeColor="accent1" w:themeShade="80"/>
          <w:sz w:val="24"/>
          <w:szCs w:val="24"/>
        </w:rPr>
        <w:t>.</w:t>
      </w:r>
      <w:r w:rsidR="009A7BDB" w:rsidRPr="000C0327">
        <w:rPr>
          <w:rFonts w:asciiTheme="minorHAnsi" w:hAnsiTheme="minorHAnsi"/>
          <w:color w:val="1F3864" w:themeColor="accent1" w:themeShade="80"/>
          <w:sz w:val="24"/>
          <w:szCs w:val="24"/>
        </w:rPr>
        <w:t xml:space="preserve"> </w:t>
      </w:r>
      <w:r w:rsidR="006E45FB">
        <w:rPr>
          <w:rFonts w:asciiTheme="minorHAnsi" w:hAnsiTheme="minorHAnsi"/>
          <w:color w:val="1F3864" w:themeColor="accent1" w:themeShade="80"/>
          <w:sz w:val="24"/>
          <w:szCs w:val="24"/>
        </w:rPr>
        <w:t>Similarly, we also know that persistence is a key indicator of success and increasing persistence within the adult school program and through the transition, and within, the community college program will be critical for student success.</w:t>
      </w:r>
    </w:p>
    <w:p w14:paraId="4CB5897D" w14:textId="77777777" w:rsidR="009A7BDB" w:rsidRPr="000C0327" w:rsidRDefault="009A7BDB" w:rsidP="00DD508B">
      <w:pPr>
        <w:spacing w:after="0"/>
        <w:rPr>
          <w:rFonts w:asciiTheme="minorHAnsi" w:hAnsiTheme="minorHAnsi"/>
          <w:color w:val="1F3864" w:themeColor="accent1" w:themeShade="80"/>
          <w:sz w:val="24"/>
          <w:szCs w:val="24"/>
        </w:rPr>
      </w:pPr>
    </w:p>
    <w:p w14:paraId="1F384575" w14:textId="60F1DEC8" w:rsidR="009A7BDB" w:rsidRPr="000C0327" w:rsidRDefault="009A7BDB" w:rsidP="00DD508B">
      <w:pPr>
        <w:spacing w:after="0"/>
        <w:rPr>
          <w:rFonts w:asciiTheme="minorHAnsi" w:hAnsiTheme="minorHAnsi"/>
          <w:color w:val="1F3864" w:themeColor="accent1" w:themeShade="80"/>
          <w:sz w:val="24"/>
          <w:szCs w:val="24"/>
        </w:rPr>
      </w:pPr>
      <w:r w:rsidRPr="000C0327">
        <w:rPr>
          <w:rFonts w:asciiTheme="minorHAnsi" w:hAnsiTheme="minorHAnsi"/>
          <w:color w:val="1F3864" w:themeColor="accent1" w:themeShade="80"/>
          <w:sz w:val="24"/>
          <w:szCs w:val="24"/>
        </w:rPr>
        <w:t xml:space="preserve">One similarity to the above data is that </w:t>
      </w:r>
      <w:r w:rsidR="00EA2E91" w:rsidRPr="000C0327">
        <w:rPr>
          <w:rFonts w:asciiTheme="minorHAnsi" w:hAnsiTheme="minorHAnsi"/>
          <w:color w:val="1F3864" w:themeColor="accent1" w:themeShade="80"/>
          <w:sz w:val="24"/>
          <w:szCs w:val="24"/>
        </w:rPr>
        <w:t>37% of</w:t>
      </w:r>
      <w:r w:rsidRPr="000C0327">
        <w:rPr>
          <w:rFonts w:asciiTheme="minorHAnsi" w:hAnsiTheme="minorHAnsi"/>
          <w:color w:val="1F3864" w:themeColor="accent1" w:themeShade="80"/>
          <w:sz w:val="24"/>
          <w:szCs w:val="24"/>
        </w:rPr>
        <w:t xml:space="preserve"> </w:t>
      </w:r>
      <w:r w:rsidR="00EA2E91" w:rsidRPr="000C0327">
        <w:rPr>
          <w:rFonts w:asciiTheme="minorHAnsi" w:hAnsiTheme="minorHAnsi"/>
          <w:color w:val="1F3864" w:themeColor="accent1" w:themeShade="80"/>
          <w:sz w:val="24"/>
          <w:szCs w:val="24"/>
        </w:rPr>
        <w:t>the</w:t>
      </w:r>
      <w:r w:rsidRPr="000C0327">
        <w:rPr>
          <w:rFonts w:asciiTheme="minorHAnsi" w:hAnsiTheme="minorHAnsi"/>
          <w:color w:val="1F3864" w:themeColor="accent1" w:themeShade="80"/>
          <w:sz w:val="24"/>
          <w:szCs w:val="24"/>
        </w:rPr>
        <w:t xml:space="preserve"> 2,037 </w:t>
      </w:r>
      <w:r w:rsidR="00EA2E91" w:rsidRPr="000C0327">
        <w:rPr>
          <w:rFonts w:asciiTheme="minorHAnsi" w:hAnsiTheme="minorHAnsi"/>
          <w:color w:val="1F3864" w:themeColor="accent1" w:themeShade="80"/>
          <w:sz w:val="24"/>
          <w:szCs w:val="24"/>
        </w:rPr>
        <w:t>career technical education (CTE)</w:t>
      </w:r>
      <w:r w:rsidRPr="000C0327">
        <w:rPr>
          <w:rFonts w:asciiTheme="minorHAnsi" w:hAnsiTheme="minorHAnsi"/>
          <w:color w:val="1F3864" w:themeColor="accent1" w:themeShade="80"/>
          <w:sz w:val="24"/>
          <w:szCs w:val="24"/>
        </w:rPr>
        <w:t xml:space="preserve"> </w:t>
      </w:r>
      <w:r w:rsidR="00EA2E91" w:rsidRPr="000C0327">
        <w:rPr>
          <w:rFonts w:asciiTheme="minorHAnsi" w:hAnsiTheme="minorHAnsi"/>
          <w:color w:val="1F3864" w:themeColor="accent1" w:themeShade="80"/>
          <w:sz w:val="24"/>
          <w:szCs w:val="24"/>
        </w:rPr>
        <w:t>students</w:t>
      </w:r>
      <w:r w:rsidRPr="000C0327">
        <w:rPr>
          <w:rFonts w:asciiTheme="minorHAnsi" w:hAnsiTheme="minorHAnsi"/>
          <w:color w:val="1F3864" w:themeColor="accent1" w:themeShade="80"/>
          <w:sz w:val="24"/>
          <w:szCs w:val="24"/>
        </w:rPr>
        <w:t xml:space="preserve"> report that English Language proficiency is the largest barrier to employment</w:t>
      </w:r>
      <w:r w:rsidRPr="000C0327">
        <w:rPr>
          <w:rStyle w:val="FootnoteReference"/>
          <w:rFonts w:asciiTheme="minorHAnsi" w:hAnsiTheme="minorHAnsi"/>
          <w:color w:val="1F3864" w:themeColor="accent1" w:themeShade="80"/>
          <w:sz w:val="24"/>
          <w:szCs w:val="24"/>
        </w:rPr>
        <w:footnoteReference w:id="6"/>
      </w:r>
      <w:r w:rsidRPr="000C0327">
        <w:rPr>
          <w:rFonts w:asciiTheme="minorHAnsi" w:hAnsiTheme="minorHAnsi"/>
          <w:color w:val="1F3864" w:themeColor="accent1" w:themeShade="80"/>
          <w:sz w:val="24"/>
          <w:szCs w:val="24"/>
        </w:rPr>
        <w:t xml:space="preserve">.  Developing co-enrollment opportunities in ESL as well as embedded language improvement within CTE are key areas to consider as we work on our career pathways and curriculum articulation and integration. </w:t>
      </w:r>
      <w:r w:rsidR="00943443" w:rsidRPr="000C0327">
        <w:rPr>
          <w:rFonts w:asciiTheme="minorHAnsi" w:hAnsiTheme="minorHAnsi"/>
          <w:color w:val="1F3864" w:themeColor="accent1" w:themeShade="80"/>
          <w:sz w:val="24"/>
          <w:szCs w:val="24"/>
        </w:rPr>
        <w:t xml:space="preserve">  Desire for CTE </w:t>
      </w:r>
      <w:r w:rsidR="0033290A" w:rsidRPr="000C0327">
        <w:rPr>
          <w:rFonts w:asciiTheme="minorHAnsi" w:hAnsiTheme="minorHAnsi"/>
          <w:color w:val="1F3864" w:themeColor="accent1" w:themeShade="80"/>
          <w:sz w:val="24"/>
          <w:szCs w:val="24"/>
        </w:rPr>
        <w:t>training in</w:t>
      </w:r>
      <w:r w:rsidR="00943443" w:rsidRPr="000C0327">
        <w:rPr>
          <w:rFonts w:asciiTheme="minorHAnsi" w:hAnsiTheme="minorHAnsi"/>
          <w:color w:val="1F3864" w:themeColor="accent1" w:themeShade="80"/>
          <w:sz w:val="24"/>
          <w:szCs w:val="24"/>
        </w:rPr>
        <w:t xml:space="preserve"> our community </w:t>
      </w:r>
      <w:r w:rsidR="0033290A" w:rsidRPr="000C0327">
        <w:rPr>
          <w:rFonts w:asciiTheme="minorHAnsi" w:hAnsiTheme="minorHAnsi"/>
          <w:color w:val="1F3864" w:themeColor="accent1" w:themeShade="80"/>
          <w:sz w:val="24"/>
          <w:szCs w:val="24"/>
        </w:rPr>
        <w:t>is supported</w:t>
      </w:r>
      <w:r w:rsidR="00943443" w:rsidRPr="000C0327">
        <w:rPr>
          <w:rFonts w:asciiTheme="minorHAnsi" w:hAnsiTheme="minorHAnsi"/>
          <w:color w:val="1F3864" w:themeColor="accent1" w:themeShade="80"/>
          <w:sz w:val="24"/>
          <w:szCs w:val="24"/>
        </w:rPr>
        <w:t xml:space="preserve"> by</w:t>
      </w:r>
      <w:r w:rsidR="0033290A" w:rsidRPr="000C0327">
        <w:rPr>
          <w:rFonts w:asciiTheme="minorHAnsi" w:hAnsiTheme="minorHAnsi"/>
          <w:color w:val="1F3864" w:themeColor="accent1" w:themeShade="80"/>
          <w:sz w:val="24"/>
          <w:szCs w:val="24"/>
        </w:rPr>
        <w:t xml:space="preserve"> the increase in enrollee</w:t>
      </w:r>
      <w:r w:rsidR="00943443" w:rsidRPr="000C0327">
        <w:rPr>
          <w:rFonts w:asciiTheme="minorHAnsi" w:hAnsiTheme="minorHAnsi"/>
          <w:color w:val="1F3864" w:themeColor="accent1" w:themeShade="80"/>
          <w:sz w:val="24"/>
          <w:szCs w:val="24"/>
        </w:rPr>
        <w:t>s (1,578 in 2016-2017 to 2,037 in 2017-2018)</w:t>
      </w:r>
      <w:r w:rsidR="0033290A" w:rsidRPr="000C0327">
        <w:rPr>
          <w:rStyle w:val="FootnoteReference"/>
          <w:rFonts w:asciiTheme="minorHAnsi" w:hAnsiTheme="minorHAnsi"/>
          <w:color w:val="1F3864" w:themeColor="accent1" w:themeShade="80"/>
          <w:sz w:val="24"/>
          <w:szCs w:val="24"/>
        </w:rPr>
        <w:footnoteReference w:id="7"/>
      </w:r>
      <w:r w:rsidR="00943443" w:rsidRPr="000C0327">
        <w:rPr>
          <w:rFonts w:asciiTheme="minorHAnsi" w:hAnsiTheme="minorHAnsi"/>
          <w:color w:val="1F3864" w:themeColor="accent1" w:themeShade="80"/>
          <w:sz w:val="24"/>
          <w:szCs w:val="24"/>
        </w:rPr>
        <w:t>.</w:t>
      </w:r>
      <w:r w:rsidR="0033290A" w:rsidRPr="000C0327">
        <w:rPr>
          <w:rFonts w:asciiTheme="minorHAnsi" w:hAnsiTheme="minorHAnsi"/>
          <w:color w:val="1F3864" w:themeColor="accent1" w:themeShade="80"/>
          <w:sz w:val="24"/>
          <w:szCs w:val="24"/>
        </w:rPr>
        <w:t xml:space="preserve">  With 9,559 community members unemployed (85% of whom fall between the ages of 18-49), this is a significant pool of individuals who may have training needs</w:t>
      </w:r>
      <w:r w:rsidR="0033290A" w:rsidRPr="000C0327">
        <w:rPr>
          <w:rStyle w:val="FootnoteReference"/>
          <w:rFonts w:asciiTheme="minorHAnsi" w:hAnsiTheme="minorHAnsi"/>
          <w:color w:val="1F3864" w:themeColor="accent1" w:themeShade="80"/>
          <w:sz w:val="24"/>
          <w:szCs w:val="24"/>
        </w:rPr>
        <w:footnoteReference w:id="8"/>
      </w:r>
      <w:r w:rsidR="0033290A" w:rsidRPr="000C0327">
        <w:rPr>
          <w:rFonts w:asciiTheme="minorHAnsi" w:hAnsiTheme="minorHAnsi"/>
          <w:color w:val="1F3864" w:themeColor="accent1" w:themeShade="80"/>
          <w:sz w:val="24"/>
          <w:szCs w:val="24"/>
        </w:rPr>
        <w:t xml:space="preserve">.  Further, </w:t>
      </w:r>
      <w:r w:rsidR="00EA2E91" w:rsidRPr="000C0327">
        <w:rPr>
          <w:rFonts w:asciiTheme="minorHAnsi" w:hAnsiTheme="minorHAnsi"/>
          <w:color w:val="1F3864" w:themeColor="accent1" w:themeShade="80"/>
          <w:sz w:val="24"/>
          <w:szCs w:val="24"/>
        </w:rPr>
        <w:t>we know from NOVA Connect (WIB)</w:t>
      </w:r>
      <w:r w:rsidR="0033290A" w:rsidRPr="000C0327">
        <w:rPr>
          <w:rFonts w:asciiTheme="minorHAnsi" w:hAnsiTheme="minorHAnsi"/>
          <w:color w:val="1F3864" w:themeColor="accent1" w:themeShade="80"/>
          <w:sz w:val="24"/>
          <w:szCs w:val="24"/>
        </w:rPr>
        <w:t xml:space="preserve"> that there is a large population of formerly incarcerated individuals in need of career training and education.</w:t>
      </w:r>
    </w:p>
    <w:p w14:paraId="7ABE7760" w14:textId="77777777" w:rsidR="000B15EE" w:rsidRPr="000C0327" w:rsidRDefault="000B15EE" w:rsidP="00DD508B">
      <w:pPr>
        <w:spacing w:after="0"/>
        <w:rPr>
          <w:rFonts w:asciiTheme="minorHAnsi" w:hAnsiTheme="minorHAnsi"/>
          <w:color w:val="1F3864" w:themeColor="accent1" w:themeShade="80"/>
          <w:sz w:val="24"/>
          <w:szCs w:val="24"/>
        </w:rPr>
      </w:pPr>
    </w:p>
    <w:p w14:paraId="77F6869F" w14:textId="72A3D898" w:rsidR="000B15EE" w:rsidRPr="000C0327" w:rsidRDefault="000B15EE" w:rsidP="00DD508B">
      <w:pPr>
        <w:spacing w:after="0"/>
        <w:rPr>
          <w:rFonts w:asciiTheme="minorHAnsi" w:hAnsiTheme="minorHAnsi"/>
          <w:color w:val="1F3864" w:themeColor="accent1" w:themeShade="80"/>
          <w:sz w:val="24"/>
          <w:szCs w:val="24"/>
        </w:rPr>
      </w:pPr>
      <w:r w:rsidRPr="000C0327">
        <w:rPr>
          <w:rFonts w:asciiTheme="minorHAnsi" w:hAnsiTheme="minorHAnsi"/>
          <w:color w:val="1F3864" w:themeColor="accent1" w:themeShade="80"/>
          <w:sz w:val="24"/>
          <w:szCs w:val="24"/>
        </w:rPr>
        <w:t xml:space="preserve">We continue to increase the number of Adult Secondary Education students served within our consortium.  Serving 2,066 in 2017-2018—this was the highest number served to-date, topping </w:t>
      </w:r>
      <w:r w:rsidRPr="000C0327">
        <w:rPr>
          <w:rFonts w:asciiTheme="minorHAnsi" w:hAnsiTheme="minorHAnsi"/>
          <w:color w:val="1F3864" w:themeColor="accent1" w:themeShade="80"/>
          <w:sz w:val="24"/>
          <w:szCs w:val="24"/>
        </w:rPr>
        <w:lastRenderedPageBreak/>
        <w:t>the 2016-2017 number of 1,882.  Long-term unemployment (45%) and low income (32%) are key barriers to employment for the Adult Secondary Education program students</w:t>
      </w:r>
      <w:r w:rsidRPr="000C0327">
        <w:rPr>
          <w:rStyle w:val="FootnoteReference"/>
          <w:rFonts w:asciiTheme="minorHAnsi" w:hAnsiTheme="minorHAnsi"/>
          <w:color w:val="1F3864" w:themeColor="accent1" w:themeShade="80"/>
          <w:sz w:val="24"/>
          <w:szCs w:val="24"/>
        </w:rPr>
        <w:footnoteReference w:id="9"/>
      </w:r>
      <w:r w:rsidRPr="000C0327">
        <w:rPr>
          <w:rFonts w:asciiTheme="minorHAnsi" w:hAnsiTheme="minorHAnsi"/>
          <w:color w:val="1F3864" w:themeColor="accent1" w:themeShade="80"/>
          <w:sz w:val="24"/>
          <w:szCs w:val="24"/>
        </w:rPr>
        <w:t>.  Workforce readiness and job placement as well as developing additional pathways from the Adult Schools into non-credit</w:t>
      </w:r>
      <w:r w:rsidR="00007F05" w:rsidRPr="000C0327">
        <w:rPr>
          <w:rFonts w:asciiTheme="minorHAnsi" w:hAnsiTheme="minorHAnsi"/>
          <w:color w:val="1F3864" w:themeColor="accent1" w:themeShade="80"/>
          <w:sz w:val="24"/>
          <w:szCs w:val="24"/>
        </w:rPr>
        <w:t xml:space="preserve"> and credit</w:t>
      </w:r>
      <w:r w:rsidRPr="000C0327">
        <w:rPr>
          <w:rFonts w:asciiTheme="minorHAnsi" w:hAnsiTheme="minorHAnsi"/>
          <w:color w:val="1F3864" w:themeColor="accent1" w:themeShade="80"/>
          <w:sz w:val="24"/>
          <w:szCs w:val="24"/>
        </w:rPr>
        <w:t xml:space="preserve"> </w:t>
      </w:r>
      <w:r w:rsidR="00007F05" w:rsidRPr="000C0327">
        <w:rPr>
          <w:rFonts w:asciiTheme="minorHAnsi" w:hAnsiTheme="minorHAnsi"/>
          <w:color w:val="1F3864" w:themeColor="accent1" w:themeShade="80"/>
          <w:sz w:val="24"/>
          <w:szCs w:val="24"/>
        </w:rPr>
        <w:t>career pathways</w:t>
      </w:r>
      <w:r w:rsidRPr="000C0327">
        <w:rPr>
          <w:rFonts w:asciiTheme="minorHAnsi" w:hAnsiTheme="minorHAnsi"/>
          <w:color w:val="1F3864" w:themeColor="accent1" w:themeShade="80"/>
          <w:sz w:val="24"/>
          <w:szCs w:val="24"/>
        </w:rPr>
        <w:t xml:space="preserve"> are two key areas that could assist the needs of this population.</w:t>
      </w:r>
    </w:p>
    <w:p w14:paraId="410C6824" w14:textId="77777777" w:rsidR="001C6C57" w:rsidRPr="000C0327" w:rsidRDefault="001C6C57" w:rsidP="00DD508B">
      <w:pPr>
        <w:spacing w:after="0"/>
        <w:rPr>
          <w:rFonts w:asciiTheme="minorHAnsi" w:hAnsiTheme="minorHAnsi"/>
          <w:color w:val="1F3864" w:themeColor="accent1" w:themeShade="80"/>
          <w:sz w:val="24"/>
          <w:szCs w:val="24"/>
        </w:rPr>
      </w:pPr>
    </w:p>
    <w:p w14:paraId="708B9D36" w14:textId="1EA25801" w:rsidR="003549E4" w:rsidRPr="000C0327" w:rsidRDefault="001C6C57" w:rsidP="00DD508B">
      <w:pPr>
        <w:spacing w:after="0"/>
        <w:rPr>
          <w:rFonts w:asciiTheme="minorHAnsi" w:hAnsiTheme="minorHAnsi"/>
          <w:color w:val="1F3864" w:themeColor="accent1" w:themeShade="80"/>
          <w:sz w:val="24"/>
          <w:szCs w:val="24"/>
        </w:rPr>
      </w:pPr>
      <w:r w:rsidRPr="000C0327">
        <w:rPr>
          <w:rFonts w:asciiTheme="minorHAnsi" w:hAnsiTheme="minorHAnsi"/>
          <w:color w:val="1F3864" w:themeColor="accent1" w:themeShade="80"/>
          <w:sz w:val="24"/>
          <w:szCs w:val="24"/>
        </w:rPr>
        <w:t xml:space="preserve">One surprising statistic is that only 62% </w:t>
      </w:r>
      <w:r w:rsidR="000E7E8D" w:rsidRPr="000C0327">
        <w:rPr>
          <w:rFonts w:asciiTheme="minorHAnsi" w:hAnsiTheme="minorHAnsi"/>
          <w:color w:val="1F3864" w:themeColor="accent1" w:themeShade="80"/>
          <w:sz w:val="24"/>
          <w:szCs w:val="24"/>
        </w:rPr>
        <w:t>(</w:t>
      </w:r>
      <w:r w:rsidRPr="000C0327">
        <w:rPr>
          <w:rFonts w:asciiTheme="minorHAnsi" w:hAnsiTheme="minorHAnsi"/>
          <w:color w:val="1F3864" w:themeColor="accent1" w:themeShade="80"/>
          <w:sz w:val="24"/>
          <w:szCs w:val="24"/>
        </w:rPr>
        <w:t>7,555</w:t>
      </w:r>
      <w:r w:rsidR="000E7E8D" w:rsidRPr="000C0327">
        <w:rPr>
          <w:rFonts w:asciiTheme="minorHAnsi" w:hAnsiTheme="minorHAnsi"/>
          <w:color w:val="1F3864" w:themeColor="accent1" w:themeShade="80"/>
          <w:sz w:val="24"/>
          <w:szCs w:val="24"/>
        </w:rPr>
        <w:t>/12,103)</w:t>
      </w:r>
      <w:r w:rsidRPr="000C0327">
        <w:rPr>
          <w:rFonts w:asciiTheme="minorHAnsi" w:hAnsiTheme="minorHAnsi"/>
          <w:color w:val="1F3864" w:themeColor="accent1" w:themeShade="80"/>
          <w:sz w:val="24"/>
          <w:szCs w:val="24"/>
        </w:rPr>
        <w:t xml:space="preserve"> students served in 2017-2018 had 12 or more contact hours</w:t>
      </w:r>
      <w:r w:rsidR="00050A68" w:rsidRPr="000C0327">
        <w:rPr>
          <w:rStyle w:val="FootnoteReference"/>
          <w:rFonts w:asciiTheme="minorHAnsi" w:hAnsiTheme="minorHAnsi"/>
          <w:color w:val="1F3864" w:themeColor="accent1" w:themeShade="80"/>
          <w:sz w:val="24"/>
          <w:szCs w:val="24"/>
        </w:rPr>
        <w:footnoteReference w:id="10"/>
      </w:r>
      <w:r w:rsidRPr="000C0327">
        <w:rPr>
          <w:rFonts w:asciiTheme="minorHAnsi" w:hAnsiTheme="minorHAnsi"/>
          <w:color w:val="1F3864" w:themeColor="accent1" w:themeShade="80"/>
          <w:sz w:val="24"/>
          <w:szCs w:val="24"/>
        </w:rPr>
        <w:t xml:space="preserve">.  The fact that </w:t>
      </w:r>
      <w:r w:rsidR="000E7E8D" w:rsidRPr="000C0327">
        <w:rPr>
          <w:rFonts w:asciiTheme="minorHAnsi" w:hAnsiTheme="minorHAnsi"/>
          <w:color w:val="1F3864" w:themeColor="accent1" w:themeShade="80"/>
          <w:sz w:val="24"/>
          <w:szCs w:val="24"/>
        </w:rPr>
        <w:t xml:space="preserve">4,548 </w:t>
      </w:r>
      <w:r w:rsidRPr="000C0327">
        <w:rPr>
          <w:rFonts w:asciiTheme="minorHAnsi" w:hAnsiTheme="minorHAnsi"/>
          <w:color w:val="1F3864" w:themeColor="accent1" w:themeShade="80"/>
          <w:sz w:val="24"/>
          <w:szCs w:val="24"/>
        </w:rPr>
        <w:t xml:space="preserve">students are receiving less than 12 hours of contact is something to explore to figure out who these students are, what is leading to the attrition, and why are </w:t>
      </w:r>
      <w:r w:rsidR="00586E60" w:rsidRPr="000C0327">
        <w:rPr>
          <w:rFonts w:asciiTheme="minorHAnsi" w:hAnsiTheme="minorHAnsi"/>
          <w:color w:val="1F3864" w:themeColor="accent1" w:themeShade="80"/>
          <w:sz w:val="24"/>
          <w:szCs w:val="24"/>
        </w:rPr>
        <w:t>they leaving.  Understanding what factors are leading to this lack of persistence will allow us to analyze our systems</w:t>
      </w:r>
      <w:r w:rsidRPr="000C0327">
        <w:rPr>
          <w:rFonts w:asciiTheme="minorHAnsi" w:hAnsiTheme="minorHAnsi"/>
          <w:color w:val="1F3864" w:themeColor="accent1" w:themeShade="80"/>
          <w:sz w:val="24"/>
          <w:szCs w:val="24"/>
        </w:rPr>
        <w:t>; the assumption is that if their needs were being met, they would remain in our programs.</w:t>
      </w:r>
    </w:p>
    <w:p w14:paraId="66DA8B73" w14:textId="77777777" w:rsidR="00014E76" w:rsidRPr="000C0327" w:rsidRDefault="00014E76" w:rsidP="00DD508B">
      <w:pPr>
        <w:spacing w:after="0"/>
        <w:rPr>
          <w:rFonts w:asciiTheme="minorHAnsi" w:hAnsiTheme="minorHAnsi"/>
          <w:color w:val="1F3864" w:themeColor="accent1" w:themeShade="80"/>
          <w:sz w:val="24"/>
          <w:szCs w:val="24"/>
        </w:rPr>
      </w:pPr>
    </w:p>
    <w:p w14:paraId="6924ABFE" w14:textId="01DB77F3" w:rsidR="00014E76" w:rsidRPr="000C0327" w:rsidRDefault="00014E76" w:rsidP="00DD508B">
      <w:pPr>
        <w:spacing w:after="0"/>
        <w:rPr>
          <w:rFonts w:asciiTheme="minorHAnsi" w:hAnsiTheme="minorHAnsi"/>
          <w:color w:val="1F3864" w:themeColor="accent1" w:themeShade="80"/>
          <w:sz w:val="24"/>
          <w:szCs w:val="24"/>
        </w:rPr>
      </w:pPr>
      <w:r w:rsidRPr="000C0327">
        <w:rPr>
          <w:rFonts w:asciiTheme="minorHAnsi" w:hAnsiTheme="minorHAnsi"/>
          <w:color w:val="1F3864" w:themeColor="accent1" w:themeShade="80"/>
          <w:sz w:val="24"/>
          <w:szCs w:val="24"/>
        </w:rPr>
        <w:t xml:space="preserve">Another statistic that </w:t>
      </w:r>
      <w:r w:rsidR="00140F8B" w:rsidRPr="000C0327">
        <w:rPr>
          <w:rFonts w:asciiTheme="minorHAnsi" w:hAnsiTheme="minorHAnsi"/>
          <w:color w:val="1F3864" w:themeColor="accent1" w:themeShade="80"/>
          <w:sz w:val="24"/>
          <w:szCs w:val="24"/>
        </w:rPr>
        <w:t>is surprising is</w:t>
      </w:r>
      <w:r w:rsidRPr="000C0327">
        <w:rPr>
          <w:rFonts w:asciiTheme="minorHAnsi" w:hAnsiTheme="minorHAnsi"/>
          <w:color w:val="1F3864" w:themeColor="accent1" w:themeShade="80"/>
          <w:sz w:val="24"/>
          <w:szCs w:val="24"/>
        </w:rPr>
        <w:t xml:space="preserve"> the number of students who exit in a given year as “employed” </w:t>
      </w:r>
      <w:r w:rsidR="00EA2E91" w:rsidRPr="000C0327">
        <w:rPr>
          <w:rFonts w:asciiTheme="minorHAnsi" w:hAnsiTheme="minorHAnsi"/>
          <w:color w:val="1F3864" w:themeColor="accent1" w:themeShade="80"/>
          <w:sz w:val="24"/>
          <w:szCs w:val="24"/>
        </w:rPr>
        <w:t xml:space="preserve">and </w:t>
      </w:r>
      <w:r w:rsidRPr="000C0327">
        <w:rPr>
          <w:rFonts w:asciiTheme="minorHAnsi" w:hAnsiTheme="minorHAnsi"/>
          <w:color w:val="1F3864" w:themeColor="accent1" w:themeShade="80"/>
          <w:sz w:val="24"/>
          <w:szCs w:val="24"/>
        </w:rPr>
        <w:t>are still employed two quarters later.  The most recent</w:t>
      </w:r>
      <w:r w:rsidR="00140F8B" w:rsidRPr="000C0327">
        <w:rPr>
          <w:rFonts w:asciiTheme="minorHAnsi" w:hAnsiTheme="minorHAnsi"/>
          <w:color w:val="1F3864" w:themeColor="accent1" w:themeShade="80"/>
          <w:sz w:val="24"/>
          <w:szCs w:val="24"/>
        </w:rPr>
        <w:t xml:space="preserve"> data, wh</w:t>
      </w:r>
      <w:r w:rsidR="0075442E" w:rsidRPr="000C0327">
        <w:rPr>
          <w:rFonts w:asciiTheme="minorHAnsi" w:hAnsiTheme="minorHAnsi"/>
          <w:color w:val="1F3864" w:themeColor="accent1" w:themeShade="80"/>
          <w:sz w:val="24"/>
          <w:szCs w:val="24"/>
        </w:rPr>
        <w:t xml:space="preserve">ich shows that </w:t>
      </w:r>
      <w:r w:rsidR="003F71D4" w:rsidRPr="000C0327">
        <w:rPr>
          <w:rFonts w:asciiTheme="minorHAnsi" w:hAnsiTheme="minorHAnsi"/>
          <w:color w:val="1F3864" w:themeColor="accent1" w:themeShade="80"/>
          <w:sz w:val="24"/>
          <w:szCs w:val="24"/>
        </w:rPr>
        <w:t>2016-2017 students have</w:t>
      </w:r>
      <w:r w:rsidR="00140F8B" w:rsidRPr="000C0327">
        <w:rPr>
          <w:rFonts w:asciiTheme="minorHAnsi" w:hAnsiTheme="minorHAnsi"/>
          <w:color w:val="1F3864" w:themeColor="accent1" w:themeShade="80"/>
          <w:sz w:val="24"/>
          <w:szCs w:val="24"/>
        </w:rPr>
        <w:t xml:space="preserve"> only 17% still working 2 quarters later; this is a drop from 2015-2016 at 34%</w:t>
      </w:r>
      <w:r w:rsidR="00140F8B" w:rsidRPr="000C0327">
        <w:rPr>
          <w:rStyle w:val="FootnoteReference"/>
          <w:rFonts w:asciiTheme="minorHAnsi" w:hAnsiTheme="minorHAnsi"/>
          <w:color w:val="1F3864" w:themeColor="accent1" w:themeShade="80"/>
          <w:sz w:val="24"/>
          <w:szCs w:val="24"/>
        </w:rPr>
        <w:footnoteReference w:id="11"/>
      </w:r>
      <w:r w:rsidR="00140F8B" w:rsidRPr="000C0327">
        <w:rPr>
          <w:rFonts w:asciiTheme="minorHAnsi" w:hAnsiTheme="minorHAnsi"/>
          <w:color w:val="1F3864" w:themeColor="accent1" w:themeShade="80"/>
          <w:sz w:val="24"/>
          <w:szCs w:val="24"/>
        </w:rPr>
        <w:t>.  That said</w:t>
      </w:r>
      <w:proofErr w:type="gramStart"/>
      <w:r w:rsidR="00140F8B" w:rsidRPr="000C0327">
        <w:rPr>
          <w:rFonts w:asciiTheme="minorHAnsi" w:hAnsiTheme="minorHAnsi"/>
          <w:color w:val="1F3864" w:themeColor="accent1" w:themeShade="80"/>
          <w:sz w:val="24"/>
          <w:szCs w:val="24"/>
        </w:rPr>
        <w:t>,</w:t>
      </w:r>
      <w:proofErr w:type="gramEnd"/>
      <w:r w:rsidR="00140F8B" w:rsidRPr="000C0327">
        <w:rPr>
          <w:rFonts w:asciiTheme="minorHAnsi" w:hAnsiTheme="minorHAnsi"/>
          <w:color w:val="1F3864" w:themeColor="accent1" w:themeShade="80"/>
          <w:sz w:val="24"/>
          <w:szCs w:val="24"/>
        </w:rPr>
        <w:t xml:space="preserve"> we know that the way data is collected has been changing and may affect some of the </w:t>
      </w:r>
      <w:r w:rsidR="00EA2E91" w:rsidRPr="000C0327">
        <w:rPr>
          <w:rFonts w:asciiTheme="minorHAnsi" w:hAnsiTheme="minorHAnsi"/>
          <w:color w:val="1F3864" w:themeColor="accent1" w:themeShade="80"/>
          <w:sz w:val="24"/>
          <w:szCs w:val="24"/>
        </w:rPr>
        <w:t>results</w:t>
      </w:r>
      <w:r w:rsidR="00140F8B" w:rsidRPr="000C0327">
        <w:rPr>
          <w:rFonts w:asciiTheme="minorHAnsi" w:hAnsiTheme="minorHAnsi"/>
          <w:color w:val="1F3864" w:themeColor="accent1" w:themeShade="80"/>
          <w:sz w:val="24"/>
          <w:szCs w:val="24"/>
        </w:rPr>
        <w:t>.  This also needs to be contrasted with those employed four quarters after exit.  Unfortunately data is not available for 2016-2017.</w:t>
      </w:r>
    </w:p>
    <w:p w14:paraId="7C0882D0" w14:textId="77777777" w:rsidR="00EA2E91" w:rsidRPr="002827DE" w:rsidRDefault="00EA2E91" w:rsidP="00DD508B">
      <w:pPr>
        <w:spacing w:after="0"/>
        <w:rPr>
          <w:rFonts w:asciiTheme="minorHAnsi" w:hAnsiTheme="minorHAnsi"/>
          <w:sz w:val="24"/>
          <w:szCs w:val="24"/>
        </w:rPr>
      </w:pPr>
    </w:p>
    <w:p w14:paraId="65FE25C5" w14:textId="4AA493D7" w:rsidR="00AA44AC" w:rsidRPr="002827DE" w:rsidRDefault="00AA44AC" w:rsidP="00DD508B">
      <w:pPr>
        <w:spacing w:after="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As we dig deeper into our in-house Data Dashboard’s</w:t>
      </w:r>
      <w:r w:rsidR="0075442E" w:rsidRPr="002827DE">
        <w:rPr>
          <w:rStyle w:val="FootnoteReference"/>
          <w:rFonts w:ascii="Calibri" w:eastAsia="Times New Roman" w:hAnsi="Calibri" w:cs="Times New Roman"/>
          <w:color w:val="1F3864" w:themeColor="accent1" w:themeShade="80"/>
          <w:sz w:val="24"/>
          <w:szCs w:val="24"/>
        </w:rPr>
        <w:footnoteReference w:id="12"/>
      </w:r>
      <w:r w:rsidRPr="002827DE">
        <w:rPr>
          <w:rFonts w:ascii="Calibri" w:eastAsia="Times New Roman" w:hAnsi="Calibri" w:cs="Times New Roman"/>
          <w:color w:val="1F3864" w:themeColor="accent1" w:themeShade="80"/>
          <w:sz w:val="24"/>
          <w:szCs w:val="24"/>
        </w:rPr>
        <w:t xml:space="preserve"> transition data, we can see, for example, that students who transition are achieving at the community colleges.  We also see a need for further need analysis via a dedicated researcher who would have the time and skill-set to dig deeper and analyze trends.  To illustrate this, the following data for mathematics enrollments are:</w:t>
      </w:r>
    </w:p>
    <w:p w14:paraId="4AD735DA" w14:textId="77777777" w:rsidR="00AA44AC" w:rsidRPr="002827DE" w:rsidRDefault="00AA44AC" w:rsidP="00DD508B">
      <w:pPr>
        <w:pStyle w:val="ListParagraph"/>
        <w:spacing w:after="0"/>
        <w:rPr>
          <w:rFonts w:ascii="Calibri" w:eastAsia="Times New Roman" w:hAnsi="Calibri" w:cs="Times New Roman"/>
          <w:color w:val="1F3864" w:themeColor="accent1" w:themeShade="80"/>
          <w:sz w:val="24"/>
          <w:szCs w:val="24"/>
        </w:rPr>
      </w:pPr>
    </w:p>
    <w:tbl>
      <w:tblPr>
        <w:tblStyle w:val="TableGrid"/>
        <w:tblW w:w="0" w:type="auto"/>
        <w:tblInd w:w="288" w:type="dxa"/>
        <w:tblLook w:val="04A0" w:firstRow="1" w:lastRow="0" w:firstColumn="1" w:lastColumn="0" w:noHBand="0" w:noVBand="1"/>
      </w:tblPr>
      <w:tblGrid>
        <w:gridCol w:w="1530"/>
        <w:gridCol w:w="1919"/>
        <w:gridCol w:w="1463"/>
        <w:gridCol w:w="1597"/>
        <w:gridCol w:w="1459"/>
        <w:gridCol w:w="1320"/>
      </w:tblGrid>
      <w:tr w:rsidR="00AA44AC" w:rsidRPr="002827DE" w14:paraId="644A2730" w14:textId="77777777" w:rsidTr="008C0695">
        <w:tc>
          <w:tcPr>
            <w:tcW w:w="1530" w:type="dxa"/>
          </w:tcPr>
          <w:p w14:paraId="61FBD2BA"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Adult School</w:t>
            </w:r>
          </w:p>
        </w:tc>
        <w:tc>
          <w:tcPr>
            <w:tcW w:w="1919" w:type="dxa"/>
          </w:tcPr>
          <w:p w14:paraId="14D01372" w14:textId="0927C78F"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of unduplicated students taking math</w:t>
            </w:r>
            <w:r w:rsidR="00EA2E91" w:rsidRPr="002827DE">
              <w:rPr>
                <w:rFonts w:ascii="Calibri" w:eastAsia="Times New Roman" w:hAnsi="Calibri" w:cs="Times New Roman"/>
                <w:color w:val="1F3864" w:themeColor="accent1" w:themeShade="80"/>
                <w:sz w:val="24"/>
                <w:szCs w:val="24"/>
              </w:rPr>
              <w:t xml:space="preserve"> at Foothill or DeAnza</w:t>
            </w:r>
          </w:p>
        </w:tc>
        <w:tc>
          <w:tcPr>
            <w:tcW w:w="1463" w:type="dxa"/>
          </w:tcPr>
          <w:p w14:paraId="0D86C925"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of Math attempts</w:t>
            </w:r>
          </w:p>
        </w:tc>
        <w:tc>
          <w:tcPr>
            <w:tcW w:w="1597" w:type="dxa"/>
          </w:tcPr>
          <w:p w14:paraId="06DF43EC" w14:textId="5B95493E"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of Math completion</w:t>
            </w:r>
            <w:r w:rsidR="00EA2E91" w:rsidRPr="002827DE">
              <w:rPr>
                <w:rFonts w:ascii="Calibri" w:eastAsia="Times New Roman" w:hAnsi="Calibri" w:cs="Times New Roman"/>
                <w:color w:val="1F3864" w:themeColor="accent1" w:themeShade="80"/>
                <w:sz w:val="24"/>
                <w:szCs w:val="24"/>
              </w:rPr>
              <w:t>s</w:t>
            </w:r>
          </w:p>
        </w:tc>
        <w:tc>
          <w:tcPr>
            <w:tcW w:w="1459" w:type="dxa"/>
          </w:tcPr>
          <w:p w14:paraId="3E3D600B"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 of passing grades</w:t>
            </w:r>
          </w:p>
        </w:tc>
        <w:tc>
          <w:tcPr>
            <w:tcW w:w="1320" w:type="dxa"/>
          </w:tcPr>
          <w:p w14:paraId="539A5F62"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Success percentage</w:t>
            </w:r>
          </w:p>
        </w:tc>
      </w:tr>
      <w:tr w:rsidR="00AA44AC" w:rsidRPr="002827DE" w14:paraId="6C363739" w14:textId="77777777" w:rsidTr="008C0695">
        <w:tc>
          <w:tcPr>
            <w:tcW w:w="1530" w:type="dxa"/>
          </w:tcPr>
          <w:p w14:paraId="0BCE4E8F"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FUHSD</w:t>
            </w:r>
          </w:p>
        </w:tc>
        <w:tc>
          <w:tcPr>
            <w:tcW w:w="1919" w:type="dxa"/>
          </w:tcPr>
          <w:p w14:paraId="04A86991"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10</w:t>
            </w:r>
          </w:p>
        </w:tc>
        <w:tc>
          <w:tcPr>
            <w:tcW w:w="1463" w:type="dxa"/>
          </w:tcPr>
          <w:p w14:paraId="4BE69A32"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16</w:t>
            </w:r>
          </w:p>
        </w:tc>
        <w:tc>
          <w:tcPr>
            <w:tcW w:w="1597" w:type="dxa"/>
          </w:tcPr>
          <w:p w14:paraId="68B644AE"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12</w:t>
            </w:r>
          </w:p>
        </w:tc>
        <w:tc>
          <w:tcPr>
            <w:tcW w:w="1459" w:type="dxa"/>
          </w:tcPr>
          <w:p w14:paraId="3375C338"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6</w:t>
            </w:r>
          </w:p>
        </w:tc>
        <w:tc>
          <w:tcPr>
            <w:tcW w:w="1320" w:type="dxa"/>
          </w:tcPr>
          <w:p w14:paraId="47CF066C"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50%</w:t>
            </w:r>
          </w:p>
        </w:tc>
      </w:tr>
      <w:tr w:rsidR="00AA44AC" w:rsidRPr="002827DE" w14:paraId="26A1C02E" w14:textId="77777777" w:rsidTr="008C0695">
        <w:tc>
          <w:tcPr>
            <w:tcW w:w="1530" w:type="dxa"/>
          </w:tcPr>
          <w:p w14:paraId="76F16550"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MVLA</w:t>
            </w:r>
          </w:p>
        </w:tc>
        <w:tc>
          <w:tcPr>
            <w:tcW w:w="1919" w:type="dxa"/>
          </w:tcPr>
          <w:p w14:paraId="25C8A593"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96</w:t>
            </w:r>
          </w:p>
        </w:tc>
        <w:tc>
          <w:tcPr>
            <w:tcW w:w="1463" w:type="dxa"/>
          </w:tcPr>
          <w:p w14:paraId="1D84C774"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169</w:t>
            </w:r>
          </w:p>
        </w:tc>
        <w:tc>
          <w:tcPr>
            <w:tcW w:w="1597" w:type="dxa"/>
          </w:tcPr>
          <w:p w14:paraId="09E478D2"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120</w:t>
            </w:r>
          </w:p>
        </w:tc>
        <w:tc>
          <w:tcPr>
            <w:tcW w:w="1459" w:type="dxa"/>
          </w:tcPr>
          <w:p w14:paraId="1CFBD54D"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79</w:t>
            </w:r>
          </w:p>
        </w:tc>
        <w:tc>
          <w:tcPr>
            <w:tcW w:w="1320" w:type="dxa"/>
          </w:tcPr>
          <w:p w14:paraId="0432A99E"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66%</w:t>
            </w:r>
          </w:p>
        </w:tc>
      </w:tr>
      <w:tr w:rsidR="00AA44AC" w:rsidRPr="002827DE" w14:paraId="78A3F25D" w14:textId="77777777" w:rsidTr="008C0695">
        <w:tc>
          <w:tcPr>
            <w:tcW w:w="1530" w:type="dxa"/>
          </w:tcPr>
          <w:p w14:paraId="26567DE1"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Palo Alto AS</w:t>
            </w:r>
          </w:p>
        </w:tc>
        <w:tc>
          <w:tcPr>
            <w:tcW w:w="1919" w:type="dxa"/>
          </w:tcPr>
          <w:p w14:paraId="5F27DA0F"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0</w:t>
            </w:r>
          </w:p>
        </w:tc>
        <w:tc>
          <w:tcPr>
            <w:tcW w:w="1463" w:type="dxa"/>
          </w:tcPr>
          <w:p w14:paraId="16E54991"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0</w:t>
            </w:r>
          </w:p>
        </w:tc>
        <w:tc>
          <w:tcPr>
            <w:tcW w:w="1597" w:type="dxa"/>
          </w:tcPr>
          <w:p w14:paraId="75440A87"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0</w:t>
            </w:r>
          </w:p>
        </w:tc>
        <w:tc>
          <w:tcPr>
            <w:tcW w:w="1459" w:type="dxa"/>
          </w:tcPr>
          <w:p w14:paraId="4E54C87D"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0</w:t>
            </w:r>
          </w:p>
        </w:tc>
        <w:tc>
          <w:tcPr>
            <w:tcW w:w="1320" w:type="dxa"/>
          </w:tcPr>
          <w:p w14:paraId="259C4F89" w14:textId="77777777"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N/A</w:t>
            </w:r>
          </w:p>
        </w:tc>
      </w:tr>
    </w:tbl>
    <w:p w14:paraId="4495D172" w14:textId="77777777" w:rsidR="00AA44AC" w:rsidRPr="002827DE" w:rsidRDefault="00AA44AC" w:rsidP="00DD508B">
      <w:pPr>
        <w:pStyle w:val="ListParagraph"/>
        <w:spacing w:after="0"/>
        <w:rPr>
          <w:rFonts w:ascii="Calibri" w:eastAsia="Times New Roman" w:hAnsi="Calibri" w:cs="Times New Roman"/>
          <w:color w:val="1F3864" w:themeColor="accent1" w:themeShade="80"/>
          <w:sz w:val="24"/>
          <w:szCs w:val="24"/>
        </w:rPr>
      </w:pPr>
    </w:p>
    <w:p w14:paraId="4290DF66" w14:textId="04E21CFB" w:rsidR="00AA44AC" w:rsidRPr="002827DE" w:rsidRDefault="00AA44AC"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From this data above, we see that MVLA has a large number of unduplicated students taking math with the highest passing rate.  The need for a dedicated researcher becomes clear in that being able to disaggregate the actual math courses taken with the corresponding grade, credit, quarter and year are available.  A deeper dive into MVLA’s data may allow us to see patterns of areas where students are more successful and classes taken at the adult school that were most helpful in preparing them for success.</w:t>
      </w:r>
      <w:r w:rsidR="006A71FB" w:rsidRPr="002827DE">
        <w:rPr>
          <w:rFonts w:ascii="Calibri" w:eastAsia="Times New Roman" w:hAnsi="Calibri" w:cs="Times New Roman"/>
          <w:color w:val="1F3864" w:themeColor="accent1" w:themeShade="80"/>
          <w:sz w:val="24"/>
          <w:szCs w:val="24"/>
        </w:rPr>
        <w:t xml:space="preserve">  This “micro data” for adult schools could be huge for advancing student support.</w:t>
      </w:r>
    </w:p>
    <w:p w14:paraId="14AE0E40" w14:textId="77777777" w:rsidR="0027354D" w:rsidRPr="002827DE" w:rsidRDefault="0027354D" w:rsidP="00DD508B">
      <w:pPr>
        <w:pStyle w:val="ListParagraph"/>
        <w:spacing w:after="0"/>
        <w:ind w:left="0"/>
        <w:rPr>
          <w:rFonts w:ascii="Calibri" w:eastAsia="Times New Roman" w:hAnsi="Calibri" w:cs="Times New Roman"/>
          <w:color w:val="1F3864" w:themeColor="accent1" w:themeShade="80"/>
          <w:sz w:val="24"/>
          <w:szCs w:val="24"/>
        </w:rPr>
      </w:pPr>
    </w:p>
    <w:p w14:paraId="74657A93" w14:textId="44E0D2D6" w:rsidR="0027354D" w:rsidRPr="002827DE" w:rsidRDefault="0027354D"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We also know that in our Data Dashboard we can utilize Student Attribute Codes to create and track a cohort of students over time</w:t>
      </w:r>
      <w:r w:rsidR="00EA2E91" w:rsidRPr="002827DE">
        <w:rPr>
          <w:rFonts w:ascii="Calibri" w:eastAsia="Times New Roman" w:hAnsi="Calibri" w:cs="Times New Roman"/>
          <w:color w:val="1F3864" w:themeColor="accent1" w:themeShade="80"/>
          <w:sz w:val="24"/>
          <w:szCs w:val="24"/>
        </w:rPr>
        <w:t>.</w:t>
      </w:r>
      <w:r w:rsidRPr="002827DE">
        <w:rPr>
          <w:rFonts w:ascii="Calibri" w:eastAsia="Times New Roman" w:hAnsi="Calibri" w:cs="Times New Roman"/>
          <w:color w:val="1F3864" w:themeColor="accent1" w:themeShade="80"/>
          <w:sz w:val="24"/>
          <w:szCs w:val="24"/>
        </w:rPr>
        <w:t xml:space="preserve"> </w:t>
      </w:r>
      <w:r w:rsidR="00EA2E91" w:rsidRPr="002827DE">
        <w:rPr>
          <w:rFonts w:ascii="Calibri" w:eastAsia="Times New Roman" w:hAnsi="Calibri" w:cs="Times New Roman"/>
          <w:color w:val="1F3864" w:themeColor="accent1" w:themeShade="80"/>
          <w:sz w:val="24"/>
          <w:szCs w:val="24"/>
        </w:rPr>
        <w:t xml:space="preserve"> Through</w:t>
      </w:r>
      <w:r w:rsidRPr="002827DE">
        <w:rPr>
          <w:rFonts w:ascii="Calibri" w:eastAsia="Times New Roman" w:hAnsi="Calibri" w:cs="Times New Roman"/>
          <w:color w:val="1F3864" w:themeColor="accent1" w:themeShade="80"/>
          <w:sz w:val="24"/>
          <w:szCs w:val="24"/>
        </w:rPr>
        <w:t xml:space="preserve"> course codes that identify career tags, we can see where students have CTE course-taking patters and identify sequences and pathways that appear successful.  This can then be added to the work of Guided Pathways to further support student success.</w:t>
      </w:r>
      <w:r w:rsidR="007E5A07" w:rsidRPr="002827DE">
        <w:rPr>
          <w:rFonts w:ascii="Calibri" w:eastAsia="Times New Roman" w:hAnsi="Calibri" w:cs="Times New Roman"/>
          <w:color w:val="1F3864" w:themeColor="accent1" w:themeShade="80"/>
          <w:sz w:val="24"/>
          <w:szCs w:val="24"/>
        </w:rPr>
        <w:t xml:space="preserve">  Again, the issue here is the need for a dedicated researcher to compile and analyze the data and work with </w:t>
      </w:r>
      <w:r w:rsidR="00EA2E91" w:rsidRPr="002827DE">
        <w:rPr>
          <w:rFonts w:ascii="Calibri" w:eastAsia="Times New Roman" w:hAnsi="Calibri" w:cs="Times New Roman"/>
          <w:color w:val="1F3864" w:themeColor="accent1" w:themeShade="80"/>
          <w:sz w:val="24"/>
          <w:szCs w:val="24"/>
        </w:rPr>
        <w:t>Work Group members</w:t>
      </w:r>
      <w:r w:rsidR="007E5A07" w:rsidRPr="002827DE">
        <w:rPr>
          <w:rFonts w:ascii="Calibri" w:eastAsia="Times New Roman" w:hAnsi="Calibri" w:cs="Times New Roman"/>
          <w:color w:val="1F3864" w:themeColor="accent1" w:themeShade="80"/>
          <w:sz w:val="24"/>
          <w:szCs w:val="24"/>
        </w:rPr>
        <w:t xml:space="preserve"> to assist them in increasing student support and success.  As a result, you will see this need reflected in our action plan for 2019-2022.</w:t>
      </w:r>
    </w:p>
    <w:p w14:paraId="01EC1893" w14:textId="77777777" w:rsidR="00FC6D43" w:rsidRPr="002827DE" w:rsidRDefault="00FC6D43" w:rsidP="00DD508B">
      <w:pPr>
        <w:pStyle w:val="ListParagraph"/>
        <w:spacing w:after="0"/>
        <w:ind w:left="0"/>
        <w:rPr>
          <w:rFonts w:ascii="Calibri" w:eastAsia="Times New Roman" w:hAnsi="Calibri" w:cs="Times New Roman"/>
          <w:color w:val="1F3864" w:themeColor="accent1" w:themeShade="80"/>
          <w:sz w:val="24"/>
          <w:szCs w:val="24"/>
        </w:rPr>
      </w:pPr>
    </w:p>
    <w:p w14:paraId="433CB601" w14:textId="44F035E3" w:rsidR="00E254B1" w:rsidRPr="002827DE" w:rsidRDefault="00E254B1" w:rsidP="00DD508B">
      <w:pPr>
        <w:pStyle w:val="ListParagraph"/>
        <w:spacing w:after="0"/>
        <w:ind w:left="0"/>
        <w:jc w:val="center"/>
        <w:rPr>
          <w:rFonts w:ascii="Calibri" w:eastAsia="Times New Roman" w:hAnsi="Calibri" w:cs="Times New Roman"/>
          <w:b/>
          <w:color w:val="1F3864" w:themeColor="accent1" w:themeShade="80"/>
          <w:sz w:val="24"/>
          <w:szCs w:val="24"/>
        </w:rPr>
      </w:pPr>
      <w:r w:rsidRPr="002827DE">
        <w:rPr>
          <w:rFonts w:ascii="Calibri" w:eastAsia="Times New Roman" w:hAnsi="Calibri" w:cs="Times New Roman"/>
          <w:b/>
          <w:color w:val="1F3864" w:themeColor="accent1" w:themeShade="80"/>
          <w:sz w:val="24"/>
          <w:szCs w:val="24"/>
        </w:rPr>
        <w:t>Summary:  Community Need and Customers</w:t>
      </w:r>
    </w:p>
    <w:p w14:paraId="0B1F258D" w14:textId="77777777" w:rsidR="00E254B1" w:rsidRPr="002827DE" w:rsidRDefault="00E254B1" w:rsidP="00DD508B">
      <w:pPr>
        <w:pStyle w:val="ListParagraph"/>
        <w:spacing w:after="0"/>
        <w:ind w:left="0"/>
        <w:jc w:val="center"/>
        <w:rPr>
          <w:rFonts w:ascii="Calibri" w:eastAsia="Times New Roman" w:hAnsi="Calibri" w:cs="Times New Roman"/>
          <w:b/>
          <w:color w:val="1F3864" w:themeColor="accent1" w:themeShade="80"/>
          <w:sz w:val="24"/>
          <w:szCs w:val="24"/>
        </w:rPr>
      </w:pPr>
    </w:p>
    <w:p w14:paraId="1DDCC1A8" w14:textId="77777777" w:rsidR="00EA2E91" w:rsidRPr="002827DE" w:rsidRDefault="00FC6D43" w:rsidP="00DD508B">
      <w:pPr>
        <w:pStyle w:val="ListParagraph"/>
        <w:spacing w:after="0"/>
        <w:ind w:left="0"/>
        <w:rPr>
          <w:rFonts w:ascii="Calibri" w:eastAsia="Times New Roman" w:hAnsi="Calibri" w:cs="Times New Roman"/>
          <w:color w:val="1F3864" w:themeColor="accent1" w:themeShade="80"/>
          <w:sz w:val="24"/>
          <w:szCs w:val="24"/>
        </w:rPr>
      </w:pPr>
      <w:r w:rsidRPr="002827DE">
        <w:rPr>
          <w:rFonts w:ascii="Calibri" w:eastAsia="Times New Roman" w:hAnsi="Calibri" w:cs="Times New Roman"/>
          <w:color w:val="1F3864" w:themeColor="accent1" w:themeShade="80"/>
          <w:sz w:val="24"/>
          <w:szCs w:val="24"/>
        </w:rPr>
        <w:t>In summary, we have a large population who need English as a Second Language (ESL) services.  Many will enter our ESL programs but we also have a large population who find their English skills and cultural mo</w:t>
      </w:r>
      <w:r w:rsidR="00EA2E91" w:rsidRPr="002827DE">
        <w:rPr>
          <w:rFonts w:ascii="Calibri" w:eastAsia="Times New Roman" w:hAnsi="Calibri" w:cs="Times New Roman"/>
          <w:color w:val="1F3864" w:themeColor="accent1" w:themeShade="80"/>
          <w:sz w:val="24"/>
          <w:szCs w:val="24"/>
        </w:rPr>
        <w:t>res are keeping them from e</w:t>
      </w:r>
      <w:r w:rsidRPr="002827DE">
        <w:rPr>
          <w:rFonts w:ascii="Calibri" w:eastAsia="Times New Roman" w:hAnsi="Calibri" w:cs="Times New Roman"/>
          <w:color w:val="1F3864" w:themeColor="accent1" w:themeShade="80"/>
          <w:sz w:val="24"/>
          <w:szCs w:val="24"/>
        </w:rPr>
        <w:t xml:space="preserve">mployment.  In addition, we have a population who does not have a high school diploma or equivalent or only has a high school diploma and need additional Adult Secondary Education (ASE) services.  We also know that we are feeding a number of students into career pathways and, as outlined in the data in section 2.2, we would do well to share best practices and dig more deeply into the individual data to increase the number of student transitions to our community colleges.  </w:t>
      </w:r>
    </w:p>
    <w:p w14:paraId="049F82A2" w14:textId="77777777" w:rsidR="00EA2E91" w:rsidRPr="002827DE" w:rsidRDefault="00EA2E91" w:rsidP="00DD508B">
      <w:pPr>
        <w:pStyle w:val="ListParagraph"/>
        <w:spacing w:after="0"/>
        <w:ind w:left="0"/>
        <w:rPr>
          <w:rFonts w:ascii="Calibri" w:eastAsia="Times New Roman" w:hAnsi="Calibri" w:cs="Times New Roman"/>
          <w:color w:val="1F3864" w:themeColor="accent1" w:themeShade="80"/>
          <w:sz w:val="24"/>
          <w:szCs w:val="24"/>
        </w:rPr>
      </w:pPr>
    </w:p>
    <w:p w14:paraId="597770C7" w14:textId="2E6D0CD1" w:rsidR="00FC6D43" w:rsidRPr="007C411F" w:rsidRDefault="00FC6D43" w:rsidP="00DD508B">
      <w:pPr>
        <w:pStyle w:val="ListParagraph"/>
        <w:spacing w:after="0"/>
        <w:ind w:left="0"/>
        <w:rPr>
          <w:rFonts w:ascii="Calibri" w:eastAsia="Times New Roman" w:hAnsi="Calibri" w:cs="Times New Roman"/>
          <w:color w:val="1F3864" w:themeColor="accent1" w:themeShade="80"/>
          <w:sz w:val="20"/>
          <w:szCs w:val="20"/>
        </w:rPr>
      </w:pPr>
      <w:r w:rsidRPr="002827DE">
        <w:rPr>
          <w:rFonts w:ascii="Calibri" w:eastAsia="Times New Roman" w:hAnsi="Calibri" w:cs="Times New Roman"/>
          <w:color w:val="1F3864" w:themeColor="accent1" w:themeShade="80"/>
          <w:sz w:val="24"/>
          <w:szCs w:val="24"/>
        </w:rPr>
        <w:t xml:space="preserve">Finally, we would do well to have clearly articulated guided pathways where articulation is defined in three ways:  1) those who receive skill readiness at the adult schools in curriculum that is articulated for transition to the college curriculum; 2) articulated classes that allow students to enter colleges and receive college credit for previous adult school coursework; and 3) increased opportunities for students to take non-credit courses in ESL, ASE and CTE to help ready them for employment without financial impact to </w:t>
      </w:r>
      <w:r w:rsidR="00EA2E91" w:rsidRPr="002827DE">
        <w:rPr>
          <w:rFonts w:ascii="Calibri" w:eastAsia="Times New Roman" w:hAnsi="Calibri" w:cs="Times New Roman"/>
          <w:color w:val="1F3864" w:themeColor="accent1" w:themeShade="80"/>
          <w:sz w:val="24"/>
          <w:szCs w:val="24"/>
        </w:rPr>
        <w:t>their already-</w:t>
      </w:r>
      <w:r w:rsidRPr="002827DE">
        <w:rPr>
          <w:rFonts w:ascii="Calibri" w:eastAsia="Times New Roman" w:hAnsi="Calibri" w:cs="Times New Roman"/>
          <w:color w:val="1F3864" w:themeColor="accent1" w:themeShade="80"/>
          <w:sz w:val="24"/>
          <w:szCs w:val="24"/>
        </w:rPr>
        <w:t>difficult financial landscape</w:t>
      </w:r>
      <w:r w:rsidR="000A3FF7" w:rsidRPr="002827DE">
        <w:rPr>
          <w:rFonts w:ascii="Calibri" w:eastAsia="Times New Roman" w:hAnsi="Calibri" w:cs="Times New Roman"/>
          <w:color w:val="1F3864" w:themeColor="accent1" w:themeShade="80"/>
          <w:sz w:val="24"/>
          <w:szCs w:val="24"/>
        </w:rPr>
        <w:t>.</w:t>
      </w:r>
      <w:r w:rsidR="00E254B1" w:rsidRPr="002827DE">
        <w:rPr>
          <w:rFonts w:ascii="Calibri" w:eastAsia="Times New Roman" w:hAnsi="Calibri" w:cs="Times New Roman"/>
          <w:color w:val="1F3864" w:themeColor="accent1" w:themeShade="80"/>
          <w:sz w:val="24"/>
          <w:szCs w:val="24"/>
        </w:rPr>
        <w:t xml:space="preserve">  Finally, support for financial stability through job placement is a key need for long-term unemployed students, and understanding </w:t>
      </w:r>
      <w:r w:rsidR="00E254B1" w:rsidRPr="002827DE">
        <w:rPr>
          <w:rFonts w:ascii="Calibri" w:eastAsia="Times New Roman" w:hAnsi="Calibri" w:cs="Times New Roman"/>
          <w:i/>
          <w:color w:val="1F3864" w:themeColor="accent1" w:themeShade="80"/>
          <w:sz w:val="24"/>
          <w:szCs w:val="24"/>
        </w:rPr>
        <w:t>why</w:t>
      </w:r>
      <w:r w:rsidR="00E254B1" w:rsidRPr="002827DE">
        <w:rPr>
          <w:rFonts w:ascii="Calibri" w:eastAsia="Times New Roman" w:hAnsi="Calibri" w:cs="Times New Roman"/>
          <w:color w:val="1F3864" w:themeColor="accent1" w:themeShade="80"/>
          <w:sz w:val="24"/>
          <w:szCs w:val="24"/>
        </w:rPr>
        <w:t xml:space="preserve"> the large percentage (38%) of students who have less than 12 hours of contact are not persisting is key to reflecting on systems, </w:t>
      </w:r>
      <w:r w:rsidR="00E254B1" w:rsidRPr="002827DE">
        <w:rPr>
          <w:rFonts w:ascii="Calibri" w:eastAsia="Times New Roman" w:hAnsi="Calibri" w:cs="Times New Roman"/>
          <w:color w:val="1F3864" w:themeColor="accent1" w:themeShade="80"/>
          <w:sz w:val="24"/>
          <w:szCs w:val="24"/>
        </w:rPr>
        <w:lastRenderedPageBreak/>
        <w:t>procedures, and student needs to have great</w:t>
      </w:r>
      <w:r w:rsidR="00EA2E91" w:rsidRPr="002827DE">
        <w:rPr>
          <w:rFonts w:ascii="Calibri" w:eastAsia="Times New Roman" w:hAnsi="Calibri" w:cs="Times New Roman"/>
          <w:color w:val="1F3864" w:themeColor="accent1" w:themeShade="80"/>
          <w:sz w:val="24"/>
          <w:szCs w:val="24"/>
        </w:rPr>
        <w:t>er</w:t>
      </w:r>
      <w:r w:rsidR="00E254B1" w:rsidRPr="002827DE">
        <w:rPr>
          <w:rFonts w:ascii="Calibri" w:eastAsia="Times New Roman" w:hAnsi="Calibri" w:cs="Times New Roman"/>
          <w:color w:val="1F3864" w:themeColor="accent1" w:themeShade="80"/>
          <w:sz w:val="24"/>
          <w:szCs w:val="24"/>
        </w:rPr>
        <w:t xml:space="preserve"> success in student persistence and, ultimately, educational goal attainment.</w:t>
      </w:r>
    </w:p>
    <w:p w14:paraId="5748AAAB" w14:textId="3774090C" w:rsidR="006117E8" w:rsidRDefault="00600745" w:rsidP="00DD508B">
      <w:pPr>
        <w:pStyle w:val="Heading2"/>
        <w:spacing w:line="276" w:lineRule="auto"/>
      </w:pPr>
      <w:bookmarkStart w:id="18" w:name="_Toc527969658"/>
      <w:r w:rsidRPr="007C5BD1">
        <w:t>2.4 Identifying Goals and Strategies</w:t>
      </w:r>
      <w:bookmarkEnd w:id="18"/>
    </w:p>
    <w:p w14:paraId="179BC975" w14:textId="448792F0" w:rsidR="00005BBF" w:rsidRPr="002827DE" w:rsidRDefault="0031049E" w:rsidP="00DD508B">
      <w:pPr>
        <w:rPr>
          <w:rFonts w:asciiTheme="minorHAnsi" w:hAnsiTheme="minorHAnsi" w:cs="Arial"/>
          <w:color w:val="04326C"/>
          <w:sz w:val="24"/>
          <w:szCs w:val="24"/>
        </w:rPr>
      </w:pPr>
      <w:r w:rsidRPr="002827DE">
        <w:rPr>
          <w:rFonts w:asciiTheme="minorHAnsi" w:hAnsiTheme="minorHAnsi" w:cs="Arial"/>
          <w:color w:val="04326C"/>
          <w:sz w:val="24"/>
          <w:szCs w:val="24"/>
        </w:rPr>
        <w:t>The overall focus for 2019-2022 is to increase the number of successful transitions and “completers” from the three Adult Schools to our two Community Colleges in credit and non-credit programs.   Having worked to build collegial relationships, align services and curriculum, and create transition support through many new programs and personnel—our goal now is to capitalize on what has been built and increase the number of students positively affected by our new infrastructure and services.  Some of this work will be a continuation of previous work such as increasing the n</w:t>
      </w:r>
      <w:r w:rsidR="00005BBF" w:rsidRPr="002827DE">
        <w:rPr>
          <w:rFonts w:asciiTheme="minorHAnsi" w:hAnsiTheme="minorHAnsi" w:cs="Arial"/>
          <w:color w:val="04326C"/>
          <w:sz w:val="24"/>
          <w:szCs w:val="24"/>
        </w:rPr>
        <w:t>umber of integrated pathways. Some of this work will be new projects based on hurdles we have encountered such as utilizing multiple measures for guidance and placement.</w:t>
      </w:r>
    </w:p>
    <w:p w14:paraId="6E34A932" w14:textId="079F8FEA" w:rsidR="00005BBF" w:rsidRPr="002827DE" w:rsidRDefault="00005BBF" w:rsidP="00DD508B">
      <w:pPr>
        <w:rPr>
          <w:rFonts w:asciiTheme="minorHAnsi" w:hAnsiTheme="minorHAnsi" w:cs="Arial"/>
          <w:color w:val="04326C"/>
          <w:sz w:val="24"/>
          <w:szCs w:val="24"/>
        </w:rPr>
      </w:pPr>
      <w:r w:rsidRPr="002827DE">
        <w:rPr>
          <w:rFonts w:asciiTheme="minorHAnsi" w:hAnsiTheme="minorHAnsi" w:cs="Arial"/>
          <w:color w:val="04326C"/>
          <w:sz w:val="24"/>
          <w:szCs w:val="24"/>
        </w:rPr>
        <w:t>Here are the specific goals and strategies by Work Group:</w:t>
      </w:r>
    </w:p>
    <w:p w14:paraId="754BDCEB" w14:textId="4A29799F" w:rsidR="00005BBF" w:rsidRPr="002827DE" w:rsidRDefault="00005BBF" w:rsidP="00DD508B">
      <w:pPr>
        <w:rPr>
          <w:rFonts w:asciiTheme="minorHAnsi" w:hAnsiTheme="minorHAnsi" w:cs="Arial"/>
          <w:b/>
          <w:color w:val="04326C"/>
          <w:sz w:val="24"/>
          <w:szCs w:val="24"/>
        </w:rPr>
      </w:pPr>
      <w:r w:rsidRPr="002827DE">
        <w:rPr>
          <w:rFonts w:asciiTheme="minorHAnsi" w:hAnsiTheme="minorHAnsi" w:cs="Arial"/>
          <w:b/>
          <w:color w:val="04326C"/>
          <w:sz w:val="24"/>
          <w:szCs w:val="24"/>
        </w:rPr>
        <w:t>Data Work Group:</w:t>
      </w:r>
    </w:p>
    <w:p w14:paraId="0F60CB91" w14:textId="56E05642" w:rsidR="00005BBF" w:rsidRPr="002827DE" w:rsidRDefault="003A5736" w:rsidP="00DD508B">
      <w:pPr>
        <w:pStyle w:val="ListParagraph"/>
        <w:numPr>
          <w:ilvl w:val="0"/>
          <w:numId w:val="20"/>
        </w:numPr>
        <w:rPr>
          <w:rFonts w:asciiTheme="minorHAnsi" w:hAnsiTheme="minorHAnsi" w:cs="Arial"/>
          <w:color w:val="04326C"/>
          <w:sz w:val="24"/>
          <w:szCs w:val="24"/>
        </w:rPr>
      </w:pPr>
      <w:r w:rsidRPr="002827DE">
        <w:rPr>
          <w:rFonts w:asciiTheme="minorHAnsi" w:hAnsiTheme="minorHAnsi" w:cs="Arial"/>
          <w:color w:val="04326C"/>
          <w:sz w:val="24"/>
          <w:szCs w:val="24"/>
        </w:rPr>
        <w:t>Develop a definition of persistence that will be used to identify successful transition from the adult schools to the community colleges.  For example, is persistence continuing for 2 or more quarters or is it completing a series of courses or programs to “qualify” as persistent?</w:t>
      </w:r>
    </w:p>
    <w:p w14:paraId="0CD83BBF" w14:textId="06042788" w:rsidR="003A5736" w:rsidRPr="002827DE" w:rsidRDefault="000E7E8D" w:rsidP="00DD508B">
      <w:pPr>
        <w:pStyle w:val="ListParagraph"/>
        <w:numPr>
          <w:ilvl w:val="0"/>
          <w:numId w:val="20"/>
        </w:numPr>
        <w:rPr>
          <w:rFonts w:asciiTheme="minorHAnsi" w:hAnsiTheme="minorHAnsi" w:cs="Arial"/>
          <w:color w:val="04326C"/>
          <w:sz w:val="24"/>
          <w:szCs w:val="24"/>
        </w:rPr>
      </w:pPr>
      <w:r>
        <w:rPr>
          <w:rFonts w:asciiTheme="minorHAnsi" w:hAnsiTheme="minorHAnsi" w:cs="Arial"/>
          <w:color w:val="04326C"/>
          <w:sz w:val="24"/>
          <w:szCs w:val="24"/>
        </w:rPr>
        <w:t>Establish</w:t>
      </w:r>
      <w:r w:rsidR="007755ED" w:rsidRPr="002827DE">
        <w:rPr>
          <w:rFonts w:asciiTheme="minorHAnsi" w:hAnsiTheme="minorHAnsi" w:cs="Arial"/>
          <w:color w:val="04326C"/>
          <w:sz w:val="24"/>
          <w:szCs w:val="24"/>
        </w:rPr>
        <w:t xml:space="preserve"> a cohort of students for 2019-2020 </w:t>
      </w:r>
      <w:r>
        <w:rPr>
          <w:rFonts w:asciiTheme="minorHAnsi" w:hAnsiTheme="minorHAnsi" w:cs="Arial"/>
          <w:color w:val="04326C"/>
          <w:sz w:val="24"/>
          <w:szCs w:val="24"/>
        </w:rPr>
        <w:t>for whom we will</w:t>
      </w:r>
      <w:r w:rsidR="007755ED" w:rsidRPr="002827DE">
        <w:rPr>
          <w:rFonts w:asciiTheme="minorHAnsi" w:hAnsiTheme="minorHAnsi" w:cs="Arial"/>
          <w:color w:val="04326C"/>
          <w:sz w:val="24"/>
          <w:szCs w:val="24"/>
        </w:rPr>
        <w:t xml:space="preserve"> collect data and support the work of </w:t>
      </w:r>
      <w:r w:rsidR="0066684C" w:rsidRPr="002827DE">
        <w:rPr>
          <w:rFonts w:asciiTheme="minorHAnsi" w:hAnsiTheme="minorHAnsi" w:cs="Arial"/>
          <w:color w:val="04326C"/>
          <w:sz w:val="24"/>
          <w:szCs w:val="24"/>
        </w:rPr>
        <w:t xml:space="preserve">the </w:t>
      </w:r>
      <w:r w:rsidR="007755ED" w:rsidRPr="002827DE">
        <w:rPr>
          <w:rFonts w:asciiTheme="minorHAnsi" w:hAnsiTheme="minorHAnsi" w:cs="Arial"/>
          <w:color w:val="04326C"/>
          <w:sz w:val="24"/>
          <w:szCs w:val="24"/>
        </w:rPr>
        <w:t>Student Support</w:t>
      </w:r>
      <w:r w:rsidR="0066684C" w:rsidRPr="002827DE">
        <w:rPr>
          <w:rFonts w:asciiTheme="minorHAnsi" w:hAnsiTheme="minorHAnsi" w:cs="Arial"/>
          <w:color w:val="04326C"/>
          <w:sz w:val="24"/>
          <w:szCs w:val="24"/>
        </w:rPr>
        <w:t xml:space="preserve"> Work Group</w:t>
      </w:r>
      <w:r w:rsidR="007755ED" w:rsidRPr="002827DE">
        <w:rPr>
          <w:rFonts w:asciiTheme="minorHAnsi" w:hAnsiTheme="minorHAnsi" w:cs="Arial"/>
          <w:color w:val="04326C"/>
          <w:sz w:val="24"/>
          <w:szCs w:val="24"/>
        </w:rPr>
        <w:t>.  (See Student Support activity 3b.)</w:t>
      </w:r>
    </w:p>
    <w:p w14:paraId="131565CB" w14:textId="60E9AE41" w:rsidR="007755ED" w:rsidRPr="002827DE" w:rsidRDefault="007755ED" w:rsidP="00DD508B">
      <w:pPr>
        <w:pStyle w:val="ListParagraph"/>
        <w:numPr>
          <w:ilvl w:val="0"/>
          <w:numId w:val="20"/>
        </w:numPr>
        <w:rPr>
          <w:rFonts w:asciiTheme="minorHAnsi" w:hAnsiTheme="minorHAnsi" w:cs="Arial"/>
          <w:color w:val="04326C"/>
          <w:sz w:val="24"/>
          <w:szCs w:val="24"/>
        </w:rPr>
      </w:pPr>
      <w:r w:rsidRPr="002827DE">
        <w:rPr>
          <w:rFonts w:asciiTheme="minorHAnsi" w:hAnsiTheme="minorHAnsi" w:cs="Arial"/>
          <w:color w:val="04326C"/>
          <w:sz w:val="24"/>
          <w:szCs w:val="24"/>
        </w:rPr>
        <w:t xml:space="preserve">Hire a part time research analyst to manage the in-house Data Dashboard, dig deeply </w:t>
      </w:r>
      <w:r w:rsidR="000F37E1" w:rsidRPr="002827DE">
        <w:rPr>
          <w:rFonts w:asciiTheme="minorHAnsi" w:hAnsiTheme="minorHAnsi" w:cs="Arial"/>
          <w:color w:val="04326C"/>
          <w:sz w:val="24"/>
          <w:szCs w:val="24"/>
        </w:rPr>
        <w:t>into data and provide analysis,</w:t>
      </w:r>
      <w:r w:rsidRPr="002827DE">
        <w:rPr>
          <w:rFonts w:asciiTheme="minorHAnsi" w:hAnsiTheme="minorHAnsi" w:cs="Arial"/>
          <w:color w:val="04326C"/>
          <w:sz w:val="24"/>
          <w:szCs w:val="24"/>
        </w:rPr>
        <w:t xml:space="preserve"> and complete projects needed by the Leadership Board and Work Groups.  </w:t>
      </w:r>
    </w:p>
    <w:p w14:paraId="0F6E3F10" w14:textId="07451C0E" w:rsidR="00005BBF" w:rsidRPr="002827DE" w:rsidRDefault="00005BBF" w:rsidP="00DD508B">
      <w:pPr>
        <w:rPr>
          <w:rFonts w:asciiTheme="minorHAnsi" w:hAnsiTheme="minorHAnsi" w:cs="Arial"/>
          <w:b/>
          <w:color w:val="04326C"/>
          <w:sz w:val="24"/>
          <w:szCs w:val="24"/>
        </w:rPr>
      </w:pPr>
      <w:r w:rsidRPr="002827DE">
        <w:rPr>
          <w:rFonts w:asciiTheme="minorHAnsi" w:hAnsiTheme="minorHAnsi" w:cs="Arial"/>
          <w:b/>
          <w:color w:val="04326C"/>
          <w:sz w:val="24"/>
          <w:szCs w:val="24"/>
        </w:rPr>
        <w:t>Student Support</w:t>
      </w:r>
      <w:r w:rsidR="00D16A41" w:rsidRPr="002827DE">
        <w:rPr>
          <w:rFonts w:asciiTheme="minorHAnsi" w:hAnsiTheme="minorHAnsi" w:cs="Arial"/>
          <w:b/>
          <w:color w:val="04326C"/>
          <w:sz w:val="24"/>
          <w:szCs w:val="24"/>
        </w:rPr>
        <w:t xml:space="preserve"> Work Group</w:t>
      </w:r>
      <w:r w:rsidRPr="002827DE">
        <w:rPr>
          <w:rFonts w:asciiTheme="minorHAnsi" w:hAnsiTheme="minorHAnsi" w:cs="Arial"/>
          <w:b/>
          <w:color w:val="04326C"/>
          <w:sz w:val="24"/>
          <w:szCs w:val="24"/>
        </w:rPr>
        <w:t>:</w:t>
      </w:r>
    </w:p>
    <w:p w14:paraId="18DA6E58" w14:textId="36B8CD4F" w:rsidR="00005BBF" w:rsidRPr="002827DE" w:rsidRDefault="00005BBF" w:rsidP="00DD508B">
      <w:pPr>
        <w:pStyle w:val="ListParagraph"/>
        <w:numPr>
          <w:ilvl w:val="0"/>
          <w:numId w:val="16"/>
        </w:numPr>
        <w:rPr>
          <w:rFonts w:asciiTheme="minorHAnsi" w:hAnsiTheme="minorHAnsi" w:cs="Arial"/>
          <w:color w:val="04326C"/>
          <w:sz w:val="24"/>
          <w:szCs w:val="24"/>
        </w:rPr>
      </w:pPr>
      <w:r w:rsidRPr="002827DE">
        <w:rPr>
          <w:rFonts w:asciiTheme="minorHAnsi" w:hAnsiTheme="minorHAnsi" w:cs="Arial"/>
          <w:color w:val="04326C"/>
          <w:sz w:val="24"/>
          <w:szCs w:val="24"/>
        </w:rPr>
        <w:t>To improve student success, persistence and completion at the community colleges, we will create a sense of belonging and excitement for transition by familiarizing students with the college campuses prior to transition.  Strategies to achieve this goal will include:</w:t>
      </w:r>
    </w:p>
    <w:p w14:paraId="775A02A2" w14:textId="5ADAF37B" w:rsidR="003A5736" w:rsidRPr="002827DE" w:rsidRDefault="003A5736" w:rsidP="00DD508B">
      <w:pPr>
        <w:pStyle w:val="ListParagraph"/>
        <w:numPr>
          <w:ilvl w:val="0"/>
          <w:numId w:val="21"/>
        </w:numPr>
        <w:rPr>
          <w:rFonts w:asciiTheme="minorHAnsi" w:hAnsiTheme="minorHAnsi" w:cs="Arial"/>
          <w:color w:val="04326C"/>
          <w:sz w:val="24"/>
          <w:szCs w:val="24"/>
        </w:rPr>
      </w:pPr>
      <w:r w:rsidRPr="002827DE">
        <w:rPr>
          <w:rFonts w:asciiTheme="minorHAnsi" w:hAnsiTheme="minorHAnsi" w:cs="Arial"/>
          <w:color w:val="04326C"/>
          <w:sz w:val="24"/>
          <w:szCs w:val="24"/>
        </w:rPr>
        <w:t xml:space="preserve">Formalize regular college </w:t>
      </w:r>
      <w:r w:rsidR="00C47C96" w:rsidRPr="002827DE">
        <w:rPr>
          <w:rFonts w:asciiTheme="minorHAnsi" w:hAnsiTheme="minorHAnsi" w:cs="Arial"/>
          <w:color w:val="04326C"/>
          <w:sz w:val="24"/>
          <w:szCs w:val="24"/>
        </w:rPr>
        <w:t>field trips/visits</w:t>
      </w:r>
      <w:r w:rsidRPr="002827DE">
        <w:rPr>
          <w:rFonts w:asciiTheme="minorHAnsi" w:hAnsiTheme="minorHAnsi" w:cs="Arial"/>
          <w:color w:val="04326C"/>
          <w:sz w:val="24"/>
          <w:szCs w:val="24"/>
        </w:rPr>
        <w:t xml:space="preserve">, </w:t>
      </w:r>
      <w:r w:rsidR="00C47C96" w:rsidRPr="002827DE">
        <w:rPr>
          <w:rFonts w:asciiTheme="minorHAnsi" w:hAnsiTheme="minorHAnsi" w:cs="Arial"/>
          <w:color w:val="04326C"/>
          <w:sz w:val="24"/>
          <w:szCs w:val="24"/>
        </w:rPr>
        <w:t xml:space="preserve">adult school </w:t>
      </w:r>
      <w:r w:rsidR="00842C0E" w:rsidRPr="002827DE">
        <w:rPr>
          <w:rFonts w:asciiTheme="minorHAnsi" w:hAnsiTheme="minorHAnsi" w:cs="Arial"/>
          <w:color w:val="04326C"/>
          <w:sz w:val="24"/>
          <w:szCs w:val="24"/>
        </w:rPr>
        <w:t>college fairs</w:t>
      </w:r>
      <w:r w:rsidR="00C47C96" w:rsidRPr="002827DE">
        <w:rPr>
          <w:rFonts w:asciiTheme="minorHAnsi" w:hAnsiTheme="minorHAnsi" w:cs="Arial"/>
          <w:color w:val="04326C"/>
          <w:sz w:val="24"/>
          <w:szCs w:val="24"/>
        </w:rPr>
        <w:t xml:space="preserve">, </w:t>
      </w:r>
      <w:r w:rsidR="0066684C" w:rsidRPr="002827DE">
        <w:rPr>
          <w:rFonts w:asciiTheme="minorHAnsi" w:hAnsiTheme="minorHAnsi" w:cs="Arial"/>
          <w:color w:val="04326C"/>
          <w:sz w:val="24"/>
          <w:szCs w:val="24"/>
        </w:rPr>
        <w:t xml:space="preserve">and </w:t>
      </w:r>
      <w:r w:rsidR="00C47C96" w:rsidRPr="002827DE">
        <w:rPr>
          <w:rFonts w:asciiTheme="minorHAnsi" w:hAnsiTheme="minorHAnsi" w:cs="Arial"/>
          <w:color w:val="04326C"/>
          <w:sz w:val="24"/>
          <w:szCs w:val="24"/>
        </w:rPr>
        <w:t xml:space="preserve">college recruitment presentations </w:t>
      </w:r>
      <w:r w:rsidR="0066684C" w:rsidRPr="002827DE">
        <w:rPr>
          <w:rFonts w:asciiTheme="minorHAnsi" w:hAnsiTheme="minorHAnsi" w:cs="Arial"/>
          <w:color w:val="04326C"/>
          <w:sz w:val="24"/>
          <w:szCs w:val="24"/>
        </w:rPr>
        <w:t xml:space="preserve">by community college faculty; </w:t>
      </w:r>
    </w:p>
    <w:p w14:paraId="437D4036" w14:textId="6DDA469B" w:rsidR="002F3EE9" w:rsidRPr="002827DE" w:rsidRDefault="002F3EE9" w:rsidP="00DD508B">
      <w:pPr>
        <w:pStyle w:val="ListParagraph"/>
        <w:numPr>
          <w:ilvl w:val="0"/>
          <w:numId w:val="21"/>
        </w:numPr>
        <w:rPr>
          <w:rFonts w:asciiTheme="minorHAnsi" w:hAnsiTheme="minorHAnsi" w:cs="Arial"/>
          <w:color w:val="04326C"/>
          <w:sz w:val="24"/>
          <w:szCs w:val="24"/>
        </w:rPr>
      </w:pPr>
      <w:r w:rsidRPr="002827DE">
        <w:rPr>
          <w:rFonts w:asciiTheme="minorHAnsi" w:hAnsiTheme="minorHAnsi" w:cs="Arial"/>
          <w:color w:val="04326C"/>
          <w:sz w:val="24"/>
          <w:szCs w:val="24"/>
        </w:rPr>
        <w:t>Find a dedicated counselor from Foothill College who can serve in the same capacity as the new (April 2019) DeAnza counselor hired to serve the adult school students.</w:t>
      </w:r>
    </w:p>
    <w:p w14:paraId="235B3519" w14:textId="61DFC076" w:rsidR="003A5736" w:rsidRPr="002827DE" w:rsidRDefault="008E4D6A" w:rsidP="00DD508B">
      <w:pPr>
        <w:pStyle w:val="ListParagraph"/>
        <w:numPr>
          <w:ilvl w:val="0"/>
          <w:numId w:val="21"/>
        </w:numPr>
        <w:rPr>
          <w:rFonts w:asciiTheme="minorHAnsi" w:hAnsiTheme="minorHAnsi" w:cs="Arial"/>
          <w:color w:val="04326C"/>
          <w:sz w:val="24"/>
          <w:szCs w:val="24"/>
        </w:rPr>
      </w:pPr>
      <w:r w:rsidRPr="002827DE">
        <w:rPr>
          <w:rFonts w:asciiTheme="minorHAnsi" w:hAnsiTheme="minorHAnsi" w:cs="Arial"/>
          <w:color w:val="04326C"/>
          <w:sz w:val="24"/>
          <w:szCs w:val="24"/>
        </w:rPr>
        <w:lastRenderedPageBreak/>
        <w:t>Create com</w:t>
      </w:r>
      <w:r w:rsidR="0066684C" w:rsidRPr="002827DE">
        <w:rPr>
          <w:rFonts w:asciiTheme="minorHAnsi" w:hAnsiTheme="minorHAnsi" w:cs="Arial"/>
          <w:color w:val="04326C"/>
          <w:sz w:val="24"/>
          <w:szCs w:val="24"/>
        </w:rPr>
        <w:t>mon goal-</w:t>
      </w:r>
      <w:r w:rsidRPr="002827DE">
        <w:rPr>
          <w:rFonts w:asciiTheme="minorHAnsi" w:hAnsiTheme="minorHAnsi" w:cs="Arial"/>
          <w:color w:val="04326C"/>
          <w:sz w:val="24"/>
          <w:szCs w:val="24"/>
        </w:rPr>
        <w:t>setting activities to ready students for transition (e.g. career interest inventory);</w:t>
      </w:r>
    </w:p>
    <w:p w14:paraId="7F673DBF" w14:textId="0E6B80B5" w:rsidR="00005BBF" w:rsidRPr="002827DE" w:rsidRDefault="00005BBF" w:rsidP="00DD508B">
      <w:pPr>
        <w:pStyle w:val="ListParagraph"/>
        <w:numPr>
          <w:ilvl w:val="0"/>
          <w:numId w:val="16"/>
        </w:numPr>
        <w:rPr>
          <w:rFonts w:asciiTheme="minorHAnsi" w:hAnsiTheme="minorHAnsi" w:cs="Arial"/>
          <w:color w:val="04326C"/>
          <w:sz w:val="24"/>
          <w:szCs w:val="24"/>
        </w:rPr>
      </w:pPr>
      <w:r w:rsidRPr="002827DE">
        <w:rPr>
          <w:rFonts w:asciiTheme="minorHAnsi" w:hAnsiTheme="minorHAnsi" w:cs="Arial"/>
          <w:color w:val="04326C"/>
          <w:sz w:val="24"/>
          <w:szCs w:val="24"/>
        </w:rPr>
        <w:t xml:space="preserve">Formalize the process </w:t>
      </w:r>
      <w:r w:rsidR="004D5405" w:rsidRPr="002827DE">
        <w:rPr>
          <w:rFonts w:asciiTheme="minorHAnsi" w:hAnsiTheme="minorHAnsi" w:cs="Arial"/>
          <w:color w:val="04326C"/>
          <w:sz w:val="24"/>
          <w:szCs w:val="24"/>
        </w:rPr>
        <w:t>of transition for every student in our consortium.  Strategies to achieve this goal include:</w:t>
      </w:r>
    </w:p>
    <w:p w14:paraId="2AAA0AF2" w14:textId="42A60AF6" w:rsidR="00EE43C6" w:rsidRPr="002827DE" w:rsidRDefault="00EE43C6" w:rsidP="00DD508B">
      <w:pPr>
        <w:pStyle w:val="ListParagraph"/>
        <w:numPr>
          <w:ilvl w:val="0"/>
          <w:numId w:val="18"/>
        </w:numPr>
        <w:rPr>
          <w:rFonts w:asciiTheme="minorHAnsi" w:hAnsiTheme="minorHAnsi" w:cs="Arial"/>
          <w:color w:val="04326C"/>
          <w:sz w:val="24"/>
          <w:szCs w:val="24"/>
        </w:rPr>
      </w:pPr>
      <w:r w:rsidRPr="002827DE">
        <w:rPr>
          <w:rFonts w:asciiTheme="minorHAnsi" w:hAnsiTheme="minorHAnsi" w:cs="Arial"/>
          <w:color w:val="04326C"/>
          <w:sz w:val="24"/>
          <w:szCs w:val="24"/>
        </w:rPr>
        <w:t xml:space="preserve">Develop </w:t>
      </w:r>
      <w:r w:rsidR="00FA2984" w:rsidRPr="002827DE">
        <w:rPr>
          <w:rFonts w:asciiTheme="minorHAnsi" w:hAnsiTheme="minorHAnsi" w:cs="Arial"/>
          <w:color w:val="04326C"/>
          <w:sz w:val="24"/>
          <w:szCs w:val="24"/>
        </w:rPr>
        <w:t>an AEP goal setting and transition form</w:t>
      </w:r>
      <w:r w:rsidRPr="002827DE">
        <w:rPr>
          <w:rFonts w:asciiTheme="minorHAnsi" w:hAnsiTheme="minorHAnsi" w:cs="Arial"/>
          <w:color w:val="04326C"/>
          <w:sz w:val="24"/>
          <w:szCs w:val="24"/>
        </w:rPr>
        <w:t xml:space="preserve"> to help students identify </w:t>
      </w:r>
      <w:r w:rsidR="00FA2984" w:rsidRPr="002827DE">
        <w:rPr>
          <w:rFonts w:asciiTheme="minorHAnsi" w:hAnsiTheme="minorHAnsi" w:cs="Arial"/>
          <w:color w:val="04326C"/>
          <w:sz w:val="24"/>
          <w:szCs w:val="24"/>
        </w:rPr>
        <w:t>their indivudal</w:t>
      </w:r>
      <w:r w:rsidRPr="002827DE">
        <w:rPr>
          <w:rFonts w:asciiTheme="minorHAnsi" w:hAnsiTheme="minorHAnsi" w:cs="Arial"/>
          <w:color w:val="04326C"/>
          <w:sz w:val="24"/>
          <w:szCs w:val="24"/>
        </w:rPr>
        <w:t xml:space="preserve"> transition goal</w:t>
      </w:r>
      <w:r w:rsidR="00FA2984" w:rsidRPr="002827DE">
        <w:rPr>
          <w:rFonts w:asciiTheme="minorHAnsi" w:hAnsiTheme="minorHAnsi" w:cs="Arial"/>
          <w:color w:val="04326C"/>
          <w:sz w:val="24"/>
          <w:szCs w:val="24"/>
        </w:rPr>
        <w:t>s</w:t>
      </w:r>
      <w:r w:rsidRPr="002827DE">
        <w:rPr>
          <w:rFonts w:asciiTheme="minorHAnsi" w:hAnsiTheme="minorHAnsi" w:cs="Arial"/>
          <w:color w:val="04326C"/>
          <w:sz w:val="24"/>
          <w:szCs w:val="24"/>
        </w:rPr>
        <w:t xml:space="preserve"> and understand opportunities and pathways available from the adult schools to college and employment.</w:t>
      </w:r>
    </w:p>
    <w:p w14:paraId="7E60D260" w14:textId="45E9A3D6" w:rsidR="00EE43C6" w:rsidRPr="002827DE" w:rsidRDefault="00EE43C6" w:rsidP="00DD508B">
      <w:pPr>
        <w:pStyle w:val="ListParagraph"/>
        <w:numPr>
          <w:ilvl w:val="0"/>
          <w:numId w:val="18"/>
        </w:numPr>
        <w:rPr>
          <w:rFonts w:asciiTheme="minorHAnsi" w:hAnsiTheme="minorHAnsi" w:cs="Arial"/>
          <w:color w:val="04326C"/>
          <w:sz w:val="24"/>
          <w:szCs w:val="24"/>
        </w:rPr>
      </w:pPr>
      <w:r w:rsidRPr="002827DE">
        <w:rPr>
          <w:rFonts w:asciiTheme="minorHAnsi" w:hAnsiTheme="minorHAnsi" w:cs="Arial"/>
          <w:color w:val="04326C"/>
          <w:sz w:val="24"/>
          <w:szCs w:val="24"/>
        </w:rPr>
        <w:t xml:space="preserve">Create a </w:t>
      </w:r>
      <w:r w:rsidR="001D528E" w:rsidRPr="002827DE">
        <w:rPr>
          <w:rFonts w:asciiTheme="minorHAnsi" w:hAnsiTheme="minorHAnsi" w:cs="Arial"/>
          <w:color w:val="04326C"/>
          <w:sz w:val="24"/>
          <w:szCs w:val="24"/>
        </w:rPr>
        <w:t>checklist</w:t>
      </w:r>
      <w:r w:rsidR="0066684C" w:rsidRPr="002827DE">
        <w:rPr>
          <w:rFonts w:asciiTheme="minorHAnsi" w:hAnsiTheme="minorHAnsi" w:cs="Arial"/>
          <w:color w:val="04326C"/>
          <w:sz w:val="24"/>
          <w:szCs w:val="24"/>
        </w:rPr>
        <w:t xml:space="preserve"> that </w:t>
      </w:r>
      <w:r w:rsidRPr="002827DE">
        <w:rPr>
          <w:rFonts w:asciiTheme="minorHAnsi" w:hAnsiTheme="minorHAnsi" w:cs="Arial"/>
          <w:color w:val="04326C"/>
          <w:sz w:val="24"/>
          <w:szCs w:val="24"/>
        </w:rPr>
        <w:t>outlines specific procedures that will be completed by each transition counselor and student to help with a successful transition to the community college</w:t>
      </w:r>
      <w:r w:rsidR="00092989" w:rsidRPr="002827DE">
        <w:rPr>
          <w:rFonts w:asciiTheme="minorHAnsi" w:hAnsiTheme="minorHAnsi" w:cs="Arial"/>
          <w:color w:val="04326C"/>
          <w:sz w:val="24"/>
          <w:szCs w:val="24"/>
        </w:rPr>
        <w:t xml:space="preserve">.  Within this process </w:t>
      </w:r>
      <w:r w:rsidR="0066684C" w:rsidRPr="002827DE">
        <w:rPr>
          <w:rFonts w:asciiTheme="minorHAnsi" w:hAnsiTheme="minorHAnsi" w:cs="Arial"/>
          <w:color w:val="04326C"/>
          <w:sz w:val="24"/>
          <w:szCs w:val="24"/>
        </w:rPr>
        <w:t>will</w:t>
      </w:r>
      <w:r w:rsidR="00092989" w:rsidRPr="002827DE">
        <w:rPr>
          <w:rFonts w:asciiTheme="minorHAnsi" w:hAnsiTheme="minorHAnsi" w:cs="Arial"/>
          <w:color w:val="04326C"/>
          <w:sz w:val="24"/>
          <w:szCs w:val="24"/>
        </w:rPr>
        <w:t xml:space="preserve"> be explicitl</w:t>
      </w:r>
      <w:r w:rsidR="001D528E" w:rsidRPr="002827DE">
        <w:rPr>
          <w:rFonts w:asciiTheme="minorHAnsi" w:hAnsiTheme="minorHAnsi" w:cs="Arial"/>
          <w:color w:val="04326C"/>
          <w:sz w:val="24"/>
          <w:szCs w:val="24"/>
        </w:rPr>
        <w:t>y articulated procedures for a “</w:t>
      </w:r>
      <w:r w:rsidR="00092989" w:rsidRPr="002827DE">
        <w:rPr>
          <w:rFonts w:asciiTheme="minorHAnsi" w:hAnsiTheme="minorHAnsi" w:cs="Arial"/>
          <w:color w:val="04326C"/>
          <w:sz w:val="24"/>
          <w:szCs w:val="24"/>
        </w:rPr>
        <w:t>warm handoff.”</w:t>
      </w:r>
    </w:p>
    <w:p w14:paraId="0DE2C548" w14:textId="2E31E26B" w:rsidR="00C962C3" w:rsidRPr="002827DE" w:rsidRDefault="00C962C3" w:rsidP="00DD508B">
      <w:pPr>
        <w:pStyle w:val="ListParagraph"/>
        <w:numPr>
          <w:ilvl w:val="0"/>
          <w:numId w:val="18"/>
        </w:numPr>
        <w:rPr>
          <w:rFonts w:asciiTheme="minorHAnsi" w:hAnsiTheme="minorHAnsi" w:cs="Arial"/>
          <w:color w:val="04326C"/>
          <w:sz w:val="24"/>
          <w:szCs w:val="24"/>
        </w:rPr>
      </w:pPr>
      <w:r w:rsidRPr="002827DE">
        <w:rPr>
          <w:rFonts w:asciiTheme="minorHAnsi" w:hAnsiTheme="minorHAnsi" w:cs="Arial"/>
          <w:color w:val="04326C"/>
          <w:sz w:val="24"/>
          <w:szCs w:val="24"/>
        </w:rPr>
        <w:t>Identify CTE training expectations and train staff and establish a process to provide students a warm handoff from AS to CCC.</w:t>
      </w:r>
    </w:p>
    <w:p w14:paraId="2156959E" w14:textId="14D6EB45" w:rsidR="007755ED" w:rsidRPr="002827DE" w:rsidRDefault="004D5405" w:rsidP="00DD508B">
      <w:pPr>
        <w:pStyle w:val="ListParagraph"/>
        <w:numPr>
          <w:ilvl w:val="0"/>
          <w:numId w:val="16"/>
        </w:numPr>
        <w:rPr>
          <w:rFonts w:asciiTheme="minorHAnsi" w:hAnsiTheme="minorHAnsi" w:cs="Arial"/>
          <w:color w:val="04326C"/>
          <w:sz w:val="24"/>
          <w:szCs w:val="24"/>
        </w:rPr>
      </w:pPr>
      <w:r w:rsidRPr="002827DE">
        <w:rPr>
          <w:rFonts w:asciiTheme="minorHAnsi" w:hAnsiTheme="minorHAnsi" w:cs="Arial"/>
          <w:color w:val="04326C"/>
          <w:sz w:val="24"/>
          <w:szCs w:val="24"/>
        </w:rPr>
        <w:t>Research actions, behaviors and attitudes of successful students who have transitioned from the adult schools to the community colleges</w:t>
      </w:r>
      <w:r w:rsidR="0066684C" w:rsidRPr="002827DE">
        <w:rPr>
          <w:rFonts w:asciiTheme="minorHAnsi" w:hAnsiTheme="minorHAnsi" w:cs="Arial"/>
          <w:color w:val="04326C"/>
          <w:sz w:val="24"/>
          <w:szCs w:val="24"/>
        </w:rPr>
        <w:t>.  Use this data to identify adjustments needed in</w:t>
      </w:r>
      <w:r w:rsidRPr="002827DE">
        <w:rPr>
          <w:rFonts w:asciiTheme="minorHAnsi" w:hAnsiTheme="minorHAnsi" w:cs="Arial"/>
          <w:color w:val="04326C"/>
          <w:sz w:val="24"/>
          <w:szCs w:val="24"/>
        </w:rPr>
        <w:t xml:space="preserve"> support services and systems to increase student success, persistence and completion.  </w:t>
      </w:r>
    </w:p>
    <w:p w14:paraId="34C8AD0D" w14:textId="4588920C" w:rsidR="004D5405" w:rsidRPr="002827DE" w:rsidRDefault="00EE43C6" w:rsidP="00DD508B">
      <w:pPr>
        <w:pStyle w:val="ListParagraph"/>
        <w:numPr>
          <w:ilvl w:val="0"/>
          <w:numId w:val="16"/>
        </w:numPr>
        <w:rPr>
          <w:rFonts w:asciiTheme="minorHAnsi" w:hAnsiTheme="minorHAnsi" w:cs="Arial"/>
          <w:color w:val="04326C"/>
          <w:sz w:val="24"/>
          <w:szCs w:val="24"/>
        </w:rPr>
      </w:pPr>
      <w:r w:rsidRPr="002827DE">
        <w:rPr>
          <w:rFonts w:asciiTheme="minorHAnsi" w:hAnsiTheme="minorHAnsi" w:cs="Arial"/>
          <w:color w:val="04326C"/>
          <w:sz w:val="24"/>
          <w:szCs w:val="24"/>
        </w:rPr>
        <w:t>Create a set of support resources for student success.  Strategies to achieve this goal will include:</w:t>
      </w:r>
    </w:p>
    <w:p w14:paraId="23579F6B" w14:textId="3298787A" w:rsidR="00EE43C6" w:rsidRPr="002827DE" w:rsidRDefault="0066684C" w:rsidP="00DD508B">
      <w:pPr>
        <w:pStyle w:val="ListParagraph"/>
        <w:numPr>
          <w:ilvl w:val="0"/>
          <w:numId w:val="17"/>
        </w:numPr>
        <w:rPr>
          <w:rFonts w:asciiTheme="minorHAnsi" w:hAnsiTheme="minorHAnsi" w:cs="Arial"/>
          <w:color w:val="04326C"/>
          <w:sz w:val="24"/>
          <w:szCs w:val="24"/>
        </w:rPr>
      </w:pPr>
      <w:r w:rsidRPr="002827DE">
        <w:rPr>
          <w:rFonts w:asciiTheme="minorHAnsi" w:hAnsiTheme="minorHAnsi" w:cs="Arial"/>
          <w:color w:val="04326C"/>
          <w:sz w:val="24"/>
          <w:szCs w:val="24"/>
        </w:rPr>
        <w:t>Creating</w:t>
      </w:r>
      <w:r w:rsidR="00EE43C6" w:rsidRPr="002827DE">
        <w:rPr>
          <w:rFonts w:asciiTheme="minorHAnsi" w:hAnsiTheme="minorHAnsi" w:cs="Arial"/>
          <w:color w:val="04326C"/>
          <w:sz w:val="24"/>
          <w:szCs w:val="24"/>
        </w:rPr>
        <w:t xml:space="preserve"> and publish</w:t>
      </w:r>
      <w:r w:rsidRPr="002827DE">
        <w:rPr>
          <w:rFonts w:asciiTheme="minorHAnsi" w:hAnsiTheme="minorHAnsi" w:cs="Arial"/>
          <w:color w:val="04326C"/>
          <w:sz w:val="24"/>
          <w:szCs w:val="24"/>
        </w:rPr>
        <w:t>ing</w:t>
      </w:r>
      <w:r w:rsidR="00EE43C6" w:rsidRPr="002827DE">
        <w:rPr>
          <w:rFonts w:asciiTheme="minorHAnsi" w:hAnsiTheme="minorHAnsi" w:cs="Arial"/>
          <w:color w:val="04326C"/>
          <w:sz w:val="24"/>
          <w:szCs w:val="24"/>
        </w:rPr>
        <w:t xml:space="preserve"> an info-graphic that contains programs</w:t>
      </w:r>
      <w:r w:rsidR="00642845" w:rsidRPr="002827DE">
        <w:rPr>
          <w:rFonts w:asciiTheme="minorHAnsi" w:hAnsiTheme="minorHAnsi" w:cs="Arial"/>
          <w:color w:val="04326C"/>
          <w:sz w:val="24"/>
          <w:szCs w:val="24"/>
        </w:rPr>
        <w:t xml:space="preserve"> contacts and services students, counselors and marketing</w:t>
      </w:r>
      <w:r w:rsidR="00EE43C6" w:rsidRPr="002827DE">
        <w:rPr>
          <w:rFonts w:asciiTheme="minorHAnsi" w:hAnsiTheme="minorHAnsi" w:cs="Arial"/>
          <w:color w:val="04326C"/>
          <w:sz w:val="24"/>
          <w:szCs w:val="24"/>
        </w:rPr>
        <w:t>;</w:t>
      </w:r>
    </w:p>
    <w:p w14:paraId="5DF61A8C" w14:textId="26ED42F8" w:rsidR="00EE43C6" w:rsidRPr="002827DE" w:rsidRDefault="00EE43C6" w:rsidP="00DD508B">
      <w:pPr>
        <w:pStyle w:val="ListParagraph"/>
        <w:numPr>
          <w:ilvl w:val="0"/>
          <w:numId w:val="17"/>
        </w:numPr>
        <w:rPr>
          <w:rFonts w:asciiTheme="minorHAnsi" w:hAnsiTheme="minorHAnsi" w:cs="Arial"/>
          <w:color w:val="04326C"/>
          <w:sz w:val="24"/>
          <w:szCs w:val="24"/>
        </w:rPr>
      </w:pPr>
      <w:r w:rsidRPr="002827DE">
        <w:rPr>
          <w:rFonts w:asciiTheme="minorHAnsi" w:hAnsiTheme="minorHAnsi" w:cs="Arial"/>
          <w:color w:val="04326C"/>
          <w:sz w:val="24"/>
          <w:szCs w:val="24"/>
        </w:rPr>
        <w:t>Creat</w:t>
      </w:r>
      <w:r w:rsidR="0066684C" w:rsidRPr="002827DE">
        <w:rPr>
          <w:rFonts w:asciiTheme="minorHAnsi" w:hAnsiTheme="minorHAnsi" w:cs="Arial"/>
          <w:color w:val="04326C"/>
          <w:sz w:val="24"/>
          <w:szCs w:val="24"/>
        </w:rPr>
        <w:t>ing</w:t>
      </w:r>
      <w:r w:rsidRPr="002827DE">
        <w:rPr>
          <w:rFonts w:asciiTheme="minorHAnsi" w:hAnsiTheme="minorHAnsi" w:cs="Arial"/>
          <w:color w:val="04326C"/>
          <w:sz w:val="24"/>
          <w:szCs w:val="24"/>
        </w:rPr>
        <w:t xml:space="preserve"> a resource database of local support </w:t>
      </w:r>
      <w:r w:rsidR="00642845" w:rsidRPr="002827DE">
        <w:rPr>
          <w:rFonts w:asciiTheme="minorHAnsi" w:hAnsiTheme="minorHAnsi" w:cs="Arial"/>
          <w:color w:val="04326C"/>
          <w:sz w:val="24"/>
          <w:szCs w:val="24"/>
        </w:rPr>
        <w:t xml:space="preserve">services </w:t>
      </w:r>
      <w:r w:rsidR="0066684C" w:rsidRPr="002827DE">
        <w:rPr>
          <w:rFonts w:asciiTheme="minorHAnsi" w:hAnsiTheme="minorHAnsi" w:cs="Arial"/>
          <w:color w:val="04326C"/>
          <w:sz w:val="24"/>
          <w:szCs w:val="24"/>
        </w:rPr>
        <w:t xml:space="preserve">that will </w:t>
      </w:r>
      <w:r w:rsidRPr="002827DE">
        <w:rPr>
          <w:rFonts w:asciiTheme="minorHAnsi" w:hAnsiTheme="minorHAnsi" w:cs="Arial"/>
          <w:color w:val="04326C"/>
          <w:sz w:val="24"/>
          <w:szCs w:val="24"/>
        </w:rPr>
        <w:t>centrally located on the consortium website for all stakeholders to access, and u</w:t>
      </w:r>
      <w:r w:rsidR="00FA2984" w:rsidRPr="002827DE">
        <w:rPr>
          <w:rFonts w:asciiTheme="minorHAnsi" w:hAnsiTheme="minorHAnsi" w:cs="Arial"/>
          <w:color w:val="04326C"/>
          <w:sz w:val="24"/>
          <w:szCs w:val="24"/>
        </w:rPr>
        <w:t>pdate these resources regularly.</w:t>
      </w:r>
    </w:p>
    <w:p w14:paraId="55FE75D2" w14:textId="77777777" w:rsidR="00005BBF" w:rsidRPr="002827DE" w:rsidRDefault="00005BBF" w:rsidP="00DD508B">
      <w:pPr>
        <w:rPr>
          <w:rFonts w:asciiTheme="minorHAnsi" w:hAnsiTheme="minorHAnsi" w:cs="Arial"/>
          <w:color w:val="04326C"/>
          <w:sz w:val="24"/>
          <w:szCs w:val="24"/>
        </w:rPr>
      </w:pPr>
    </w:p>
    <w:p w14:paraId="1DFAEDBB" w14:textId="0151E888" w:rsidR="00005BBF" w:rsidRPr="002827DE" w:rsidRDefault="00005BBF" w:rsidP="00DD508B">
      <w:pPr>
        <w:rPr>
          <w:rFonts w:asciiTheme="minorHAnsi" w:hAnsiTheme="minorHAnsi" w:cs="Arial"/>
          <w:b/>
          <w:color w:val="04326C"/>
          <w:sz w:val="24"/>
          <w:szCs w:val="24"/>
        </w:rPr>
      </w:pPr>
      <w:r w:rsidRPr="002827DE">
        <w:rPr>
          <w:rFonts w:asciiTheme="minorHAnsi" w:hAnsiTheme="minorHAnsi" w:cs="Arial"/>
          <w:b/>
          <w:color w:val="04326C"/>
          <w:sz w:val="24"/>
          <w:szCs w:val="24"/>
        </w:rPr>
        <w:t>Curriculum Articulation and Alignment</w:t>
      </w:r>
      <w:r w:rsidR="00D16A41" w:rsidRPr="002827DE">
        <w:rPr>
          <w:rFonts w:asciiTheme="minorHAnsi" w:hAnsiTheme="minorHAnsi" w:cs="Arial"/>
          <w:b/>
          <w:color w:val="04326C"/>
          <w:sz w:val="24"/>
          <w:szCs w:val="24"/>
        </w:rPr>
        <w:t xml:space="preserve"> Work Group</w:t>
      </w:r>
      <w:r w:rsidRPr="002827DE">
        <w:rPr>
          <w:rFonts w:asciiTheme="minorHAnsi" w:hAnsiTheme="minorHAnsi" w:cs="Arial"/>
          <w:b/>
          <w:color w:val="04326C"/>
          <w:sz w:val="24"/>
          <w:szCs w:val="24"/>
        </w:rPr>
        <w:t>:</w:t>
      </w:r>
    </w:p>
    <w:p w14:paraId="23E785F9" w14:textId="7CD352FC" w:rsidR="00005BBF" w:rsidRPr="002827DE" w:rsidRDefault="00092989" w:rsidP="00DD508B">
      <w:pPr>
        <w:pStyle w:val="ListParagraph"/>
        <w:numPr>
          <w:ilvl w:val="0"/>
          <w:numId w:val="19"/>
        </w:numPr>
        <w:rPr>
          <w:rFonts w:asciiTheme="minorHAnsi" w:hAnsiTheme="minorHAnsi" w:cs="Arial"/>
          <w:color w:val="04326C"/>
          <w:sz w:val="24"/>
          <w:szCs w:val="24"/>
        </w:rPr>
      </w:pPr>
      <w:r w:rsidRPr="002827DE">
        <w:rPr>
          <w:rFonts w:asciiTheme="minorHAnsi" w:hAnsiTheme="minorHAnsi" w:cs="Arial"/>
          <w:color w:val="04326C"/>
          <w:sz w:val="24"/>
          <w:szCs w:val="24"/>
        </w:rPr>
        <w:t>Create a seamless transition to the next program or agency that relates to each students</w:t>
      </w:r>
      <w:r w:rsidR="00462063" w:rsidRPr="002827DE">
        <w:rPr>
          <w:rFonts w:asciiTheme="minorHAnsi" w:hAnsiTheme="minorHAnsi" w:cs="Arial"/>
          <w:color w:val="04326C"/>
          <w:sz w:val="24"/>
          <w:szCs w:val="24"/>
        </w:rPr>
        <w:t>’</w:t>
      </w:r>
      <w:r w:rsidRPr="002827DE">
        <w:rPr>
          <w:rFonts w:asciiTheme="minorHAnsi" w:hAnsiTheme="minorHAnsi" w:cs="Arial"/>
          <w:color w:val="04326C"/>
          <w:sz w:val="24"/>
          <w:szCs w:val="24"/>
        </w:rPr>
        <w:t xml:space="preserve"> stated personal and professional or academic goal.</w:t>
      </w:r>
      <w:r w:rsidR="0073110A" w:rsidRPr="002827DE">
        <w:rPr>
          <w:rFonts w:asciiTheme="minorHAnsi" w:hAnsiTheme="minorHAnsi" w:cs="Arial"/>
          <w:color w:val="04326C"/>
          <w:sz w:val="24"/>
          <w:szCs w:val="24"/>
        </w:rPr>
        <w:t xml:space="preserve">  Strategies to complete this goal include:</w:t>
      </w:r>
    </w:p>
    <w:p w14:paraId="4BC65181" w14:textId="4BC0F08D" w:rsidR="0073110A" w:rsidRPr="002827DE" w:rsidRDefault="0073110A" w:rsidP="00DD508B">
      <w:pPr>
        <w:pStyle w:val="ListParagraph"/>
        <w:numPr>
          <w:ilvl w:val="0"/>
          <w:numId w:val="22"/>
        </w:numPr>
        <w:rPr>
          <w:rFonts w:asciiTheme="minorHAnsi" w:hAnsiTheme="minorHAnsi" w:cs="Arial"/>
          <w:color w:val="04326C"/>
          <w:sz w:val="24"/>
          <w:szCs w:val="24"/>
        </w:rPr>
      </w:pPr>
      <w:r w:rsidRPr="002827DE">
        <w:rPr>
          <w:rFonts w:asciiTheme="minorHAnsi" w:hAnsiTheme="minorHAnsi" w:cs="Arial"/>
          <w:color w:val="04326C"/>
          <w:sz w:val="24"/>
          <w:szCs w:val="24"/>
        </w:rPr>
        <w:t>Creat</w:t>
      </w:r>
      <w:r w:rsidR="0066684C" w:rsidRPr="002827DE">
        <w:rPr>
          <w:rFonts w:asciiTheme="minorHAnsi" w:hAnsiTheme="minorHAnsi" w:cs="Arial"/>
          <w:color w:val="04326C"/>
          <w:sz w:val="24"/>
          <w:szCs w:val="24"/>
        </w:rPr>
        <w:t>ing</w:t>
      </w:r>
      <w:r w:rsidRPr="002827DE">
        <w:rPr>
          <w:rFonts w:asciiTheme="minorHAnsi" w:hAnsiTheme="minorHAnsi" w:cs="Arial"/>
          <w:color w:val="04326C"/>
          <w:sz w:val="24"/>
          <w:szCs w:val="24"/>
        </w:rPr>
        <w:t xml:space="preserve"> Bridge classes for ESL and ASE adult school students;</w:t>
      </w:r>
    </w:p>
    <w:p w14:paraId="12A54BC8" w14:textId="3849D8C6" w:rsidR="0073110A" w:rsidRPr="002827DE" w:rsidRDefault="00462063" w:rsidP="00DD508B">
      <w:pPr>
        <w:pStyle w:val="ListParagraph"/>
        <w:numPr>
          <w:ilvl w:val="0"/>
          <w:numId w:val="22"/>
        </w:numPr>
        <w:rPr>
          <w:rFonts w:asciiTheme="minorHAnsi" w:hAnsiTheme="minorHAnsi" w:cs="Arial"/>
          <w:color w:val="04326C"/>
          <w:sz w:val="24"/>
          <w:szCs w:val="24"/>
        </w:rPr>
      </w:pPr>
      <w:r w:rsidRPr="002827DE">
        <w:rPr>
          <w:rFonts w:asciiTheme="minorHAnsi" w:hAnsiTheme="minorHAnsi" w:cs="Arial"/>
          <w:color w:val="04326C"/>
          <w:sz w:val="24"/>
          <w:szCs w:val="24"/>
        </w:rPr>
        <w:t>Create articulated pathways and curriculum;</w:t>
      </w:r>
    </w:p>
    <w:p w14:paraId="522388F4" w14:textId="280F5D44" w:rsidR="00462063" w:rsidRDefault="00462063" w:rsidP="00DD508B">
      <w:pPr>
        <w:pStyle w:val="ListParagraph"/>
        <w:numPr>
          <w:ilvl w:val="0"/>
          <w:numId w:val="22"/>
        </w:numPr>
        <w:rPr>
          <w:rFonts w:asciiTheme="minorHAnsi" w:hAnsiTheme="minorHAnsi" w:cs="Arial"/>
          <w:color w:val="04326C"/>
          <w:sz w:val="24"/>
          <w:szCs w:val="24"/>
        </w:rPr>
      </w:pPr>
      <w:r w:rsidRPr="002827DE">
        <w:rPr>
          <w:rFonts w:asciiTheme="minorHAnsi" w:hAnsiTheme="minorHAnsi" w:cs="Arial"/>
          <w:color w:val="04326C"/>
          <w:sz w:val="24"/>
          <w:szCs w:val="24"/>
        </w:rPr>
        <w:t>See Student Support 2a.</w:t>
      </w:r>
    </w:p>
    <w:p w14:paraId="6E8A9680" w14:textId="7D49C9B2" w:rsidR="00F66C4F" w:rsidRPr="00F66C4F" w:rsidRDefault="00F66C4F" w:rsidP="00DD508B">
      <w:pPr>
        <w:ind w:left="720"/>
        <w:rPr>
          <w:rFonts w:asciiTheme="minorHAnsi" w:hAnsiTheme="minorHAnsi" w:cs="Arial"/>
          <w:color w:val="04326C"/>
          <w:sz w:val="24"/>
          <w:szCs w:val="24"/>
        </w:rPr>
      </w:pPr>
      <w:r>
        <w:rPr>
          <w:rFonts w:asciiTheme="minorHAnsi" w:hAnsiTheme="minorHAnsi" w:cs="Arial"/>
          <w:color w:val="04326C"/>
          <w:sz w:val="24"/>
          <w:szCs w:val="24"/>
        </w:rPr>
        <w:t xml:space="preserve">As a side note, we also are keenly aware that </w:t>
      </w:r>
      <w:r>
        <w:rPr>
          <w:rFonts w:asciiTheme="minorHAnsi" w:hAnsiTheme="minorHAnsi"/>
          <w:color w:val="1F3864" w:themeColor="accent1" w:themeShade="80"/>
          <w:sz w:val="24"/>
          <w:szCs w:val="24"/>
        </w:rPr>
        <w:t xml:space="preserve">persistence is a key indicator of success. Within the transition work, there is a need to increase persistence within the adult school program and then eventually through each student’s transition to the community </w:t>
      </w:r>
      <w:r>
        <w:rPr>
          <w:rFonts w:asciiTheme="minorHAnsi" w:hAnsiTheme="minorHAnsi"/>
          <w:color w:val="1F3864" w:themeColor="accent1" w:themeShade="80"/>
          <w:sz w:val="24"/>
          <w:szCs w:val="24"/>
        </w:rPr>
        <w:lastRenderedPageBreak/>
        <w:t>college program</w:t>
      </w:r>
      <w:proofErr w:type="gramStart"/>
      <w:r>
        <w:rPr>
          <w:rFonts w:asciiTheme="minorHAnsi" w:hAnsiTheme="minorHAnsi"/>
          <w:color w:val="1F3864" w:themeColor="accent1" w:themeShade="80"/>
          <w:sz w:val="24"/>
          <w:szCs w:val="24"/>
        </w:rPr>
        <w:t>;</w:t>
      </w:r>
      <w:proofErr w:type="gramEnd"/>
      <w:r>
        <w:rPr>
          <w:rFonts w:asciiTheme="minorHAnsi" w:hAnsiTheme="minorHAnsi"/>
          <w:color w:val="1F3864" w:themeColor="accent1" w:themeShade="80"/>
          <w:sz w:val="24"/>
          <w:szCs w:val="24"/>
        </w:rPr>
        <w:t xml:space="preserve"> doing so will be critical for increasing the number of successful transitioned students.</w:t>
      </w:r>
    </w:p>
    <w:p w14:paraId="182C372B" w14:textId="7F0DA2B2" w:rsidR="00092989" w:rsidRPr="002827DE" w:rsidRDefault="00092989" w:rsidP="00DD508B">
      <w:pPr>
        <w:pStyle w:val="ListParagraph"/>
        <w:numPr>
          <w:ilvl w:val="0"/>
          <w:numId w:val="19"/>
        </w:numPr>
        <w:rPr>
          <w:rFonts w:asciiTheme="minorHAnsi" w:hAnsiTheme="minorHAnsi" w:cs="Arial"/>
          <w:color w:val="04326C"/>
          <w:sz w:val="24"/>
          <w:szCs w:val="24"/>
        </w:rPr>
      </w:pPr>
      <w:r w:rsidRPr="002827DE">
        <w:rPr>
          <w:rFonts w:asciiTheme="minorHAnsi" w:hAnsiTheme="minorHAnsi" w:cs="Arial"/>
          <w:color w:val="04326C"/>
          <w:sz w:val="24"/>
          <w:szCs w:val="24"/>
        </w:rPr>
        <w:t xml:space="preserve">Implement </w:t>
      </w:r>
      <w:r w:rsidR="00462063" w:rsidRPr="002827DE">
        <w:rPr>
          <w:rFonts w:asciiTheme="minorHAnsi" w:hAnsiTheme="minorHAnsi" w:cs="Arial"/>
          <w:color w:val="04326C"/>
          <w:sz w:val="24"/>
          <w:szCs w:val="24"/>
        </w:rPr>
        <w:t>consortium-established process</w:t>
      </w:r>
      <w:r w:rsidR="0066684C" w:rsidRPr="002827DE">
        <w:rPr>
          <w:rFonts w:asciiTheme="minorHAnsi" w:hAnsiTheme="minorHAnsi" w:cs="Arial"/>
          <w:color w:val="04326C"/>
          <w:sz w:val="24"/>
          <w:szCs w:val="24"/>
        </w:rPr>
        <w:t>es</w:t>
      </w:r>
      <w:r w:rsidR="00462063" w:rsidRPr="002827DE">
        <w:rPr>
          <w:rFonts w:asciiTheme="minorHAnsi" w:hAnsiTheme="minorHAnsi" w:cs="Arial"/>
          <w:color w:val="04326C"/>
          <w:sz w:val="24"/>
          <w:szCs w:val="24"/>
        </w:rPr>
        <w:t xml:space="preserve"> and procedure</w:t>
      </w:r>
      <w:r w:rsidR="0066684C" w:rsidRPr="002827DE">
        <w:rPr>
          <w:rFonts w:asciiTheme="minorHAnsi" w:hAnsiTheme="minorHAnsi" w:cs="Arial"/>
          <w:color w:val="04326C"/>
          <w:sz w:val="24"/>
          <w:szCs w:val="24"/>
        </w:rPr>
        <w:t>s</w:t>
      </w:r>
      <w:r w:rsidRPr="002827DE">
        <w:rPr>
          <w:rFonts w:asciiTheme="minorHAnsi" w:hAnsiTheme="minorHAnsi" w:cs="Arial"/>
          <w:color w:val="04326C"/>
          <w:sz w:val="24"/>
          <w:szCs w:val="24"/>
        </w:rPr>
        <w:t xml:space="preserve"> for articulating adult school and community college classes.  </w:t>
      </w:r>
      <w:r w:rsidR="0073110A" w:rsidRPr="002827DE">
        <w:rPr>
          <w:rFonts w:asciiTheme="minorHAnsi" w:hAnsiTheme="minorHAnsi" w:cs="Arial"/>
          <w:color w:val="04326C"/>
          <w:sz w:val="24"/>
          <w:szCs w:val="24"/>
        </w:rPr>
        <w:t>Strategies to complete this goal include:</w:t>
      </w:r>
    </w:p>
    <w:p w14:paraId="5646E23D" w14:textId="09DB8217" w:rsidR="0073110A" w:rsidRPr="002827DE" w:rsidRDefault="00920179" w:rsidP="00DD508B">
      <w:pPr>
        <w:pStyle w:val="ListParagraph"/>
        <w:numPr>
          <w:ilvl w:val="0"/>
          <w:numId w:val="23"/>
        </w:numPr>
        <w:rPr>
          <w:rFonts w:asciiTheme="minorHAnsi" w:hAnsiTheme="minorHAnsi" w:cs="Arial"/>
          <w:color w:val="04326C"/>
          <w:sz w:val="24"/>
          <w:szCs w:val="24"/>
        </w:rPr>
      </w:pPr>
      <w:r w:rsidRPr="002827DE">
        <w:rPr>
          <w:rFonts w:asciiTheme="minorHAnsi" w:hAnsiTheme="minorHAnsi" w:cs="Arial"/>
          <w:color w:val="04326C"/>
          <w:sz w:val="24"/>
          <w:szCs w:val="24"/>
        </w:rPr>
        <w:t>Creat</w:t>
      </w:r>
      <w:r w:rsidR="0066684C" w:rsidRPr="002827DE">
        <w:rPr>
          <w:rFonts w:asciiTheme="minorHAnsi" w:hAnsiTheme="minorHAnsi" w:cs="Arial"/>
          <w:color w:val="04326C"/>
          <w:sz w:val="24"/>
          <w:szCs w:val="24"/>
        </w:rPr>
        <w:t>ing</w:t>
      </w:r>
      <w:r w:rsidRPr="002827DE">
        <w:rPr>
          <w:rFonts w:asciiTheme="minorHAnsi" w:hAnsiTheme="minorHAnsi" w:cs="Arial"/>
          <w:color w:val="04326C"/>
          <w:sz w:val="24"/>
          <w:szCs w:val="24"/>
        </w:rPr>
        <w:t xml:space="preserve"> articulation agreements that allow for college credit to be assigned to approved courses taken at the adult schools;</w:t>
      </w:r>
    </w:p>
    <w:p w14:paraId="3AD164A9" w14:textId="482EF9F2" w:rsidR="00920179" w:rsidRPr="002827DE" w:rsidRDefault="00920179" w:rsidP="00DD508B">
      <w:pPr>
        <w:pStyle w:val="ListParagraph"/>
        <w:numPr>
          <w:ilvl w:val="0"/>
          <w:numId w:val="23"/>
        </w:numPr>
        <w:rPr>
          <w:rFonts w:asciiTheme="minorHAnsi" w:hAnsiTheme="minorHAnsi" w:cs="Arial"/>
          <w:color w:val="04326C"/>
          <w:sz w:val="24"/>
          <w:szCs w:val="24"/>
        </w:rPr>
      </w:pPr>
      <w:r w:rsidRPr="002827DE">
        <w:rPr>
          <w:rFonts w:asciiTheme="minorHAnsi" w:hAnsiTheme="minorHAnsi" w:cs="Arial"/>
          <w:color w:val="04326C"/>
          <w:sz w:val="24"/>
          <w:szCs w:val="24"/>
        </w:rPr>
        <w:t>Articulat</w:t>
      </w:r>
      <w:r w:rsidR="0066684C" w:rsidRPr="002827DE">
        <w:rPr>
          <w:rFonts w:asciiTheme="minorHAnsi" w:hAnsiTheme="minorHAnsi" w:cs="Arial"/>
          <w:color w:val="04326C"/>
          <w:sz w:val="24"/>
          <w:szCs w:val="24"/>
        </w:rPr>
        <w:t>ing</w:t>
      </w:r>
      <w:r w:rsidRPr="002827DE">
        <w:rPr>
          <w:rFonts w:asciiTheme="minorHAnsi" w:hAnsiTheme="minorHAnsi" w:cs="Arial"/>
          <w:color w:val="04326C"/>
          <w:sz w:val="24"/>
          <w:szCs w:val="24"/>
        </w:rPr>
        <w:t xml:space="preserve"> curriculum</w:t>
      </w:r>
      <w:r w:rsidR="00AD4C75" w:rsidRPr="002827DE">
        <w:rPr>
          <w:rFonts w:asciiTheme="minorHAnsi" w:hAnsiTheme="minorHAnsi" w:cs="Arial"/>
          <w:color w:val="04326C"/>
          <w:sz w:val="24"/>
          <w:szCs w:val="24"/>
        </w:rPr>
        <w:t>, student outcomes and instructional activities for various classes and programs at the community college</w:t>
      </w:r>
      <w:r w:rsidR="0066684C" w:rsidRPr="002827DE">
        <w:rPr>
          <w:rFonts w:asciiTheme="minorHAnsi" w:hAnsiTheme="minorHAnsi" w:cs="Arial"/>
          <w:color w:val="04326C"/>
          <w:sz w:val="24"/>
          <w:szCs w:val="24"/>
        </w:rPr>
        <w:t>s</w:t>
      </w:r>
      <w:r w:rsidR="00AD4C75" w:rsidRPr="002827DE">
        <w:rPr>
          <w:rFonts w:asciiTheme="minorHAnsi" w:hAnsiTheme="minorHAnsi" w:cs="Arial"/>
          <w:color w:val="04326C"/>
          <w:sz w:val="24"/>
          <w:szCs w:val="24"/>
        </w:rPr>
        <w:t xml:space="preserve"> and increase the number of students transitioning.  </w:t>
      </w:r>
      <w:r w:rsidR="0066684C" w:rsidRPr="002827DE">
        <w:rPr>
          <w:rFonts w:asciiTheme="minorHAnsi" w:hAnsiTheme="minorHAnsi" w:cs="Arial"/>
          <w:color w:val="04326C"/>
          <w:sz w:val="24"/>
          <w:szCs w:val="24"/>
        </w:rPr>
        <w:t xml:space="preserve">Areas of focus will </w:t>
      </w:r>
      <w:r w:rsidR="00AD4C75" w:rsidRPr="002827DE">
        <w:rPr>
          <w:rFonts w:asciiTheme="minorHAnsi" w:hAnsiTheme="minorHAnsi" w:cs="Arial"/>
          <w:color w:val="04326C"/>
          <w:sz w:val="24"/>
          <w:szCs w:val="24"/>
        </w:rPr>
        <w:t>include</w:t>
      </w:r>
      <w:r w:rsidR="0066684C" w:rsidRPr="002827DE">
        <w:rPr>
          <w:rFonts w:asciiTheme="minorHAnsi" w:hAnsiTheme="minorHAnsi" w:cs="Arial"/>
          <w:color w:val="04326C"/>
          <w:sz w:val="24"/>
          <w:szCs w:val="24"/>
        </w:rPr>
        <w:t>,</w:t>
      </w:r>
      <w:r w:rsidR="00AD4C75" w:rsidRPr="002827DE">
        <w:rPr>
          <w:rFonts w:asciiTheme="minorHAnsi" w:hAnsiTheme="minorHAnsi" w:cs="Arial"/>
          <w:color w:val="04326C"/>
          <w:sz w:val="24"/>
          <w:szCs w:val="24"/>
        </w:rPr>
        <w:t xml:space="preserve"> but not be limited to</w:t>
      </w:r>
      <w:r w:rsidR="0066684C" w:rsidRPr="002827DE">
        <w:rPr>
          <w:rFonts w:asciiTheme="minorHAnsi" w:hAnsiTheme="minorHAnsi" w:cs="Arial"/>
          <w:color w:val="04326C"/>
          <w:sz w:val="24"/>
          <w:szCs w:val="24"/>
        </w:rPr>
        <w:t>, the following</w:t>
      </w:r>
      <w:r w:rsidR="00AD4C75" w:rsidRPr="002827DE">
        <w:rPr>
          <w:rFonts w:asciiTheme="minorHAnsi" w:hAnsiTheme="minorHAnsi" w:cs="Arial"/>
          <w:color w:val="04326C"/>
          <w:sz w:val="24"/>
          <w:szCs w:val="24"/>
        </w:rPr>
        <w:t>:</w:t>
      </w:r>
    </w:p>
    <w:p w14:paraId="7428B43C" w14:textId="2120E48C" w:rsidR="00AD4C75" w:rsidRPr="002827DE" w:rsidRDefault="00AD4C75" w:rsidP="00DD508B">
      <w:pPr>
        <w:pStyle w:val="ListParagraph"/>
        <w:numPr>
          <w:ilvl w:val="0"/>
          <w:numId w:val="24"/>
        </w:numPr>
        <w:rPr>
          <w:rFonts w:asciiTheme="minorHAnsi" w:hAnsiTheme="minorHAnsi" w:cs="Arial"/>
          <w:color w:val="04326C"/>
          <w:sz w:val="24"/>
          <w:szCs w:val="24"/>
        </w:rPr>
      </w:pPr>
      <w:r w:rsidRPr="002827DE">
        <w:rPr>
          <w:rFonts w:asciiTheme="minorHAnsi" w:hAnsiTheme="minorHAnsi" w:cs="Arial"/>
          <w:color w:val="04326C"/>
          <w:sz w:val="24"/>
          <w:szCs w:val="24"/>
        </w:rPr>
        <w:t>Nursing Education</w:t>
      </w:r>
    </w:p>
    <w:p w14:paraId="7FE1B4F2" w14:textId="37B3D868" w:rsidR="00AD4C75" w:rsidRPr="002827DE" w:rsidRDefault="00AD4C75" w:rsidP="00DD508B">
      <w:pPr>
        <w:pStyle w:val="ListParagraph"/>
        <w:numPr>
          <w:ilvl w:val="0"/>
          <w:numId w:val="24"/>
        </w:numPr>
        <w:rPr>
          <w:rFonts w:asciiTheme="minorHAnsi" w:hAnsiTheme="minorHAnsi" w:cs="Arial"/>
          <w:color w:val="04326C"/>
          <w:sz w:val="24"/>
          <w:szCs w:val="24"/>
        </w:rPr>
      </w:pPr>
      <w:r w:rsidRPr="002827DE">
        <w:rPr>
          <w:rFonts w:asciiTheme="minorHAnsi" w:hAnsiTheme="minorHAnsi" w:cs="Arial"/>
          <w:color w:val="04326C"/>
          <w:sz w:val="24"/>
          <w:szCs w:val="24"/>
        </w:rPr>
        <w:t>Accounting</w:t>
      </w:r>
    </w:p>
    <w:p w14:paraId="18096FF9" w14:textId="12254443" w:rsidR="00AD4C75" w:rsidRPr="002827DE" w:rsidRDefault="00AD4C75" w:rsidP="00DD508B">
      <w:pPr>
        <w:pStyle w:val="ListParagraph"/>
        <w:numPr>
          <w:ilvl w:val="0"/>
          <w:numId w:val="24"/>
        </w:numPr>
        <w:rPr>
          <w:rFonts w:asciiTheme="minorHAnsi" w:hAnsiTheme="minorHAnsi" w:cs="Arial"/>
          <w:color w:val="04326C"/>
          <w:sz w:val="24"/>
          <w:szCs w:val="24"/>
        </w:rPr>
      </w:pPr>
      <w:r w:rsidRPr="002827DE">
        <w:rPr>
          <w:rFonts w:asciiTheme="minorHAnsi" w:hAnsiTheme="minorHAnsi" w:cs="Arial"/>
          <w:color w:val="04326C"/>
          <w:sz w:val="24"/>
          <w:szCs w:val="24"/>
        </w:rPr>
        <w:t>The new non-credit ESL at DeAnza</w:t>
      </w:r>
    </w:p>
    <w:p w14:paraId="5DD91F43" w14:textId="14111620" w:rsidR="00092989" w:rsidRPr="002827DE" w:rsidRDefault="00092989" w:rsidP="00DD508B">
      <w:pPr>
        <w:pStyle w:val="ListParagraph"/>
        <w:numPr>
          <w:ilvl w:val="0"/>
          <w:numId w:val="19"/>
        </w:numPr>
        <w:rPr>
          <w:rFonts w:asciiTheme="minorHAnsi" w:hAnsiTheme="minorHAnsi" w:cs="Arial"/>
          <w:color w:val="04326C"/>
          <w:sz w:val="24"/>
          <w:szCs w:val="24"/>
        </w:rPr>
      </w:pPr>
      <w:r w:rsidRPr="002827DE">
        <w:rPr>
          <w:rFonts w:asciiTheme="minorHAnsi" w:hAnsiTheme="minorHAnsi" w:cs="Arial"/>
          <w:color w:val="04326C"/>
          <w:sz w:val="24"/>
          <w:szCs w:val="24"/>
        </w:rPr>
        <w:t xml:space="preserve">Identify </w:t>
      </w:r>
      <w:r w:rsidR="00BF4D26" w:rsidRPr="002827DE">
        <w:rPr>
          <w:rFonts w:asciiTheme="minorHAnsi" w:hAnsiTheme="minorHAnsi" w:cs="Arial"/>
          <w:color w:val="04326C"/>
          <w:sz w:val="24"/>
          <w:szCs w:val="24"/>
        </w:rPr>
        <w:t>assessments measures that 1) are in use at the adult schools; 2) are in use elsewhere an</w:t>
      </w:r>
      <w:r w:rsidR="0066684C" w:rsidRPr="002827DE">
        <w:rPr>
          <w:rFonts w:asciiTheme="minorHAnsi" w:hAnsiTheme="minorHAnsi" w:cs="Arial"/>
          <w:color w:val="04326C"/>
          <w:sz w:val="24"/>
          <w:szCs w:val="24"/>
        </w:rPr>
        <w:t>d</w:t>
      </w:r>
      <w:r w:rsidR="00BF4D26" w:rsidRPr="002827DE">
        <w:rPr>
          <w:rFonts w:asciiTheme="minorHAnsi" w:hAnsiTheme="minorHAnsi" w:cs="Arial"/>
          <w:color w:val="04326C"/>
          <w:sz w:val="24"/>
          <w:szCs w:val="24"/>
        </w:rPr>
        <w:t xml:space="preserve"> might provide a viable </w:t>
      </w:r>
      <w:r w:rsidR="0066684C" w:rsidRPr="002827DE">
        <w:rPr>
          <w:rFonts w:asciiTheme="minorHAnsi" w:hAnsiTheme="minorHAnsi" w:cs="Arial"/>
          <w:color w:val="04326C"/>
          <w:sz w:val="24"/>
          <w:szCs w:val="24"/>
        </w:rPr>
        <w:t xml:space="preserve">common </w:t>
      </w:r>
      <w:r w:rsidR="00BF4D26" w:rsidRPr="002827DE">
        <w:rPr>
          <w:rFonts w:asciiTheme="minorHAnsi" w:hAnsiTheme="minorHAnsi" w:cs="Arial"/>
          <w:color w:val="04326C"/>
          <w:sz w:val="24"/>
          <w:szCs w:val="24"/>
        </w:rPr>
        <w:t>assessment for the future</w:t>
      </w:r>
      <w:r w:rsidR="00C06442" w:rsidRPr="002827DE">
        <w:rPr>
          <w:rFonts w:asciiTheme="minorHAnsi" w:hAnsiTheme="minorHAnsi" w:cs="Arial"/>
          <w:color w:val="04326C"/>
          <w:sz w:val="24"/>
          <w:szCs w:val="24"/>
        </w:rPr>
        <w:t xml:space="preserve">; 3) </w:t>
      </w:r>
      <w:r w:rsidR="00BF4D26" w:rsidRPr="002827DE">
        <w:rPr>
          <w:rFonts w:asciiTheme="minorHAnsi" w:hAnsiTheme="minorHAnsi" w:cs="Arial"/>
          <w:color w:val="04326C"/>
          <w:sz w:val="24"/>
          <w:szCs w:val="24"/>
        </w:rPr>
        <w:t xml:space="preserve">might be used in articulation and placement of students; and 4) </w:t>
      </w:r>
      <w:r w:rsidR="0066684C" w:rsidRPr="002827DE">
        <w:rPr>
          <w:rFonts w:asciiTheme="minorHAnsi" w:hAnsiTheme="minorHAnsi" w:cs="Arial"/>
          <w:color w:val="04326C"/>
          <w:sz w:val="24"/>
          <w:szCs w:val="24"/>
        </w:rPr>
        <w:t>align with policy and</w:t>
      </w:r>
      <w:r w:rsidR="00BF4D26" w:rsidRPr="002827DE">
        <w:rPr>
          <w:rFonts w:asciiTheme="minorHAnsi" w:hAnsiTheme="minorHAnsi" w:cs="Arial"/>
          <w:color w:val="04326C"/>
          <w:sz w:val="24"/>
          <w:szCs w:val="24"/>
        </w:rPr>
        <w:t xml:space="preserve"> procedures and </w:t>
      </w:r>
      <w:r w:rsidR="0066684C" w:rsidRPr="002827DE">
        <w:rPr>
          <w:rFonts w:asciiTheme="minorHAnsi" w:hAnsiTheme="minorHAnsi" w:cs="Arial"/>
          <w:color w:val="04326C"/>
          <w:sz w:val="24"/>
          <w:szCs w:val="24"/>
        </w:rPr>
        <w:t>established</w:t>
      </w:r>
      <w:r w:rsidR="00BF4D26" w:rsidRPr="002827DE">
        <w:rPr>
          <w:rFonts w:asciiTheme="minorHAnsi" w:hAnsiTheme="minorHAnsi" w:cs="Arial"/>
          <w:color w:val="04326C"/>
          <w:sz w:val="24"/>
          <w:szCs w:val="24"/>
        </w:rPr>
        <w:t xml:space="preserve"> to fulfill the AB705 legislation.</w:t>
      </w:r>
      <w:r w:rsidR="00F66C4F">
        <w:rPr>
          <w:rFonts w:asciiTheme="minorHAnsi" w:hAnsiTheme="minorHAnsi" w:cs="Arial"/>
          <w:color w:val="04326C"/>
          <w:sz w:val="24"/>
          <w:szCs w:val="24"/>
        </w:rPr>
        <w:t xml:space="preserve">  </w:t>
      </w:r>
    </w:p>
    <w:p w14:paraId="65A887D4" w14:textId="61D95490" w:rsidR="00A54936" w:rsidRPr="002827DE" w:rsidRDefault="00A54936" w:rsidP="00DD508B">
      <w:pPr>
        <w:pStyle w:val="ListParagraph"/>
        <w:numPr>
          <w:ilvl w:val="0"/>
          <w:numId w:val="19"/>
        </w:numPr>
        <w:rPr>
          <w:rFonts w:asciiTheme="minorHAnsi" w:hAnsiTheme="minorHAnsi" w:cs="Arial"/>
          <w:color w:val="04326C"/>
          <w:sz w:val="24"/>
          <w:szCs w:val="24"/>
        </w:rPr>
      </w:pPr>
      <w:r w:rsidRPr="002827DE">
        <w:rPr>
          <w:rFonts w:asciiTheme="minorHAnsi" w:hAnsiTheme="minorHAnsi" w:cs="Arial"/>
          <w:color w:val="04326C"/>
          <w:sz w:val="24"/>
          <w:szCs w:val="24"/>
        </w:rPr>
        <w:t xml:space="preserve">Create career maps that align </w:t>
      </w:r>
      <w:r w:rsidR="00BD2713" w:rsidRPr="002827DE">
        <w:rPr>
          <w:rFonts w:asciiTheme="minorHAnsi" w:hAnsiTheme="minorHAnsi" w:cs="Arial"/>
          <w:color w:val="04326C"/>
          <w:sz w:val="24"/>
          <w:szCs w:val="24"/>
        </w:rPr>
        <w:t>all</w:t>
      </w:r>
      <w:r w:rsidRPr="002827DE">
        <w:rPr>
          <w:rFonts w:asciiTheme="minorHAnsi" w:hAnsiTheme="minorHAnsi" w:cs="Arial"/>
          <w:color w:val="04326C"/>
          <w:sz w:val="24"/>
          <w:szCs w:val="24"/>
        </w:rPr>
        <w:t xml:space="preserve"> adult school programs to</w:t>
      </w:r>
      <w:r w:rsidR="00BD2713" w:rsidRPr="002827DE">
        <w:rPr>
          <w:rFonts w:asciiTheme="minorHAnsi" w:hAnsiTheme="minorHAnsi" w:cs="Arial"/>
          <w:color w:val="04326C"/>
          <w:sz w:val="24"/>
          <w:szCs w:val="24"/>
        </w:rPr>
        <w:t xml:space="preserve"> the community college programs. Integrate with </w:t>
      </w:r>
      <w:r w:rsidR="003A0699" w:rsidRPr="002827DE">
        <w:rPr>
          <w:rFonts w:asciiTheme="minorHAnsi" w:hAnsiTheme="minorHAnsi" w:cs="Arial"/>
          <w:color w:val="04326C"/>
          <w:sz w:val="24"/>
          <w:szCs w:val="24"/>
        </w:rPr>
        <w:t>Guided Pathways decisions at each of the community colleges.</w:t>
      </w:r>
      <w:r w:rsidR="003A5736" w:rsidRPr="002827DE">
        <w:rPr>
          <w:rFonts w:asciiTheme="minorHAnsi" w:hAnsiTheme="minorHAnsi" w:cs="Arial"/>
          <w:color w:val="04326C"/>
          <w:sz w:val="24"/>
          <w:szCs w:val="24"/>
        </w:rPr>
        <w:t xml:space="preserve">  Specific to this goal will be clearly articulating the access points</w:t>
      </w:r>
      <w:r w:rsidR="00AD4C75" w:rsidRPr="002827DE">
        <w:rPr>
          <w:rFonts w:asciiTheme="minorHAnsi" w:hAnsiTheme="minorHAnsi" w:cs="Arial"/>
          <w:color w:val="04326C"/>
          <w:sz w:val="24"/>
          <w:szCs w:val="24"/>
        </w:rPr>
        <w:t xml:space="preserve"> and participating in Guided Pathways to integrate goals and activities</w:t>
      </w:r>
      <w:r w:rsidR="003A5736" w:rsidRPr="002827DE">
        <w:rPr>
          <w:rFonts w:asciiTheme="minorHAnsi" w:hAnsiTheme="minorHAnsi" w:cs="Arial"/>
          <w:color w:val="04326C"/>
          <w:sz w:val="24"/>
          <w:szCs w:val="24"/>
        </w:rPr>
        <w:t>.</w:t>
      </w:r>
    </w:p>
    <w:p w14:paraId="71F473ED" w14:textId="698E0196" w:rsidR="002C1832" w:rsidRPr="002827DE" w:rsidRDefault="002C1832" w:rsidP="00DD508B">
      <w:pPr>
        <w:pStyle w:val="ListParagraph"/>
        <w:numPr>
          <w:ilvl w:val="0"/>
          <w:numId w:val="19"/>
        </w:numPr>
        <w:rPr>
          <w:rFonts w:asciiTheme="minorHAnsi" w:hAnsiTheme="minorHAnsi" w:cs="Arial"/>
          <w:color w:val="04326C"/>
          <w:sz w:val="24"/>
          <w:szCs w:val="24"/>
        </w:rPr>
      </w:pPr>
      <w:r w:rsidRPr="002827DE">
        <w:rPr>
          <w:rFonts w:asciiTheme="minorHAnsi" w:hAnsiTheme="minorHAnsi" w:cs="Arial"/>
          <w:color w:val="04326C"/>
          <w:sz w:val="24"/>
          <w:szCs w:val="24"/>
        </w:rPr>
        <w:t>Support the work of DeAnza ESL Faculty who will be creati</w:t>
      </w:r>
      <w:r w:rsidR="00AD4C75" w:rsidRPr="002827DE">
        <w:rPr>
          <w:rFonts w:asciiTheme="minorHAnsi" w:hAnsiTheme="minorHAnsi" w:cs="Arial"/>
          <w:color w:val="04326C"/>
          <w:sz w:val="24"/>
          <w:szCs w:val="24"/>
        </w:rPr>
        <w:t>ng the</w:t>
      </w:r>
      <w:r w:rsidR="00BD2713" w:rsidRPr="002827DE">
        <w:rPr>
          <w:rFonts w:asciiTheme="minorHAnsi" w:hAnsiTheme="minorHAnsi" w:cs="Arial"/>
          <w:color w:val="04326C"/>
          <w:sz w:val="24"/>
          <w:szCs w:val="24"/>
        </w:rPr>
        <w:t>ir first</w:t>
      </w:r>
      <w:r w:rsidR="00AD4C75" w:rsidRPr="002827DE">
        <w:rPr>
          <w:rFonts w:asciiTheme="minorHAnsi" w:hAnsiTheme="minorHAnsi" w:cs="Arial"/>
          <w:color w:val="04326C"/>
          <w:sz w:val="24"/>
          <w:szCs w:val="24"/>
        </w:rPr>
        <w:t xml:space="preserve"> non-credit ESL program; </w:t>
      </w:r>
      <w:r w:rsidRPr="002827DE">
        <w:rPr>
          <w:rFonts w:asciiTheme="minorHAnsi" w:hAnsiTheme="minorHAnsi" w:cs="Arial"/>
          <w:color w:val="04326C"/>
          <w:sz w:val="24"/>
          <w:szCs w:val="24"/>
        </w:rPr>
        <w:t>this would include providing guidance, aligning curriculum, identifying transition support and placement measures.</w:t>
      </w:r>
    </w:p>
    <w:p w14:paraId="146C120A" w14:textId="77777777" w:rsidR="00462063" w:rsidRPr="002827DE" w:rsidRDefault="00462063" w:rsidP="00DD508B">
      <w:pPr>
        <w:rPr>
          <w:rFonts w:asciiTheme="minorHAnsi" w:hAnsiTheme="minorHAnsi" w:cs="Arial"/>
          <w:color w:val="04326C"/>
          <w:sz w:val="24"/>
          <w:szCs w:val="24"/>
        </w:rPr>
      </w:pPr>
    </w:p>
    <w:p w14:paraId="10FCD7B6" w14:textId="3E5259A9" w:rsidR="00462063" w:rsidRPr="002827DE" w:rsidRDefault="00005BBF" w:rsidP="00DD508B">
      <w:pPr>
        <w:rPr>
          <w:rFonts w:asciiTheme="minorHAnsi" w:hAnsiTheme="minorHAnsi" w:cs="Arial"/>
          <w:b/>
          <w:color w:val="04326C"/>
          <w:sz w:val="24"/>
          <w:szCs w:val="24"/>
        </w:rPr>
      </w:pPr>
      <w:r w:rsidRPr="002827DE">
        <w:rPr>
          <w:rFonts w:asciiTheme="minorHAnsi" w:hAnsiTheme="minorHAnsi" w:cs="Arial"/>
          <w:b/>
          <w:color w:val="04326C"/>
          <w:sz w:val="24"/>
          <w:szCs w:val="24"/>
        </w:rPr>
        <w:t>Professional Development</w:t>
      </w:r>
      <w:r w:rsidR="00D16A41" w:rsidRPr="002827DE">
        <w:rPr>
          <w:rFonts w:asciiTheme="minorHAnsi" w:hAnsiTheme="minorHAnsi" w:cs="Arial"/>
          <w:b/>
          <w:color w:val="04326C"/>
          <w:sz w:val="24"/>
          <w:szCs w:val="24"/>
        </w:rPr>
        <w:t xml:space="preserve"> Work Group</w:t>
      </w:r>
      <w:r w:rsidRPr="002827DE">
        <w:rPr>
          <w:rFonts w:asciiTheme="minorHAnsi" w:hAnsiTheme="minorHAnsi" w:cs="Arial"/>
          <w:b/>
          <w:color w:val="04326C"/>
          <w:sz w:val="24"/>
          <w:szCs w:val="24"/>
        </w:rPr>
        <w:t>:</w:t>
      </w:r>
    </w:p>
    <w:p w14:paraId="3400FBA8" w14:textId="779EA02D" w:rsidR="00462063" w:rsidRPr="00BD2713" w:rsidRDefault="00BD2713" w:rsidP="00DD508B">
      <w:pPr>
        <w:pStyle w:val="ListParagraph"/>
        <w:numPr>
          <w:ilvl w:val="0"/>
          <w:numId w:val="25"/>
        </w:numPr>
        <w:rPr>
          <w:rFonts w:asciiTheme="minorHAnsi" w:hAnsiTheme="minorHAnsi" w:cs="Arial"/>
          <w:color w:val="04326C"/>
          <w:sz w:val="20"/>
        </w:rPr>
        <w:sectPr w:rsidR="00462063" w:rsidRPr="00BD2713" w:rsidSect="00C444D1">
          <w:pgSz w:w="12240" w:h="15840"/>
          <w:pgMar w:top="1440" w:right="1440" w:bottom="1440" w:left="1440" w:header="720" w:footer="720" w:gutter="0"/>
          <w:cols w:space="720"/>
          <w:docGrid w:linePitch="299"/>
        </w:sectPr>
      </w:pPr>
      <w:r w:rsidRPr="002827DE">
        <w:rPr>
          <w:rFonts w:asciiTheme="minorHAnsi" w:hAnsiTheme="minorHAnsi" w:cs="Arial"/>
          <w:color w:val="04326C"/>
          <w:sz w:val="24"/>
          <w:szCs w:val="24"/>
        </w:rPr>
        <w:t xml:space="preserve">Support the needs for all Work Groups by </w:t>
      </w:r>
      <w:proofErr w:type="gramStart"/>
      <w:r w:rsidRPr="002827DE">
        <w:rPr>
          <w:rFonts w:asciiTheme="minorHAnsi" w:hAnsiTheme="minorHAnsi" w:cs="Arial"/>
          <w:color w:val="04326C"/>
          <w:sz w:val="24"/>
          <w:szCs w:val="24"/>
        </w:rPr>
        <w:t>identifying</w:t>
      </w:r>
      <w:r w:rsidR="00462063" w:rsidRPr="002827DE">
        <w:rPr>
          <w:rFonts w:asciiTheme="minorHAnsi" w:hAnsiTheme="minorHAnsi" w:cs="Arial"/>
          <w:color w:val="04326C"/>
          <w:sz w:val="24"/>
          <w:szCs w:val="24"/>
        </w:rPr>
        <w:t>,</w:t>
      </w:r>
      <w:proofErr w:type="gramEnd"/>
      <w:r w:rsidR="00462063" w:rsidRPr="002827DE">
        <w:rPr>
          <w:rFonts w:asciiTheme="minorHAnsi" w:hAnsiTheme="minorHAnsi" w:cs="Arial"/>
          <w:color w:val="04326C"/>
          <w:sz w:val="24"/>
          <w:szCs w:val="24"/>
        </w:rPr>
        <w:t xml:space="preserve"> sharing, and/or implement</w:t>
      </w:r>
      <w:r w:rsidR="008C0695">
        <w:rPr>
          <w:rFonts w:asciiTheme="minorHAnsi" w:hAnsiTheme="minorHAnsi" w:cs="Arial"/>
          <w:color w:val="04326C"/>
          <w:sz w:val="24"/>
          <w:szCs w:val="24"/>
        </w:rPr>
        <w:t>ing</w:t>
      </w:r>
      <w:bookmarkStart w:id="19" w:name="_GoBack"/>
      <w:bookmarkEnd w:id="19"/>
      <w:r w:rsidR="00462063" w:rsidRPr="002827DE">
        <w:rPr>
          <w:rFonts w:asciiTheme="minorHAnsi" w:hAnsiTheme="minorHAnsi" w:cs="Arial"/>
          <w:color w:val="04326C"/>
          <w:sz w:val="24"/>
          <w:szCs w:val="24"/>
        </w:rPr>
        <w:t xml:space="preserve"> n</w:t>
      </w:r>
      <w:r w:rsidRPr="002827DE">
        <w:rPr>
          <w:rFonts w:asciiTheme="minorHAnsi" w:hAnsiTheme="minorHAnsi" w:cs="Arial"/>
          <w:color w:val="04326C"/>
          <w:sz w:val="24"/>
          <w:szCs w:val="24"/>
        </w:rPr>
        <w:t>eeded professional development.</w:t>
      </w:r>
      <w:r w:rsidRPr="002827DE">
        <w:rPr>
          <w:rStyle w:val="FootnoteReference"/>
          <w:rFonts w:asciiTheme="minorHAnsi" w:hAnsiTheme="minorHAnsi" w:cs="Arial"/>
          <w:color w:val="04326C"/>
          <w:sz w:val="24"/>
          <w:szCs w:val="24"/>
        </w:rPr>
        <w:footnoteReference w:id="13"/>
      </w:r>
    </w:p>
    <w:p w14:paraId="2ABCB966" w14:textId="50CF8EEE" w:rsidR="00600745" w:rsidRDefault="00DF5980" w:rsidP="00C94148">
      <w:pPr>
        <w:pStyle w:val="Heading3"/>
      </w:pPr>
      <w:r>
        <w:lastRenderedPageBreak/>
        <w:br/>
      </w:r>
      <w:bookmarkStart w:id="20" w:name="_Toc527969659"/>
      <w:r w:rsidR="001E3A1C" w:rsidRPr="004978C3">
        <w:t xml:space="preserve">Figure 1. </w:t>
      </w:r>
      <w:r w:rsidR="00600745" w:rsidRPr="004978C3">
        <w:t>Logic Model</w:t>
      </w:r>
      <w:bookmarkEnd w:id="20"/>
    </w:p>
    <w:p w14:paraId="2577E553" w14:textId="02D6D694" w:rsidR="004978C3" w:rsidRPr="00775D42" w:rsidRDefault="004978C3" w:rsidP="00775D42">
      <w:pPr>
        <w:spacing w:after="0"/>
        <w:rPr>
          <w:rFonts w:asciiTheme="minorHAnsi" w:hAnsiTheme="minorHAnsi" w:cs="Arial"/>
          <w:color w:val="0432FF"/>
          <w:sz w:val="20"/>
        </w:rPr>
      </w:pPr>
      <w:r>
        <w:t xml:space="preserve">Goal Statement: </w:t>
      </w:r>
      <w:r w:rsidR="00C7558E">
        <w:rPr>
          <w:rFonts w:asciiTheme="minorHAnsi" w:hAnsiTheme="minorHAnsi" w:cs="Arial"/>
          <w:color w:val="04326C"/>
          <w:sz w:val="20"/>
        </w:rPr>
        <w:t>Increase the number of successful transitions and “completers” from Adult Schools to Community Colleges in credit and non-credit programs.</w:t>
      </w:r>
    </w:p>
    <w:p w14:paraId="7775E89F" w14:textId="6B0B242E" w:rsidR="00DF5980" w:rsidRPr="007C5BD1" w:rsidRDefault="004978C3" w:rsidP="004978C3">
      <w:pPr>
        <w:rPr>
          <w:rFonts w:ascii="Avenir Roman" w:hAnsi="Avenir Roman" w:cs="Arial"/>
        </w:rPr>
      </w:pPr>
      <w:r w:rsidRPr="007C5BD1">
        <w:rPr>
          <w:rFonts w:ascii="Avenir Roman" w:eastAsia="Times New Roman" w:hAnsi="Avenir Roman" w:cs="Arial"/>
          <w:i/>
          <w:iCs/>
          <w:color w:val="757171"/>
          <w:sz w:val="16"/>
        </w:rPr>
        <w:t>Our overall direction and focus for the program cycle relative to the target populations and problems we seek to address</w:t>
      </w:r>
    </w:p>
    <w:tbl>
      <w:tblPr>
        <w:tblW w:w="5000" w:type="pct"/>
        <w:tblInd w:w="-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8" w:type="dxa"/>
          <w:left w:w="58" w:type="dxa"/>
          <w:bottom w:w="58" w:type="dxa"/>
          <w:right w:w="58" w:type="dxa"/>
        </w:tblCellMar>
        <w:tblLook w:val="04A0" w:firstRow="1" w:lastRow="0" w:firstColumn="1" w:lastColumn="0" w:noHBand="0" w:noVBand="1"/>
      </w:tblPr>
      <w:tblGrid>
        <w:gridCol w:w="2373"/>
        <w:gridCol w:w="2443"/>
        <w:gridCol w:w="2443"/>
        <w:gridCol w:w="2371"/>
        <w:gridCol w:w="2443"/>
        <w:gridCol w:w="2443"/>
      </w:tblGrid>
      <w:tr w:rsidR="00DF5980" w:rsidRPr="004978C3" w14:paraId="37A3D544" w14:textId="77777777" w:rsidTr="004978C3">
        <w:trPr>
          <w:tblHeader/>
        </w:trPr>
        <w:tc>
          <w:tcPr>
            <w:tcW w:w="2352" w:type="dxa"/>
            <w:shd w:val="clear" w:color="000000" w:fill="002060"/>
            <w:vAlign w:val="center"/>
            <w:hideMark/>
          </w:tcPr>
          <w:p w14:paraId="537D722F" w14:textId="77777777" w:rsidR="00DF5980" w:rsidRPr="004978C3" w:rsidRDefault="00DF5980" w:rsidP="004978C3">
            <w:pPr>
              <w:spacing w:after="0" w:line="240" w:lineRule="auto"/>
              <w:jc w:val="center"/>
              <w:rPr>
                <w:rFonts w:ascii="Avenir Roman" w:eastAsia="Times New Roman" w:hAnsi="Avenir Roman" w:cs="Arial"/>
                <w:b/>
                <w:bCs/>
                <w:color w:val="FFFFFF"/>
                <w:sz w:val="18"/>
                <w:szCs w:val="20"/>
              </w:rPr>
            </w:pPr>
            <w:r w:rsidRPr="004978C3">
              <w:rPr>
                <w:rFonts w:ascii="Avenir Roman" w:eastAsia="Times New Roman" w:hAnsi="Avenir Roman" w:cs="Arial"/>
                <w:b/>
                <w:bCs/>
                <w:color w:val="FFFFFF"/>
                <w:sz w:val="18"/>
                <w:szCs w:val="20"/>
              </w:rPr>
              <w:t>Inputs</w:t>
            </w:r>
          </w:p>
        </w:tc>
        <w:tc>
          <w:tcPr>
            <w:tcW w:w="2422" w:type="dxa"/>
            <w:shd w:val="clear" w:color="000000" w:fill="621E7C"/>
            <w:vAlign w:val="center"/>
            <w:hideMark/>
          </w:tcPr>
          <w:p w14:paraId="1CEA6431" w14:textId="77777777" w:rsidR="00DF5980" w:rsidRPr="004978C3" w:rsidRDefault="00DF5980" w:rsidP="004978C3">
            <w:pPr>
              <w:spacing w:after="0" w:line="240" w:lineRule="auto"/>
              <w:jc w:val="center"/>
              <w:rPr>
                <w:rFonts w:ascii="Avenir Roman" w:eastAsia="Times New Roman" w:hAnsi="Avenir Roman" w:cs="Arial"/>
                <w:b/>
                <w:bCs/>
                <w:color w:val="FFFFFF"/>
                <w:sz w:val="18"/>
                <w:szCs w:val="20"/>
              </w:rPr>
            </w:pPr>
            <w:r w:rsidRPr="004978C3">
              <w:rPr>
                <w:rFonts w:ascii="Avenir Roman" w:eastAsia="Times New Roman" w:hAnsi="Avenir Roman" w:cs="Arial"/>
                <w:b/>
                <w:bCs/>
                <w:color w:val="FFFFFF"/>
                <w:sz w:val="18"/>
                <w:szCs w:val="20"/>
              </w:rPr>
              <w:t>Activities</w:t>
            </w:r>
          </w:p>
        </w:tc>
        <w:tc>
          <w:tcPr>
            <w:tcW w:w="2422" w:type="dxa"/>
            <w:shd w:val="clear" w:color="000000" w:fill="903F6C"/>
            <w:vAlign w:val="center"/>
            <w:hideMark/>
          </w:tcPr>
          <w:p w14:paraId="4A05B420" w14:textId="77777777" w:rsidR="00DF5980" w:rsidRPr="004978C3" w:rsidRDefault="00DF5980" w:rsidP="004978C3">
            <w:pPr>
              <w:spacing w:after="0" w:line="240" w:lineRule="auto"/>
              <w:jc w:val="center"/>
              <w:rPr>
                <w:rFonts w:ascii="Avenir Roman" w:eastAsia="Times New Roman" w:hAnsi="Avenir Roman" w:cs="Arial"/>
                <w:b/>
                <w:bCs/>
                <w:color w:val="FFFFFF"/>
                <w:sz w:val="18"/>
                <w:szCs w:val="20"/>
              </w:rPr>
            </w:pPr>
            <w:r w:rsidRPr="004978C3">
              <w:rPr>
                <w:rFonts w:ascii="Avenir Roman" w:eastAsia="Times New Roman" w:hAnsi="Avenir Roman" w:cs="Arial"/>
                <w:b/>
                <w:bCs/>
                <w:color w:val="FFFFFF"/>
                <w:sz w:val="18"/>
                <w:szCs w:val="20"/>
              </w:rPr>
              <w:t>Outputs</w:t>
            </w:r>
          </w:p>
        </w:tc>
        <w:tc>
          <w:tcPr>
            <w:tcW w:w="2350" w:type="dxa"/>
            <w:shd w:val="clear" w:color="000000" w:fill="B76059"/>
            <w:vAlign w:val="center"/>
            <w:hideMark/>
          </w:tcPr>
          <w:p w14:paraId="2E4198F7" w14:textId="77777777" w:rsidR="00DF5980" w:rsidRPr="004978C3" w:rsidRDefault="00DF5980" w:rsidP="004978C3">
            <w:pPr>
              <w:spacing w:after="0" w:line="240" w:lineRule="auto"/>
              <w:jc w:val="center"/>
              <w:rPr>
                <w:rFonts w:ascii="Avenir Roman" w:eastAsia="Times New Roman" w:hAnsi="Avenir Roman" w:cs="Arial"/>
                <w:b/>
                <w:bCs/>
                <w:color w:val="FFFFFF"/>
                <w:sz w:val="18"/>
                <w:szCs w:val="20"/>
              </w:rPr>
            </w:pPr>
            <w:r w:rsidRPr="004978C3">
              <w:rPr>
                <w:rFonts w:ascii="Avenir Roman" w:eastAsia="Times New Roman" w:hAnsi="Avenir Roman" w:cs="Arial"/>
                <w:b/>
                <w:bCs/>
                <w:color w:val="FFFFFF"/>
                <w:sz w:val="18"/>
                <w:szCs w:val="20"/>
              </w:rPr>
              <w:t>Immediate (Short-Term) Outcomes</w:t>
            </w:r>
          </w:p>
        </w:tc>
        <w:tc>
          <w:tcPr>
            <w:tcW w:w="2422" w:type="dxa"/>
            <w:shd w:val="clear" w:color="000000" w:fill="DB8240"/>
            <w:vAlign w:val="center"/>
            <w:hideMark/>
          </w:tcPr>
          <w:p w14:paraId="08D7BE73" w14:textId="77777777" w:rsidR="00DF5980" w:rsidRPr="004978C3" w:rsidRDefault="00DF5980" w:rsidP="004978C3">
            <w:pPr>
              <w:spacing w:after="0" w:line="240" w:lineRule="auto"/>
              <w:jc w:val="center"/>
              <w:rPr>
                <w:rFonts w:ascii="Avenir Roman" w:eastAsia="Times New Roman" w:hAnsi="Avenir Roman" w:cs="Arial"/>
                <w:b/>
                <w:bCs/>
                <w:color w:val="FFFFFF"/>
                <w:sz w:val="18"/>
                <w:szCs w:val="20"/>
              </w:rPr>
            </w:pPr>
            <w:r w:rsidRPr="004978C3">
              <w:rPr>
                <w:rFonts w:ascii="Avenir Roman" w:eastAsia="Times New Roman" w:hAnsi="Avenir Roman" w:cs="Arial"/>
                <w:b/>
                <w:bCs/>
                <w:color w:val="FFFFFF"/>
                <w:sz w:val="18"/>
                <w:szCs w:val="20"/>
              </w:rPr>
              <w:t>Intermediate Outcomes</w:t>
            </w:r>
          </w:p>
        </w:tc>
        <w:tc>
          <w:tcPr>
            <w:tcW w:w="2422" w:type="dxa"/>
            <w:shd w:val="clear" w:color="000000" w:fill="FFA500"/>
            <w:vAlign w:val="center"/>
            <w:hideMark/>
          </w:tcPr>
          <w:p w14:paraId="608DB69F" w14:textId="77777777" w:rsidR="00DF5980" w:rsidRPr="004978C3" w:rsidRDefault="00DF5980" w:rsidP="004978C3">
            <w:pPr>
              <w:spacing w:after="0" w:line="240" w:lineRule="auto"/>
              <w:jc w:val="center"/>
              <w:rPr>
                <w:rFonts w:ascii="Avenir Roman" w:eastAsia="Times New Roman" w:hAnsi="Avenir Roman" w:cs="Arial"/>
                <w:b/>
                <w:bCs/>
                <w:color w:val="FFFFFF"/>
                <w:sz w:val="18"/>
                <w:szCs w:val="20"/>
              </w:rPr>
            </w:pPr>
            <w:r w:rsidRPr="004978C3">
              <w:rPr>
                <w:rFonts w:ascii="Avenir Roman" w:eastAsia="Times New Roman" w:hAnsi="Avenir Roman" w:cs="Arial"/>
                <w:b/>
                <w:bCs/>
                <w:color w:val="FFFFFF"/>
                <w:sz w:val="18"/>
                <w:szCs w:val="20"/>
              </w:rPr>
              <w:t>Long-Term Outcomes / Impact</w:t>
            </w:r>
          </w:p>
        </w:tc>
      </w:tr>
      <w:tr w:rsidR="00DF5980" w:rsidRPr="004978C3" w14:paraId="24FC78C6" w14:textId="77777777" w:rsidTr="004978C3">
        <w:trPr>
          <w:trHeight w:val="197"/>
        </w:trPr>
        <w:tc>
          <w:tcPr>
            <w:tcW w:w="2352" w:type="dxa"/>
            <w:shd w:val="clear" w:color="auto" w:fill="auto"/>
            <w:hideMark/>
          </w:tcPr>
          <w:p w14:paraId="233973F0" w14:textId="77777777" w:rsidR="00DF5980" w:rsidRPr="004978C3" w:rsidRDefault="00DF5980" w:rsidP="00DF5980">
            <w:pPr>
              <w:spacing w:after="0" w:line="240" w:lineRule="auto"/>
              <w:jc w:val="center"/>
              <w:rPr>
                <w:rFonts w:ascii="Avenir Roman" w:eastAsia="Times New Roman" w:hAnsi="Avenir Roman" w:cs="Arial"/>
                <w:i/>
                <w:iCs/>
                <w:color w:val="757171"/>
                <w:sz w:val="12"/>
                <w:szCs w:val="12"/>
              </w:rPr>
            </w:pPr>
            <w:r w:rsidRPr="004978C3">
              <w:rPr>
                <w:rFonts w:ascii="Avenir Roman" w:eastAsia="Times New Roman" w:hAnsi="Avenir Roman" w:cs="Arial"/>
                <w:i/>
                <w:iCs/>
                <w:color w:val="757171"/>
                <w:sz w:val="12"/>
                <w:szCs w:val="12"/>
              </w:rPr>
              <w:t>In order to accomplish our set of activities we will need the following:</w:t>
            </w:r>
          </w:p>
        </w:tc>
        <w:tc>
          <w:tcPr>
            <w:tcW w:w="2422" w:type="dxa"/>
            <w:shd w:val="clear" w:color="auto" w:fill="auto"/>
            <w:hideMark/>
          </w:tcPr>
          <w:p w14:paraId="14D2EFC5" w14:textId="77777777" w:rsidR="00DF5980" w:rsidRPr="004978C3" w:rsidRDefault="00DF5980" w:rsidP="00DF5980">
            <w:pPr>
              <w:spacing w:after="0" w:line="240" w:lineRule="auto"/>
              <w:jc w:val="center"/>
              <w:rPr>
                <w:rFonts w:ascii="Avenir Roman" w:eastAsia="Times New Roman" w:hAnsi="Avenir Roman" w:cs="Arial"/>
                <w:i/>
                <w:iCs/>
                <w:color w:val="757171"/>
                <w:sz w:val="12"/>
                <w:szCs w:val="12"/>
              </w:rPr>
            </w:pPr>
            <w:r w:rsidRPr="004978C3">
              <w:rPr>
                <w:rFonts w:ascii="Avenir Roman" w:eastAsia="Times New Roman" w:hAnsi="Avenir Roman" w:cs="Arial"/>
                <w:i/>
                <w:iCs/>
                <w:color w:val="757171"/>
                <w:sz w:val="12"/>
                <w:szCs w:val="12"/>
              </w:rPr>
              <w:t>In order to address our problem or asset we will accomplish the following activities:</w:t>
            </w:r>
          </w:p>
        </w:tc>
        <w:tc>
          <w:tcPr>
            <w:tcW w:w="2422" w:type="dxa"/>
            <w:shd w:val="clear" w:color="auto" w:fill="auto"/>
            <w:hideMark/>
          </w:tcPr>
          <w:p w14:paraId="21BB2161" w14:textId="77777777" w:rsidR="00DF5980" w:rsidRPr="004978C3" w:rsidRDefault="00DF5980" w:rsidP="00DF5980">
            <w:pPr>
              <w:spacing w:after="0" w:line="240" w:lineRule="auto"/>
              <w:jc w:val="center"/>
              <w:rPr>
                <w:rFonts w:ascii="Avenir Roman" w:eastAsia="Times New Roman" w:hAnsi="Avenir Roman" w:cs="Arial"/>
                <w:i/>
                <w:iCs/>
                <w:color w:val="757171"/>
                <w:sz w:val="12"/>
                <w:szCs w:val="12"/>
              </w:rPr>
            </w:pPr>
            <w:r w:rsidRPr="004978C3">
              <w:rPr>
                <w:rFonts w:ascii="Avenir Roman" w:eastAsia="Times New Roman" w:hAnsi="Avenir Roman" w:cs="Arial"/>
                <w:i/>
                <w:iCs/>
                <w:color w:val="757171"/>
                <w:sz w:val="12"/>
                <w:szCs w:val="12"/>
              </w:rPr>
              <w:t>We expect that once accomplished, these activities will produce the following evidence or service delivery:</w:t>
            </w:r>
          </w:p>
        </w:tc>
        <w:tc>
          <w:tcPr>
            <w:tcW w:w="2350" w:type="dxa"/>
            <w:shd w:val="clear" w:color="auto" w:fill="auto"/>
            <w:hideMark/>
          </w:tcPr>
          <w:p w14:paraId="4366DA52" w14:textId="77777777" w:rsidR="00DF5980" w:rsidRPr="004978C3" w:rsidRDefault="00DF5980" w:rsidP="00DF5980">
            <w:pPr>
              <w:spacing w:after="0" w:line="240" w:lineRule="auto"/>
              <w:jc w:val="center"/>
              <w:rPr>
                <w:rFonts w:ascii="Avenir Roman" w:eastAsia="Times New Roman" w:hAnsi="Avenir Roman" w:cs="Arial"/>
                <w:i/>
                <w:iCs/>
                <w:color w:val="757171"/>
                <w:sz w:val="12"/>
                <w:szCs w:val="12"/>
              </w:rPr>
            </w:pPr>
            <w:r w:rsidRPr="004978C3">
              <w:rPr>
                <w:rFonts w:ascii="Avenir Roman" w:eastAsia="Times New Roman" w:hAnsi="Avenir Roman" w:cs="Arial"/>
                <w:i/>
                <w:iCs/>
                <w:color w:val="757171"/>
                <w:sz w:val="12"/>
                <w:szCs w:val="12"/>
              </w:rPr>
              <w:t>We expect that if accomplished these activities will lead to the following changes in the next year</w:t>
            </w:r>
          </w:p>
        </w:tc>
        <w:tc>
          <w:tcPr>
            <w:tcW w:w="2422" w:type="dxa"/>
            <w:shd w:val="clear" w:color="auto" w:fill="auto"/>
            <w:hideMark/>
          </w:tcPr>
          <w:p w14:paraId="31427B1B" w14:textId="77777777" w:rsidR="00DF5980" w:rsidRPr="004978C3" w:rsidRDefault="00DF5980" w:rsidP="00DF5980">
            <w:pPr>
              <w:spacing w:after="0" w:line="240" w:lineRule="auto"/>
              <w:jc w:val="center"/>
              <w:rPr>
                <w:rFonts w:ascii="Avenir Roman" w:eastAsia="Times New Roman" w:hAnsi="Avenir Roman" w:cs="Arial"/>
                <w:i/>
                <w:iCs/>
                <w:color w:val="757171"/>
                <w:sz w:val="12"/>
                <w:szCs w:val="12"/>
              </w:rPr>
            </w:pPr>
            <w:r w:rsidRPr="004978C3">
              <w:rPr>
                <w:rFonts w:ascii="Avenir Roman" w:eastAsia="Times New Roman" w:hAnsi="Avenir Roman" w:cs="Arial"/>
                <w:i/>
                <w:iCs/>
                <w:color w:val="757171"/>
                <w:sz w:val="12"/>
                <w:szCs w:val="12"/>
              </w:rPr>
              <w:t>We expect that if accomplished these activities will lead to the following changes in 1-3 years</w:t>
            </w:r>
          </w:p>
        </w:tc>
        <w:tc>
          <w:tcPr>
            <w:tcW w:w="2422" w:type="dxa"/>
            <w:shd w:val="clear" w:color="auto" w:fill="auto"/>
            <w:hideMark/>
          </w:tcPr>
          <w:p w14:paraId="7953F575" w14:textId="77777777" w:rsidR="00DF5980" w:rsidRPr="004978C3" w:rsidRDefault="00DF5980" w:rsidP="00DF5980">
            <w:pPr>
              <w:spacing w:after="0" w:line="240" w:lineRule="auto"/>
              <w:jc w:val="center"/>
              <w:rPr>
                <w:rFonts w:ascii="Avenir Roman" w:eastAsia="Times New Roman" w:hAnsi="Avenir Roman" w:cs="Arial"/>
                <w:i/>
                <w:iCs/>
                <w:color w:val="757171"/>
                <w:sz w:val="12"/>
                <w:szCs w:val="12"/>
              </w:rPr>
            </w:pPr>
            <w:r w:rsidRPr="004978C3">
              <w:rPr>
                <w:rFonts w:ascii="Avenir Roman" w:eastAsia="Times New Roman" w:hAnsi="Avenir Roman" w:cs="Arial"/>
                <w:i/>
                <w:iCs/>
                <w:color w:val="757171"/>
                <w:sz w:val="12"/>
                <w:szCs w:val="12"/>
              </w:rPr>
              <w:t>We expect that if accomplished these activities will lead to the following changes in 3-5 years</w:t>
            </w:r>
          </w:p>
        </w:tc>
      </w:tr>
      <w:tr w:rsidR="004978C3" w:rsidRPr="00D95331" w14:paraId="47B1251E" w14:textId="77777777" w:rsidTr="00775D42">
        <w:trPr>
          <w:trHeight w:val="4256"/>
        </w:trPr>
        <w:tc>
          <w:tcPr>
            <w:tcW w:w="2352" w:type="dxa"/>
            <w:shd w:val="clear" w:color="auto" w:fill="auto"/>
          </w:tcPr>
          <w:p w14:paraId="0C2A0A13" w14:textId="77777777" w:rsidR="00AE323A"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1. </w:t>
            </w:r>
            <w:r w:rsidR="004D5D07" w:rsidRPr="00AE323A">
              <w:rPr>
                <w:rFonts w:asciiTheme="minorHAnsi" w:hAnsiTheme="minorHAnsi" w:cs="Arial"/>
                <w:color w:val="04326C"/>
                <w:sz w:val="20"/>
              </w:rPr>
              <w:t xml:space="preserve">A </w:t>
            </w:r>
            <w:r w:rsidR="006A2BDB" w:rsidRPr="00AE323A">
              <w:rPr>
                <w:rFonts w:asciiTheme="minorHAnsi" w:hAnsiTheme="minorHAnsi" w:cs="Arial"/>
                <w:color w:val="04326C"/>
                <w:sz w:val="20"/>
              </w:rPr>
              <w:t xml:space="preserve">robust, </w:t>
            </w:r>
            <w:r w:rsidR="004D5D07" w:rsidRPr="00AE323A">
              <w:rPr>
                <w:rFonts w:asciiTheme="minorHAnsi" w:hAnsiTheme="minorHAnsi" w:cs="Arial"/>
                <w:color w:val="04326C"/>
                <w:sz w:val="20"/>
              </w:rPr>
              <w:t xml:space="preserve">unified set of </w:t>
            </w:r>
            <w:r w:rsidR="004D5D07" w:rsidRPr="00AE323A">
              <w:rPr>
                <w:rFonts w:asciiTheme="minorHAnsi" w:hAnsiTheme="minorHAnsi" w:cs="Arial"/>
                <w:color w:val="auto"/>
                <w:sz w:val="20"/>
              </w:rPr>
              <w:t>transition</w:t>
            </w:r>
            <w:r w:rsidR="006A2BDB" w:rsidRPr="00AE323A">
              <w:rPr>
                <w:rFonts w:asciiTheme="minorHAnsi" w:hAnsiTheme="minorHAnsi" w:cs="Arial"/>
                <w:color w:val="04326C"/>
                <w:sz w:val="20"/>
              </w:rPr>
              <w:t xml:space="preserve"> procedures and</w:t>
            </w:r>
            <w:r w:rsidR="004D5D07" w:rsidRPr="00AE323A">
              <w:rPr>
                <w:rFonts w:asciiTheme="minorHAnsi" w:hAnsiTheme="minorHAnsi" w:cs="Arial"/>
                <w:color w:val="04326C"/>
                <w:sz w:val="20"/>
              </w:rPr>
              <w:t xml:space="preserve"> practices;</w:t>
            </w:r>
          </w:p>
          <w:p w14:paraId="3C16C62D" w14:textId="77777777" w:rsidR="00AE323A"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2. </w:t>
            </w:r>
            <w:r w:rsidR="006A2BDB" w:rsidRPr="00AE323A">
              <w:rPr>
                <w:rFonts w:asciiTheme="minorHAnsi" w:hAnsiTheme="minorHAnsi" w:cs="Arial"/>
                <w:color w:val="04326C"/>
                <w:sz w:val="20"/>
              </w:rPr>
              <w:t>Improved student transition resources;</w:t>
            </w:r>
          </w:p>
          <w:p w14:paraId="2998F0E0" w14:textId="77777777" w:rsidR="00AE323A"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3. </w:t>
            </w:r>
            <w:r w:rsidR="006A2BDB" w:rsidRPr="00AE323A">
              <w:rPr>
                <w:rFonts w:asciiTheme="minorHAnsi" w:hAnsiTheme="minorHAnsi" w:cs="Arial"/>
                <w:color w:val="04326C"/>
                <w:sz w:val="20"/>
              </w:rPr>
              <w:t>Agreed-upon and aligned placement procedures;</w:t>
            </w:r>
          </w:p>
          <w:p w14:paraId="1C8C5200" w14:textId="77777777" w:rsidR="00AE323A"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4. </w:t>
            </w:r>
            <w:r w:rsidR="00372DDA" w:rsidRPr="00AE323A">
              <w:rPr>
                <w:rFonts w:asciiTheme="minorHAnsi" w:hAnsiTheme="minorHAnsi" w:cs="Arial"/>
                <w:color w:val="04326C"/>
                <w:sz w:val="20"/>
              </w:rPr>
              <w:t xml:space="preserve">Expanded non-credit options in the </w:t>
            </w:r>
            <w:r w:rsidR="006A2BDB" w:rsidRPr="00AE323A">
              <w:rPr>
                <w:rFonts w:asciiTheme="minorHAnsi" w:hAnsiTheme="minorHAnsi" w:cs="Arial"/>
                <w:color w:val="04326C"/>
                <w:sz w:val="20"/>
              </w:rPr>
              <w:t>FH-DA</w:t>
            </w:r>
            <w:r w:rsidR="00372DDA" w:rsidRPr="00AE323A">
              <w:rPr>
                <w:rFonts w:asciiTheme="minorHAnsi" w:hAnsiTheme="minorHAnsi" w:cs="Arial"/>
                <w:color w:val="04326C"/>
                <w:sz w:val="20"/>
              </w:rPr>
              <w:t xml:space="preserve"> College District;</w:t>
            </w:r>
          </w:p>
          <w:p w14:paraId="71EB5220" w14:textId="5A907ABB" w:rsidR="00AE323A"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5. </w:t>
            </w:r>
            <w:r w:rsidR="006A2BDB" w:rsidRPr="00AE323A">
              <w:rPr>
                <w:rFonts w:asciiTheme="minorHAnsi" w:hAnsiTheme="minorHAnsi" w:cs="Arial"/>
                <w:color w:val="04326C"/>
                <w:sz w:val="20"/>
              </w:rPr>
              <w:t>Processes</w:t>
            </w:r>
            <w:r w:rsidR="00372DDA" w:rsidRPr="00AE323A">
              <w:rPr>
                <w:rFonts w:asciiTheme="minorHAnsi" w:hAnsiTheme="minorHAnsi" w:cs="Arial"/>
                <w:color w:val="04326C"/>
                <w:sz w:val="20"/>
              </w:rPr>
              <w:t xml:space="preserve"> and procedures for articulating </w:t>
            </w:r>
            <w:r w:rsidR="000210AD" w:rsidRPr="00AE323A">
              <w:rPr>
                <w:rFonts w:asciiTheme="minorHAnsi" w:hAnsiTheme="minorHAnsi" w:cs="Arial"/>
                <w:color w:val="04326C"/>
                <w:sz w:val="20"/>
              </w:rPr>
              <w:t>A</w:t>
            </w:r>
            <w:r w:rsidR="00372DDA" w:rsidRPr="00AE323A">
              <w:rPr>
                <w:rFonts w:asciiTheme="minorHAnsi" w:hAnsiTheme="minorHAnsi" w:cs="Arial"/>
                <w:color w:val="04326C"/>
                <w:sz w:val="20"/>
              </w:rPr>
              <w:t xml:space="preserve">dult </w:t>
            </w:r>
            <w:r w:rsidR="000210AD" w:rsidRPr="00AE323A">
              <w:rPr>
                <w:rFonts w:asciiTheme="minorHAnsi" w:hAnsiTheme="minorHAnsi" w:cs="Arial"/>
                <w:color w:val="04326C"/>
                <w:sz w:val="20"/>
              </w:rPr>
              <w:t>School</w:t>
            </w:r>
            <w:r w:rsidR="00372DDA" w:rsidRPr="00AE323A">
              <w:rPr>
                <w:rFonts w:asciiTheme="minorHAnsi" w:hAnsiTheme="minorHAnsi" w:cs="Arial"/>
                <w:color w:val="04326C"/>
                <w:sz w:val="20"/>
              </w:rPr>
              <w:t xml:space="preserve"> and </w:t>
            </w:r>
            <w:r w:rsidR="000210AD" w:rsidRPr="00AE323A">
              <w:rPr>
                <w:rFonts w:asciiTheme="minorHAnsi" w:hAnsiTheme="minorHAnsi" w:cs="Arial"/>
                <w:color w:val="04326C"/>
                <w:sz w:val="20"/>
              </w:rPr>
              <w:t>C</w:t>
            </w:r>
            <w:r w:rsidR="00372DDA" w:rsidRPr="00AE323A">
              <w:rPr>
                <w:rFonts w:asciiTheme="minorHAnsi" w:hAnsiTheme="minorHAnsi" w:cs="Arial"/>
                <w:color w:val="04326C"/>
                <w:sz w:val="20"/>
              </w:rPr>
              <w:t xml:space="preserve">ommunity </w:t>
            </w:r>
            <w:r w:rsidR="000210AD" w:rsidRPr="00AE323A">
              <w:rPr>
                <w:rFonts w:asciiTheme="minorHAnsi" w:hAnsiTheme="minorHAnsi" w:cs="Arial"/>
                <w:color w:val="04326C"/>
                <w:sz w:val="20"/>
              </w:rPr>
              <w:t>C</w:t>
            </w:r>
            <w:r w:rsidR="00BA7DBD" w:rsidRPr="00AE323A">
              <w:rPr>
                <w:rFonts w:asciiTheme="minorHAnsi" w:hAnsiTheme="minorHAnsi" w:cs="Arial"/>
                <w:color w:val="04326C"/>
                <w:sz w:val="20"/>
              </w:rPr>
              <w:t>ollege courses</w:t>
            </w:r>
            <w:r>
              <w:rPr>
                <w:rFonts w:asciiTheme="minorHAnsi" w:hAnsiTheme="minorHAnsi" w:cs="Arial"/>
                <w:color w:val="04326C"/>
                <w:sz w:val="20"/>
              </w:rPr>
              <w:t xml:space="preserve"> and assessment measures</w:t>
            </w:r>
            <w:r w:rsidR="00BA7DBD" w:rsidRPr="00AE323A">
              <w:rPr>
                <w:rFonts w:asciiTheme="minorHAnsi" w:hAnsiTheme="minorHAnsi" w:cs="Arial"/>
                <w:color w:val="04326C"/>
                <w:sz w:val="20"/>
              </w:rPr>
              <w:t>;</w:t>
            </w:r>
          </w:p>
          <w:p w14:paraId="6983F61F" w14:textId="21811891" w:rsidR="000210AD"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6. Consortium “</w:t>
            </w:r>
            <w:r w:rsidR="000210AD" w:rsidRPr="00AE323A">
              <w:rPr>
                <w:rFonts w:asciiTheme="minorHAnsi" w:hAnsiTheme="minorHAnsi" w:cs="Arial"/>
                <w:color w:val="04326C"/>
                <w:sz w:val="20"/>
              </w:rPr>
              <w:t>Data Dashboard</w:t>
            </w:r>
            <w:r>
              <w:rPr>
                <w:rFonts w:asciiTheme="minorHAnsi" w:hAnsiTheme="minorHAnsi" w:cs="Arial"/>
                <w:color w:val="04326C"/>
                <w:sz w:val="20"/>
              </w:rPr>
              <w:t>”</w:t>
            </w:r>
            <w:r w:rsidR="006A2BDB" w:rsidRPr="00AE323A">
              <w:rPr>
                <w:rFonts w:asciiTheme="minorHAnsi" w:hAnsiTheme="minorHAnsi" w:cs="Arial"/>
                <w:color w:val="04326C"/>
                <w:sz w:val="20"/>
              </w:rPr>
              <w:t xml:space="preserve"> expansion </w:t>
            </w:r>
            <w:r>
              <w:rPr>
                <w:rFonts w:asciiTheme="minorHAnsi" w:hAnsiTheme="minorHAnsi" w:cs="Arial"/>
                <w:color w:val="04326C"/>
                <w:sz w:val="20"/>
              </w:rPr>
              <w:t>with</w:t>
            </w:r>
            <w:r w:rsidR="006A2BDB" w:rsidRPr="00AE323A">
              <w:rPr>
                <w:rFonts w:asciiTheme="minorHAnsi" w:hAnsiTheme="minorHAnsi" w:cs="Arial"/>
                <w:color w:val="04326C"/>
                <w:sz w:val="20"/>
              </w:rPr>
              <w:t xml:space="preserve"> </w:t>
            </w:r>
            <w:r w:rsidR="000210AD" w:rsidRPr="00AE323A">
              <w:rPr>
                <w:rFonts w:asciiTheme="minorHAnsi" w:hAnsiTheme="minorHAnsi" w:cs="Arial"/>
                <w:color w:val="04326C"/>
                <w:sz w:val="20"/>
              </w:rPr>
              <w:t>analysis support</w:t>
            </w:r>
            <w:r w:rsidR="001C6C57">
              <w:rPr>
                <w:rFonts w:asciiTheme="minorHAnsi" w:hAnsiTheme="minorHAnsi" w:cs="Arial"/>
                <w:color w:val="04326C"/>
                <w:sz w:val="20"/>
              </w:rPr>
              <w:t xml:space="preserve"> (see section 2.3 as an example)</w:t>
            </w:r>
            <w:r w:rsidR="00BA7DBD" w:rsidRPr="00AE323A">
              <w:rPr>
                <w:rFonts w:asciiTheme="minorHAnsi" w:hAnsiTheme="minorHAnsi" w:cs="Arial"/>
                <w:color w:val="04326C"/>
                <w:sz w:val="20"/>
              </w:rPr>
              <w:t>.</w:t>
            </w:r>
          </w:p>
          <w:p w14:paraId="698AFCCF" w14:textId="3D6795EE" w:rsidR="00257B61" w:rsidRPr="00AE323A" w:rsidRDefault="00257B61"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7. </w:t>
            </w:r>
            <w:r>
              <w:rPr>
                <w:rFonts w:asciiTheme="minorHAnsi" w:eastAsia="Times New Roman" w:hAnsiTheme="minorHAnsi" w:cs="Arial"/>
                <w:iCs/>
                <w:color w:val="1F3864" w:themeColor="accent1" w:themeShade="80"/>
                <w:sz w:val="20"/>
                <w:szCs w:val="20"/>
              </w:rPr>
              <w:t>Increased guidance role of Leadership Board and expanded workgroup leadership.</w:t>
            </w:r>
          </w:p>
          <w:p w14:paraId="465EE3BA" w14:textId="371C9999" w:rsidR="004D5D07" w:rsidRPr="004D5D07" w:rsidRDefault="004D5D07" w:rsidP="00372DDA">
            <w:pPr>
              <w:rPr>
                <w:rFonts w:ascii="Arial" w:eastAsia="Times New Roman" w:hAnsi="Arial"/>
                <w:i/>
                <w:iCs/>
                <w:color w:val="757171"/>
                <w:sz w:val="12"/>
                <w:szCs w:val="12"/>
              </w:rPr>
            </w:pPr>
          </w:p>
        </w:tc>
        <w:tc>
          <w:tcPr>
            <w:tcW w:w="2422" w:type="dxa"/>
            <w:shd w:val="clear" w:color="auto" w:fill="auto"/>
          </w:tcPr>
          <w:p w14:paraId="36CCAD08" w14:textId="627EC9C9" w:rsidR="004978C3" w:rsidRDefault="00C27372" w:rsidP="006A2BDB">
            <w:pPr>
              <w:spacing w:after="0" w:line="240" w:lineRule="auto"/>
              <w:rPr>
                <w:rFonts w:asciiTheme="minorHAnsi" w:eastAsia="Times New Roman" w:hAnsiTheme="minorHAnsi" w:cs="Arial"/>
                <w:iCs/>
                <w:color w:val="1F3864" w:themeColor="accent1" w:themeShade="80"/>
                <w:sz w:val="20"/>
                <w:szCs w:val="20"/>
              </w:rPr>
            </w:pPr>
            <w:r>
              <w:rPr>
                <w:rFonts w:asciiTheme="minorHAnsi" w:eastAsia="Times New Roman" w:hAnsiTheme="minorHAnsi" w:cs="Arial"/>
                <w:iCs/>
                <w:color w:val="1F3864" w:themeColor="accent1" w:themeShade="80"/>
                <w:sz w:val="20"/>
                <w:szCs w:val="20"/>
              </w:rPr>
              <w:t xml:space="preserve">A.  </w:t>
            </w:r>
            <w:r w:rsidR="00F35CE1">
              <w:rPr>
                <w:rFonts w:asciiTheme="minorHAnsi" w:eastAsia="Times New Roman" w:hAnsiTheme="minorHAnsi" w:cs="Arial"/>
                <w:iCs/>
                <w:color w:val="1F3864" w:themeColor="accent1" w:themeShade="80"/>
                <w:sz w:val="20"/>
                <w:szCs w:val="20"/>
              </w:rPr>
              <w:t xml:space="preserve">Common practices for transitioning students to the colleges including goal setting, exploratory activities in common, guidance on </w:t>
            </w:r>
            <w:r w:rsidR="00AE323A">
              <w:rPr>
                <w:rFonts w:asciiTheme="minorHAnsi" w:eastAsia="Times New Roman" w:hAnsiTheme="minorHAnsi" w:cs="Arial"/>
                <w:iCs/>
                <w:color w:val="1F3864" w:themeColor="accent1" w:themeShade="80"/>
                <w:sz w:val="20"/>
                <w:szCs w:val="20"/>
              </w:rPr>
              <w:t>guided</w:t>
            </w:r>
            <w:r w:rsidR="00F35CE1">
              <w:rPr>
                <w:rFonts w:asciiTheme="minorHAnsi" w:eastAsia="Times New Roman" w:hAnsiTheme="minorHAnsi" w:cs="Arial"/>
                <w:iCs/>
                <w:color w:val="1F3864" w:themeColor="accent1" w:themeShade="80"/>
                <w:sz w:val="20"/>
                <w:szCs w:val="20"/>
              </w:rPr>
              <w:t xml:space="preserve"> pathways and meta</w:t>
            </w:r>
            <w:r w:rsidR="00AE323A">
              <w:rPr>
                <w:rFonts w:asciiTheme="minorHAnsi" w:eastAsia="Times New Roman" w:hAnsiTheme="minorHAnsi" w:cs="Arial"/>
                <w:iCs/>
                <w:color w:val="1F3864" w:themeColor="accent1" w:themeShade="80"/>
                <w:sz w:val="20"/>
                <w:szCs w:val="20"/>
              </w:rPr>
              <w:t>-majors.</w:t>
            </w:r>
          </w:p>
          <w:p w14:paraId="39FA27C0" w14:textId="1814B193" w:rsidR="00C27372" w:rsidRDefault="00C27372" w:rsidP="006A2BDB">
            <w:pPr>
              <w:spacing w:after="0" w:line="240" w:lineRule="auto"/>
              <w:rPr>
                <w:rFonts w:asciiTheme="minorHAnsi" w:eastAsia="Times New Roman" w:hAnsiTheme="minorHAnsi" w:cs="Arial"/>
                <w:iCs/>
                <w:color w:val="1F3864" w:themeColor="accent1" w:themeShade="80"/>
                <w:sz w:val="20"/>
                <w:szCs w:val="20"/>
              </w:rPr>
            </w:pPr>
            <w:r>
              <w:rPr>
                <w:rFonts w:asciiTheme="minorHAnsi" w:eastAsia="Times New Roman" w:hAnsiTheme="minorHAnsi" w:cs="Arial"/>
                <w:iCs/>
                <w:color w:val="1F3864" w:themeColor="accent1" w:themeShade="80"/>
                <w:sz w:val="20"/>
                <w:szCs w:val="20"/>
              </w:rPr>
              <w:t>B.</w:t>
            </w:r>
            <w:r w:rsidR="00AE323A">
              <w:rPr>
                <w:rFonts w:asciiTheme="minorHAnsi" w:eastAsia="Times New Roman" w:hAnsiTheme="minorHAnsi" w:cs="Arial"/>
                <w:iCs/>
                <w:color w:val="1F3864" w:themeColor="accent1" w:themeShade="80"/>
                <w:sz w:val="20"/>
                <w:szCs w:val="20"/>
              </w:rPr>
              <w:t xml:space="preserve">  </w:t>
            </w:r>
            <w:r w:rsidR="00FB3718">
              <w:rPr>
                <w:rFonts w:asciiTheme="minorHAnsi" w:eastAsia="Times New Roman" w:hAnsiTheme="minorHAnsi" w:cs="Arial"/>
                <w:iCs/>
                <w:color w:val="1F3864" w:themeColor="accent1" w:themeShade="80"/>
                <w:sz w:val="20"/>
                <w:szCs w:val="20"/>
              </w:rPr>
              <w:t>Formalize</w:t>
            </w:r>
            <w:r w:rsidR="00257B61">
              <w:rPr>
                <w:rFonts w:asciiTheme="minorHAnsi" w:eastAsia="Times New Roman" w:hAnsiTheme="minorHAnsi" w:cs="Arial"/>
                <w:iCs/>
                <w:color w:val="1F3864" w:themeColor="accent1" w:themeShade="80"/>
                <w:sz w:val="20"/>
                <w:szCs w:val="20"/>
              </w:rPr>
              <w:t>d</w:t>
            </w:r>
            <w:r w:rsidR="00FB3718">
              <w:rPr>
                <w:rFonts w:asciiTheme="minorHAnsi" w:eastAsia="Times New Roman" w:hAnsiTheme="minorHAnsi" w:cs="Arial"/>
                <w:iCs/>
                <w:color w:val="1F3864" w:themeColor="accent1" w:themeShade="80"/>
                <w:sz w:val="20"/>
                <w:szCs w:val="20"/>
              </w:rPr>
              <w:t xml:space="preserve"> consortium-wide college visits and expand to bi-annual Adult School college fairs;</w:t>
            </w:r>
          </w:p>
          <w:p w14:paraId="2B39B79B" w14:textId="27A151CE" w:rsidR="0017319E" w:rsidRDefault="0017319E" w:rsidP="006A2BDB">
            <w:pPr>
              <w:spacing w:after="0" w:line="240" w:lineRule="auto"/>
              <w:rPr>
                <w:rFonts w:asciiTheme="minorHAnsi" w:eastAsia="Times New Roman" w:hAnsiTheme="minorHAnsi" w:cs="Arial"/>
                <w:iCs/>
                <w:color w:val="1F3864" w:themeColor="accent1" w:themeShade="80"/>
                <w:sz w:val="20"/>
                <w:szCs w:val="20"/>
              </w:rPr>
            </w:pPr>
            <w:r>
              <w:rPr>
                <w:rFonts w:asciiTheme="minorHAnsi" w:eastAsia="Times New Roman" w:hAnsiTheme="minorHAnsi" w:cs="Arial"/>
                <w:iCs/>
                <w:color w:val="1F3864" w:themeColor="accent1" w:themeShade="80"/>
                <w:sz w:val="20"/>
                <w:szCs w:val="20"/>
              </w:rPr>
              <w:t>C.  Create a quarterly survey for a cohort to track behaviors, attitudes and skills that make students successful and pair cohort dat</w:t>
            </w:r>
            <w:r w:rsidR="0081551C">
              <w:rPr>
                <w:rFonts w:asciiTheme="minorHAnsi" w:eastAsia="Times New Roman" w:hAnsiTheme="minorHAnsi" w:cs="Arial"/>
                <w:iCs/>
                <w:color w:val="1F3864" w:themeColor="accent1" w:themeShade="80"/>
                <w:sz w:val="20"/>
                <w:szCs w:val="20"/>
              </w:rPr>
              <w:t>a;</w:t>
            </w:r>
          </w:p>
          <w:p w14:paraId="4ADD8A43" w14:textId="77777777" w:rsidR="00C27372" w:rsidRDefault="0017319E" w:rsidP="00C27372">
            <w:pPr>
              <w:spacing w:after="0" w:line="240" w:lineRule="auto"/>
              <w:rPr>
                <w:rFonts w:asciiTheme="minorHAnsi" w:eastAsia="Times New Roman" w:hAnsiTheme="minorHAnsi" w:cs="Arial"/>
                <w:iCs/>
                <w:color w:val="1F3864" w:themeColor="accent1" w:themeShade="80"/>
                <w:sz w:val="20"/>
                <w:szCs w:val="20"/>
              </w:rPr>
            </w:pPr>
            <w:r>
              <w:rPr>
                <w:rFonts w:asciiTheme="minorHAnsi" w:eastAsia="Times New Roman" w:hAnsiTheme="minorHAnsi" w:cs="Arial"/>
                <w:iCs/>
                <w:color w:val="1F3864" w:themeColor="accent1" w:themeShade="80"/>
                <w:sz w:val="20"/>
                <w:szCs w:val="20"/>
              </w:rPr>
              <w:t>D</w:t>
            </w:r>
            <w:r w:rsidR="00C27372">
              <w:rPr>
                <w:rFonts w:asciiTheme="minorHAnsi" w:eastAsia="Times New Roman" w:hAnsiTheme="minorHAnsi" w:cs="Arial"/>
                <w:iCs/>
                <w:color w:val="1F3864" w:themeColor="accent1" w:themeShade="80"/>
                <w:sz w:val="20"/>
                <w:szCs w:val="20"/>
              </w:rPr>
              <w:t xml:space="preserve">.  Establish a persistence-rate “equation” for </w:t>
            </w:r>
            <w:r w:rsidR="00F35CE1">
              <w:rPr>
                <w:rFonts w:asciiTheme="minorHAnsi" w:eastAsia="Times New Roman" w:hAnsiTheme="minorHAnsi" w:cs="Arial"/>
                <w:iCs/>
                <w:color w:val="1F3864" w:themeColor="accent1" w:themeShade="80"/>
                <w:sz w:val="20"/>
                <w:szCs w:val="20"/>
              </w:rPr>
              <w:t xml:space="preserve">data </w:t>
            </w:r>
            <w:r w:rsidR="00C27372">
              <w:rPr>
                <w:rFonts w:asciiTheme="minorHAnsi" w:eastAsia="Times New Roman" w:hAnsiTheme="minorHAnsi" w:cs="Arial"/>
                <w:iCs/>
                <w:color w:val="1F3864" w:themeColor="accent1" w:themeShade="80"/>
                <w:sz w:val="20"/>
                <w:szCs w:val="20"/>
              </w:rPr>
              <w:t>analysis of consortium progress</w:t>
            </w:r>
            <w:r w:rsidR="0081551C">
              <w:rPr>
                <w:rFonts w:asciiTheme="minorHAnsi" w:eastAsia="Times New Roman" w:hAnsiTheme="minorHAnsi" w:cs="Arial"/>
                <w:iCs/>
                <w:color w:val="1F3864" w:themeColor="accent1" w:themeShade="80"/>
                <w:sz w:val="20"/>
                <w:szCs w:val="20"/>
              </w:rPr>
              <w:t>;</w:t>
            </w:r>
          </w:p>
          <w:p w14:paraId="6CED00FB" w14:textId="77777777" w:rsidR="00257B61" w:rsidRDefault="0081551C" w:rsidP="00257B61">
            <w:pPr>
              <w:spacing w:after="0" w:line="240" w:lineRule="auto"/>
              <w:rPr>
                <w:rFonts w:asciiTheme="minorHAnsi" w:eastAsia="Times New Roman" w:hAnsiTheme="minorHAnsi" w:cs="Arial"/>
                <w:iCs/>
                <w:color w:val="1F3864" w:themeColor="accent1" w:themeShade="80"/>
                <w:sz w:val="20"/>
                <w:szCs w:val="20"/>
              </w:rPr>
            </w:pPr>
            <w:r>
              <w:rPr>
                <w:rFonts w:asciiTheme="minorHAnsi" w:eastAsia="Times New Roman" w:hAnsiTheme="minorHAnsi" w:cs="Arial"/>
                <w:iCs/>
                <w:color w:val="1F3864" w:themeColor="accent1" w:themeShade="80"/>
                <w:sz w:val="20"/>
                <w:szCs w:val="20"/>
              </w:rPr>
              <w:t xml:space="preserve">E.  </w:t>
            </w:r>
            <w:r w:rsidR="00257B61">
              <w:rPr>
                <w:rFonts w:asciiTheme="minorHAnsi" w:eastAsia="Times New Roman" w:hAnsiTheme="minorHAnsi" w:cs="Arial"/>
                <w:iCs/>
                <w:color w:val="1F3864" w:themeColor="accent1" w:themeShade="80"/>
                <w:sz w:val="20"/>
                <w:szCs w:val="20"/>
              </w:rPr>
              <w:t>Create pathway maps from the Adult School programs to the corresponding Community College programs.</w:t>
            </w:r>
          </w:p>
          <w:p w14:paraId="4153307C" w14:textId="7FE1E4D5" w:rsidR="00257B61" w:rsidRPr="00C27372" w:rsidRDefault="00257B61" w:rsidP="00257B61">
            <w:pPr>
              <w:spacing w:after="0" w:line="240" w:lineRule="auto"/>
              <w:rPr>
                <w:rFonts w:asciiTheme="minorHAnsi" w:eastAsia="Times New Roman" w:hAnsiTheme="minorHAnsi" w:cs="Arial"/>
                <w:iCs/>
                <w:color w:val="1F3864" w:themeColor="accent1" w:themeShade="80"/>
                <w:sz w:val="20"/>
                <w:szCs w:val="20"/>
              </w:rPr>
            </w:pPr>
          </w:p>
        </w:tc>
        <w:tc>
          <w:tcPr>
            <w:tcW w:w="2422" w:type="dxa"/>
            <w:shd w:val="clear" w:color="auto" w:fill="auto"/>
          </w:tcPr>
          <w:p w14:paraId="79856B04" w14:textId="77777777" w:rsidR="004978C3" w:rsidRDefault="00C27372" w:rsidP="004978C3">
            <w:pPr>
              <w:spacing w:after="0" w:line="240" w:lineRule="auto"/>
              <w:rPr>
                <w:rFonts w:asciiTheme="minorHAnsi" w:hAnsiTheme="minorHAnsi" w:cs="Arial"/>
                <w:color w:val="04326C"/>
                <w:sz w:val="20"/>
              </w:rPr>
            </w:pPr>
            <w:r>
              <w:rPr>
                <w:rFonts w:asciiTheme="minorHAnsi" w:hAnsiTheme="minorHAnsi" w:cs="Arial"/>
                <w:color w:val="04326C"/>
                <w:sz w:val="20"/>
              </w:rPr>
              <w:t>1.  Annual increases in total number of students placed into FH-DA by the Adult Schools;</w:t>
            </w:r>
          </w:p>
          <w:p w14:paraId="2E9BAE4E" w14:textId="06E54EDD" w:rsidR="00C27372" w:rsidRDefault="00C27372" w:rsidP="004978C3">
            <w:pPr>
              <w:spacing w:after="0" w:line="240" w:lineRule="auto"/>
              <w:rPr>
                <w:rFonts w:asciiTheme="minorHAnsi" w:hAnsiTheme="minorHAnsi" w:cs="Arial"/>
                <w:color w:val="04326C"/>
                <w:sz w:val="20"/>
              </w:rPr>
            </w:pPr>
            <w:r>
              <w:rPr>
                <w:rFonts w:asciiTheme="minorHAnsi" w:hAnsiTheme="minorHAnsi" w:cs="Arial"/>
                <w:color w:val="04326C"/>
                <w:sz w:val="20"/>
              </w:rPr>
              <w:t>2.  Increased persistence</w:t>
            </w:r>
            <w:r w:rsidR="00AE323A">
              <w:rPr>
                <w:rFonts w:asciiTheme="minorHAnsi" w:hAnsiTheme="minorHAnsi" w:cs="Arial"/>
                <w:color w:val="04326C"/>
                <w:sz w:val="20"/>
              </w:rPr>
              <w:t xml:space="preserve"> and completion</w:t>
            </w:r>
            <w:r>
              <w:rPr>
                <w:rFonts w:asciiTheme="minorHAnsi" w:hAnsiTheme="minorHAnsi" w:cs="Arial"/>
                <w:color w:val="04326C"/>
                <w:sz w:val="20"/>
              </w:rPr>
              <w:t xml:space="preserve"> rates</w:t>
            </w:r>
            <w:r w:rsidR="00C5649D">
              <w:rPr>
                <w:rFonts w:asciiTheme="minorHAnsi" w:hAnsiTheme="minorHAnsi" w:cs="Arial"/>
                <w:color w:val="04326C"/>
                <w:sz w:val="20"/>
              </w:rPr>
              <w:t xml:space="preserve"> for transitioned students;</w:t>
            </w:r>
          </w:p>
          <w:p w14:paraId="2B69970F" w14:textId="77777777" w:rsidR="00C5649D" w:rsidRDefault="00C5649D"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3.  </w:t>
            </w:r>
            <w:r w:rsidR="00AE323A">
              <w:rPr>
                <w:rFonts w:asciiTheme="minorHAnsi" w:hAnsiTheme="minorHAnsi" w:cs="Arial"/>
                <w:color w:val="04326C"/>
                <w:sz w:val="20"/>
              </w:rPr>
              <w:t>Inter-agency Guided Pathway processes and procedures implementation;</w:t>
            </w:r>
          </w:p>
          <w:p w14:paraId="6473F4A9" w14:textId="77777777" w:rsidR="00AE323A" w:rsidRDefault="00AE323A" w:rsidP="00FB3718">
            <w:pPr>
              <w:spacing w:after="0" w:line="240" w:lineRule="auto"/>
              <w:rPr>
                <w:rFonts w:asciiTheme="minorHAnsi" w:hAnsiTheme="minorHAnsi" w:cs="Arial"/>
                <w:color w:val="04326C"/>
                <w:sz w:val="20"/>
              </w:rPr>
            </w:pPr>
            <w:r>
              <w:rPr>
                <w:rFonts w:asciiTheme="minorHAnsi" w:hAnsiTheme="minorHAnsi" w:cs="Arial"/>
                <w:color w:val="04326C"/>
                <w:sz w:val="20"/>
              </w:rPr>
              <w:t xml:space="preserve">4.  </w:t>
            </w:r>
            <w:r w:rsidR="00FB3718">
              <w:rPr>
                <w:rFonts w:asciiTheme="minorHAnsi" w:hAnsiTheme="minorHAnsi" w:cs="Arial"/>
                <w:color w:val="04326C"/>
                <w:sz w:val="20"/>
              </w:rPr>
              <w:t>A common, supplemental AEP transition form in use;</w:t>
            </w:r>
          </w:p>
          <w:p w14:paraId="460E9514" w14:textId="7F51CBBD" w:rsidR="00894F14" w:rsidRDefault="00894F14" w:rsidP="00894F14">
            <w:pPr>
              <w:spacing w:after="0" w:line="240" w:lineRule="auto"/>
              <w:rPr>
                <w:rFonts w:asciiTheme="minorHAnsi" w:hAnsiTheme="minorHAnsi" w:cs="Arial"/>
                <w:color w:val="04326C"/>
                <w:sz w:val="20"/>
              </w:rPr>
            </w:pPr>
            <w:r>
              <w:rPr>
                <w:rFonts w:asciiTheme="minorHAnsi" w:hAnsiTheme="minorHAnsi" w:cs="Arial"/>
                <w:color w:val="04326C"/>
                <w:sz w:val="20"/>
              </w:rPr>
              <w:t>5.  Co-Taught (</w:t>
            </w:r>
            <w:r w:rsidR="00257B61">
              <w:rPr>
                <w:rFonts w:asciiTheme="minorHAnsi" w:hAnsiTheme="minorHAnsi" w:cs="Arial"/>
                <w:color w:val="04326C"/>
                <w:sz w:val="20"/>
              </w:rPr>
              <w:t>CC/AS) Transition Bridge Courses on adult school campuses</w:t>
            </w:r>
            <w:r>
              <w:rPr>
                <w:rFonts w:asciiTheme="minorHAnsi" w:hAnsiTheme="minorHAnsi" w:cs="Arial"/>
                <w:color w:val="04326C"/>
                <w:sz w:val="20"/>
              </w:rPr>
              <w:t>;</w:t>
            </w:r>
          </w:p>
          <w:p w14:paraId="1852E46F" w14:textId="00021816" w:rsidR="00894F14" w:rsidRDefault="00894F14" w:rsidP="00894F14">
            <w:pPr>
              <w:spacing w:after="0" w:line="240" w:lineRule="auto"/>
              <w:rPr>
                <w:rFonts w:asciiTheme="minorHAnsi" w:hAnsiTheme="minorHAnsi" w:cs="Arial"/>
                <w:color w:val="04326C"/>
                <w:sz w:val="20"/>
              </w:rPr>
            </w:pPr>
            <w:r>
              <w:rPr>
                <w:rFonts w:asciiTheme="minorHAnsi" w:hAnsiTheme="minorHAnsi" w:cs="Arial"/>
                <w:color w:val="04326C"/>
                <w:sz w:val="20"/>
              </w:rPr>
              <w:t xml:space="preserve">6.  </w:t>
            </w:r>
            <w:r w:rsidR="00B97E01">
              <w:rPr>
                <w:rFonts w:asciiTheme="minorHAnsi" w:hAnsiTheme="minorHAnsi" w:cs="Arial"/>
                <w:color w:val="04326C"/>
                <w:sz w:val="20"/>
              </w:rPr>
              <w:t xml:space="preserve">Clearly articulated </w:t>
            </w:r>
            <w:r w:rsidR="00257B61">
              <w:rPr>
                <w:rFonts w:asciiTheme="minorHAnsi" w:hAnsiTheme="minorHAnsi" w:cs="Arial"/>
                <w:color w:val="04326C"/>
                <w:sz w:val="20"/>
              </w:rPr>
              <w:t xml:space="preserve">pathways, maps and </w:t>
            </w:r>
            <w:r w:rsidR="00996C88">
              <w:rPr>
                <w:rFonts w:asciiTheme="minorHAnsi" w:hAnsiTheme="minorHAnsi" w:cs="Arial"/>
                <w:color w:val="04326C"/>
                <w:sz w:val="20"/>
              </w:rPr>
              <w:t xml:space="preserve">CC </w:t>
            </w:r>
            <w:r w:rsidR="00B97E01">
              <w:rPr>
                <w:rFonts w:asciiTheme="minorHAnsi" w:hAnsiTheme="minorHAnsi" w:cs="Arial"/>
                <w:color w:val="04326C"/>
                <w:sz w:val="20"/>
              </w:rPr>
              <w:t>access points for student transition</w:t>
            </w:r>
            <w:r w:rsidR="00996C88">
              <w:rPr>
                <w:rFonts w:asciiTheme="minorHAnsi" w:hAnsiTheme="minorHAnsi" w:cs="Arial"/>
                <w:color w:val="04326C"/>
                <w:sz w:val="20"/>
              </w:rPr>
              <w:t xml:space="preserve"> from AS;</w:t>
            </w:r>
          </w:p>
          <w:p w14:paraId="2F77DDB0" w14:textId="5AF4092B" w:rsidR="00996C88" w:rsidRPr="00D95331" w:rsidRDefault="00996C88" w:rsidP="00894F14">
            <w:pPr>
              <w:spacing w:after="0" w:line="240" w:lineRule="auto"/>
              <w:rPr>
                <w:rFonts w:ascii="Arial" w:eastAsia="Times New Roman" w:hAnsi="Arial" w:cs="Arial"/>
                <w:i/>
                <w:iCs/>
                <w:color w:val="757171"/>
                <w:sz w:val="12"/>
                <w:szCs w:val="12"/>
              </w:rPr>
            </w:pPr>
          </w:p>
        </w:tc>
        <w:tc>
          <w:tcPr>
            <w:tcW w:w="2350" w:type="dxa"/>
            <w:shd w:val="clear" w:color="auto" w:fill="auto"/>
          </w:tcPr>
          <w:p w14:paraId="27E5EDAA" w14:textId="356AFA0D" w:rsidR="004978C3" w:rsidRDefault="00AE323A" w:rsidP="00AE323A">
            <w:pPr>
              <w:spacing w:after="0" w:line="240" w:lineRule="auto"/>
              <w:rPr>
                <w:rFonts w:asciiTheme="minorHAnsi" w:hAnsiTheme="minorHAnsi" w:cs="Arial"/>
                <w:color w:val="04326C"/>
                <w:sz w:val="20"/>
              </w:rPr>
            </w:pPr>
            <w:r>
              <w:rPr>
                <w:rFonts w:asciiTheme="minorHAnsi" w:hAnsiTheme="minorHAnsi" w:cs="Arial"/>
                <w:color w:val="04326C"/>
                <w:sz w:val="20"/>
              </w:rPr>
              <w:t xml:space="preserve">A. </w:t>
            </w:r>
            <w:r w:rsidR="00CD2CCD">
              <w:rPr>
                <w:rFonts w:asciiTheme="minorHAnsi" w:hAnsiTheme="minorHAnsi" w:cs="Arial"/>
                <w:color w:val="04326C"/>
                <w:sz w:val="20"/>
              </w:rPr>
              <w:t>Common transition practices by all Adult School counselors;</w:t>
            </w:r>
          </w:p>
          <w:p w14:paraId="0E019BF5" w14:textId="27691F5F" w:rsidR="00AE323A" w:rsidRPr="00FB3718" w:rsidRDefault="00AE323A" w:rsidP="00AE323A">
            <w:pPr>
              <w:spacing w:after="0" w:line="240" w:lineRule="auto"/>
              <w:rPr>
                <w:rFonts w:ascii="Calibri" w:hAnsi="Calibri" w:cs="Arial"/>
                <w:color w:val="1F3864" w:themeColor="accent1" w:themeShade="80"/>
                <w:sz w:val="20"/>
                <w:szCs w:val="20"/>
              </w:rPr>
            </w:pPr>
            <w:r>
              <w:rPr>
                <w:rFonts w:asciiTheme="minorHAnsi" w:hAnsiTheme="minorHAnsi" w:cs="Arial"/>
                <w:color w:val="04326C"/>
                <w:sz w:val="20"/>
              </w:rPr>
              <w:t>B.  Pilot Bridge Classes which are co-taught by university and adult school i</w:t>
            </w:r>
            <w:r w:rsidRPr="00FB3718">
              <w:rPr>
                <w:rFonts w:ascii="Calibri" w:hAnsi="Calibri" w:cs="Arial"/>
                <w:color w:val="1F3864" w:themeColor="accent1" w:themeShade="80"/>
                <w:sz w:val="20"/>
                <w:szCs w:val="20"/>
              </w:rPr>
              <w:t>nstructors;</w:t>
            </w:r>
          </w:p>
          <w:p w14:paraId="27659592" w14:textId="6F9EAC8B" w:rsidR="00CD2CCD" w:rsidRDefault="00AE323A" w:rsidP="00FB3718">
            <w:pPr>
              <w:rPr>
                <w:rFonts w:ascii="Calibri" w:eastAsia="Times New Roman" w:hAnsi="Calibri" w:cs="Arial"/>
                <w:color w:val="1F3864" w:themeColor="accent1" w:themeShade="80"/>
                <w:sz w:val="20"/>
                <w:szCs w:val="20"/>
              </w:rPr>
            </w:pPr>
            <w:r w:rsidRPr="00FB3718">
              <w:rPr>
                <w:rFonts w:ascii="Calibri" w:hAnsi="Calibri" w:cs="Arial"/>
                <w:color w:val="1F3864" w:themeColor="accent1" w:themeShade="80"/>
                <w:sz w:val="20"/>
                <w:szCs w:val="20"/>
              </w:rPr>
              <w:t>C.</w:t>
            </w:r>
            <w:r w:rsidR="00FB3718" w:rsidRPr="00FB3718">
              <w:rPr>
                <w:rFonts w:ascii="Calibri" w:hAnsi="Calibri" w:cs="Arial"/>
                <w:color w:val="1F3864" w:themeColor="accent1" w:themeShade="80"/>
                <w:sz w:val="20"/>
                <w:szCs w:val="20"/>
              </w:rPr>
              <w:t xml:space="preserve"> </w:t>
            </w:r>
            <w:r w:rsidR="00FB3718" w:rsidRPr="00FB3718">
              <w:rPr>
                <w:rFonts w:ascii="Calibri" w:eastAsia="Times New Roman" w:hAnsi="Calibri" w:cs="Arial"/>
                <w:color w:val="1F3864" w:themeColor="accent1" w:themeShade="80"/>
                <w:sz w:val="20"/>
                <w:szCs w:val="20"/>
              </w:rPr>
              <w:t>Annual outreach and ongoing activities plan formalized</w:t>
            </w:r>
            <w:r w:rsidR="00FB3718">
              <w:rPr>
                <w:rFonts w:ascii="Calibri" w:eastAsia="Times New Roman" w:hAnsi="Calibri" w:cs="Arial"/>
                <w:color w:val="1F3864" w:themeColor="accent1" w:themeShade="80"/>
                <w:sz w:val="20"/>
                <w:szCs w:val="20"/>
              </w:rPr>
              <w:t>;</w:t>
            </w:r>
          </w:p>
          <w:p w14:paraId="42C6E2EF" w14:textId="77777777" w:rsidR="00A232D5" w:rsidRDefault="00424F19" w:rsidP="00FB3718">
            <w:pPr>
              <w:rPr>
                <w:rFonts w:ascii="Calibri" w:eastAsia="Times New Roman" w:hAnsi="Calibri" w:cs="Arial"/>
                <w:color w:val="1F3864" w:themeColor="accent1" w:themeShade="80"/>
                <w:sz w:val="20"/>
                <w:szCs w:val="20"/>
              </w:rPr>
            </w:pPr>
            <w:r>
              <w:rPr>
                <w:rFonts w:ascii="Calibri" w:eastAsia="Times New Roman" w:hAnsi="Calibri" w:cs="Arial"/>
                <w:color w:val="1F3864" w:themeColor="accent1" w:themeShade="80"/>
                <w:sz w:val="20"/>
                <w:szCs w:val="20"/>
              </w:rPr>
              <w:t>D.  A published info-graphic of transition options, pathways, programs, contact information, etc.</w:t>
            </w:r>
          </w:p>
          <w:p w14:paraId="491AB6FC" w14:textId="6F4701A2" w:rsidR="00424F19" w:rsidRDefault="00A232D5" w:rsidP="00FB3718">
            <w:pPr>
              <w:rPr>
                <w:rFonts w:ascii="Calibri" w:eastAsia="Times New Roman" w:hAnsi="Calibri" w:cs="Arial"/>
                <w:color w:val="1F3864" w:themeColor="accent1" w:themeShade="80"/>
                <w:sz w:val="20"/>
                <w:szCs w:val="20"/>
              </w:rPr>
            </w:pPr>
            <w:r>
              <w:rPr>
                <w:rFonts w:asciiTheme="minorHAnsi" w:hAnsiTheme="minorHAnsi" w:cs="Arial"/>
                <w:color w:val="04326C"/>
                <w:sz w:val="20"/>
              </w:rPr>
              <w:t>E. Ongoing data delivery to Workgroups to support goal achievement;</w:t>
            </w:r>
            <w:r w:rsidR="00424F19">
              <w:rPr>
                <w:rFonts w:ascii="Calibri" w:eastAsia="Times New Roman" w:hAnsi="Calibri" w:cs="Arial"/>
                <w:color w:val="1F3864" w:themeColor="accent1" w:themeShade="80"/>
                <w:sz w:val="20"/>
                <w:szCs w:val="20"/>
              </w:rPr>
              <w:t xml:space="preserve"> </w:t>
            </w:r>
          </w:p>
          <w:p w14:paraId="370371EC" w14:textId="77777777" w:rsidR="00424F19" w:rsidRDefault="00424F19" w:rsidP="00424F19">
            <w:pPr>
              <w:rPr>
                <w:rFonts w:ascii="Calibri" w:eastAsia="Times New Roman" w:hAnsi="Calibri" w:cs="Arial"/>
                <w:color w:val="1F3864" w:themeColor="accent1" w:themeShade="80"/>
                <w:sz w:val="20"/>
                <w:szCs w:val="20"/>
              </w:rPr>
            </w:pPr>
          </w:p>
          <w:p w14:paraId="0802F9FD" w14:textId="77777777" w:rsidR="00CD2CCD" w:rsidRPr="00CD2CCD" w:rsidRDefault="00CD2CCD" w:rsidP="00FB3718">
            <w:pPr>
              <w:rPr>
                <w:rFonts w:ascii="Calibri" w:eastAsia="Times New Roman" w:hAnsi="Calibri" w:cs="Arial"/>
                <w:color w:val="1F3864" w:themeColor="accent1" w:themeShade="80"/>
                <w:sz w:val="20"/>
                <w:szCs w:val="20"/>
              </w:rPr>
            </w:pPr>
          </w:p>
          <w:p w14:paraId="35100820" w14:textId="58D45A33" w:rsidR="00AE323A" w:rsidRPr="00AE323A" w:rsidRDefault="00AE323A" w:rsidP="00AE323A">
            <w:pPr>
              <w:spacing w:after="0" w:line="240" w:lineRule="auto"/>
              <w:rPr>
                <w:rFonts w:asciiTheme="minorHAnsi" w:hAnsiTheme="minorHAnsi" w:cs="Arial"/>
                <w:color w:val="04326C"/>
                <w:sz w:val="20"/>
              </w:rPr>
            </w:pPr>
          </w:p>
          <w:p w14:paraId="24807E35" w14:textId="560C109B" w:rsidR="006A2BDB" w:rsidRPr="00AE323A" w:rsidRDefault="006A2BDB" w:rsidP="00AE323A">
            <w:pPr>
              <w:spacing w:after="0" w:line="240" w:lineRule="auto"/>
              <w:ind w:left="360"/>
              <w:rPr>
                <w:rFonts w:ascii="Arial" w:eastAsia="Times New Roman" w:hAnsi="Arial"/>
                <w:i/>
                <w:iCs/>
                <w:color w:val="757171"/>
                <w:sz w:val="12"/>
                <w:szCs w:val="12"/>
              </w:rPr>
            </w:pPr>
          </w:p>
        </w:tc>
        <w:tc>
          <w:tcPr>
            <w:tcW w:w="2422" w:type="dxa"/>
            <w:shd w:val="clear" w:color="auto" w:fill="auto"/>
          </w:tcPr>
          <w:p w14:paraId="6407A29B" w14:textId="77777777" w:rsidR="004978C3" w:rsidRDefault="006A2BDB"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1.  </w:t>
            </w:r>
            <w:r w:rsidR="00CD2CCD" w:rsidRPr="00AE323A">
              <w:rPr>
                <w:rFonts w:asciiTheme="minorHAnsi" w:hAnsiTheme="minorHAnsi" w:cs="Arial"/>
                <w:color w:val="04326C"/>
                <w:sz w:val="20"/>
              </w:rPr>
              <w:t>Increased total numbers of students placed into FH-D</w:t>
            </w:r>
            <w:r w:rsidR="00CD2CCD">
              <w:rPr>
                <w:rFonts w:asciiTheme="minorHAnsi" w:hAnsiTheme="minorHAnsi" w:cs="Arial"/>
                <w:color w:val="04326C"/>
                <w:sz w:val="20"/>
              </w:rPr>
              <w:t>A by the Adult Schools;</w:t>
            </w:r>
          </w:p>
          <w:p w14:paraId="51998CCD" w14:textId="69CE38CA" w:rsidR="00CD2CCD" w:rsidRDefault="00CD2CCD"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2.  </w:t>
            </w:r>
            <w:r w:rsidR="00894F14">
              <w:rPr>
                <w:rFonts w:asciiTheme="minorHAnsi" w:hAnsiTheme="minorHAnsi" w:cs="Arial"/>
                <w:color w:val="04326C"/>
                <w:sz w:val="20"/>
              </w:rPr>
              <w:t>A resource data-base for support services published and shared as well as staff training on the materials;</w:t>
            </w:r>
          </w:p>
          <w:p w14:paraId="728C23B9" w14:textId="720B566A" w:rsidR="00894F14" w:rsidRDefault="00894F14" w:rsidP="004978C3">
            <w:pPr>
              <w:spacing w:after="0" w:line="240" w:lineRule="auto"/>
              <w:rPr>
                <w:rFonts w:asciiTheme="minorHAnsi" w:hAnsiTheme="minorHAnsi" w:cs="Arial"/>
                <w:color w:val="04326C"/>
                <w:sz w:val="20"/>
              </w:rPr>
            </w:pPr>
            <w:r>
              <w:rPr>
                <w:rFonts w:asciiTheme="minorHAnsi" w:hAnsiTheme="minorHAnsi" w:cs="Arial"/>
                <w:color w:val="04326C"/>
                <w:sz w:val="20"/>
              </w:rPr>
              <w:t>3. Fee-waivers for Adult School students co-enrolled in CC classes;</w:t>
            </w:r>
          </w:p>
          <w:p w14:paraId="32760770" w14:textId="350DC09F" w:rsidR="00EF495D" w:rsidRDefault="00EF495D"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4.  </w:t>
            </w:r>
            <w:r w:rsidR="000D431D">
              <w:rPr>
                <w:rFonts w:asciiTheme="minorHAnsi" w:hAnsiTheme="minorHAnsi" w:cs="Arial"/>
                <w:color w:val="04326C"/>
                <w:sz w:val="20"/>
              </w:rPr>
              <w:t>Co-developed m</w:t>
            </w:r>
            <w:r>
              <w:rPr>
                <w:rFonts w:asciiTheme="minorHAnsi" w:hAnsiTheme="minorHAnsi" w:cs="Arial"/>
                <w:color w:val="04326C"/>
                <w:sz w:val="20"/>
              </w:rPr>
              <w:t>ultiple measures identified</w:t>
            </w:r>
            <w:r w:rsidR="000D431D">
              <w:rPr>
                <w:rFonts w:asciiTheme="minorHAnsi" w:hAnsiTheme="minorHAnsi" w:cs="Arial"/>
                <w:color w:val="04326C"/>
                <w:sz w:val="20"/>
              </w:rPr>
              <w:t xml:space="preserve"> and implemented for placement from AS to CC in non-credit;</w:t>
            </w:r>
          </w:p>
          <w:p w14:paraId="6BA35373" w14:textId="6062AA4F" w:rsidR="000D431D" w:rsidRDefault="000D431D"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5.  Non-credit course options at DeAnza college for ESL AS student </w:t>
            </w:r>
            <w:r w:rsidR="00FA6367">
              <w:rPr>
                <w:rFonts w:asciiTheme="minorHAnsi" w:hAnsiTheme="minorHAnsi" w:cs="Arial"/>
                <w:color w:val="04326C"/>
                <w:sz w:val="20"/>
              </w:rPr>
              <w:t xml:space="preserve">to </w:t>
            </w:r>
            <w:r w:rsidR="00226CD1">
              <w:rPr>
                <w:rFonts w:asciiTheme="minorHAnsi" w:hAnsiTheme="minorHAnsi" w:cs="Arial"/>
                <w:color w:val="04326C"/>
                <w:sz w:val="20"/>
              </w:rPr>
              <w:t>transition</w:t>
            </w:r>
            <w:r w:rsidR="00FA6367">
              <w:rPr>
                <w:rFonts w:asciiTheme="minorHAnsi" w:hAnsiTheme="minorHAnsi" w:cs="Arial"/>
                <w:color w:val="04326C"/>
                <w:sz w:val="20"/>
              </w:rPr>
              <w:t xml:space="preserve"> into</w:t>
            </w:r>
            <w:r w:rsidR="00226CD1">
              <w:rPr>
                <w:rFonts w:asciiTheme="minorHAnsi" w:hAnsiTheme="minorHAnsi" w:cs="Arial"/>
                <w:color w:val="04326C"/>
                <w:sz w:val="20"/>
              </w:rPr>
              <w:t>;</w:t>
            </w:r>
          </w:p>
          <w:p w14:paraId="23DAFB12" w14:textId="5F10ADC1" w:rsidR="00226CD1" w:rsidRDefault="00226CD1"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 </w:t>
            </w:r>
          </w:p>
          <w:p w14:paraId="707685DA" w14:textId="330DD9D8" w:rsidR="00CD2CCD" w:rsidRPr="00D95331" w:rsidRDefault="00CD2CCD" w:rsidP="004978C3">
            <w:pPr>
              <w:spacing w:after="0" w:line="240" w:lineRule="auto"/>
              <w:rPr>
                <w:rFonts w:ascii="Arial" w:eastAsia="Times New Roman" w:hAnsi="Arial" w:cs="Arial"/>
                <w:i/>
                <w:iCs/>
                <w:color w:val="757171"/>
                <w:sz w:val="12"/>
                <w:szCs w:val="12"/>
              </w:rPr>
            </w:pPr>
          </w:p>
        </w:tc>
        <w:tc>
          <w:tcPr>
            <w:tcW w:w="2422" w:type="dxa"/>
            <w:shd w:val="clear" w:color="auto" w:fill="auto"/>
          </w:tcPr>
          <w:p w14:paraId="171D6D7C" w14:textId="4461D110" w:rsidR="004978C3" w:rsidRDefault="00AE323A" w:rsidP="004978C3">
            <w:pPr>
              <w:spacing w:after="0" w:line="240" w:lineRule="auto"/>
              <w:rPr>
                <w:rFonts w:asciiTheme="minorHAnsi" w:hAnsiTheme="minorHAnsi" w:cs="Arial"/>
                <w:color w:val="04326C"/>
                <w:sz w:val="20"/>
              </w:rPr>
            </w:pPr>
            <w:r>
              <w:rPr>
                <w:rFonts w:asciiTheme="minorHAnsi" w:hAnsiTheme="minorHAnsi" w:cs="Arial"/>
                <w:color w:val="04326C"/>
                <w:sz w:val="20"/>
              </w:rPr>
              <w:t>A.  A shared Guided Pathways Mod</w:t>
            </w:r>
            <w:r w:rsidR="00257B61">
              <w:rPr>
                <w:rFonts w:asciiTheme="minorHAnsi" w:hAnsiTheme="minorHAnsi" w:cs="Arial"/>
                <w:color w:val="04326C"/>
                <w:sz w:val="20"/>
              </w:rPr>
              <w:t>el that integrates Adult School</w:t>
            </w:r>
            <w:r>
              <w:rPr>
                <w:rFonts w:asciiTheme="minorHAnsi" w:hAnsiTheme="minorHAnsi" w:cs="Arial"/>
                <w:color w:val="04326C"/>
                <w:sz w:val="20"/>
              </w:rPr>
              <w:t xml:space="preserve"> placement and advising;</w:t>
            </w:r>
          </w:p>
          <w:p w14:paraId="3E08E628" w14:textId="5239B23B" w:rsidR="000D431D" w:rsidRDefault="000D431D" w:rsidP="004978C3">
            <w:pPr>
              <w:spacing w:after="0" w:line="240" w:lineRule="auto"/>
              <w:rPr>
                <w:rFonts w:asciiTheme="minorHAnsi" w:hAnsiTheme="minorHAnsi" w:cs="Arial"/>
                <w:color w:val="04326C"/>
                <w:sz w:val="20"/>
              </w:rPr>
            </w:pPr>
            <w:r>
              <w:rPr>
                <w:rFonts w:asciiTheme="minorHAnsi" w:hAnsiTheme="minorHAnsi" w:cs="Arial"/>
                <w:color w:val="04326C"/>
                <w:sz w:val="20"/>
              </w:rPr>
              <w:t>B.  Alignment of AS classes and curriculum with CC non-credit courses for seamless transition &amp; warm handoff;</w:t>
            </w:r>
          </w:p>
          <w:p w14:paraId="1DE6BDFA" w14:textId="138C4559" w:rsidR="00FA6367" w:rsidRDefault="00FA6367"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C.  </w:t>
            </w:r>
            <w:r w:rsidR="00257B61">
              <w:rPr>
                <w:rFonts w:asciiTheme="minorHAnsi" w:hAnsiTheme="minorHAnsi" w:cs="Arial"/>
                <w:color w:val="04326C"/>
                <w:sz w:val="20"/>
              </w:rPr>
              <w:t>Increase the number of t</w:t>
            </w:r>
            <w:r>
              <w:rPr>
                <w:rFonts w:asciiTheme="minorHAnsi" w:hAnsiTheme="minorHAnsi" w:cs="Arial"/>
                <w:color w:val="04326C"/>
                <w:sz w:val="20"/>
              </w:rPr>
              <w:t>ransition</w:t>
            </w:r>
            <w:r w:rsidR="00257B61">
              <w:rPr>
                <w:rFonts w:asciiTheme="minorHAnsi" w:hAnsiTheme="minorHAnsi" w:cs="Arial"/>
                <w:color w:val="04326C"/>
                <w:sz w:val="20"/>
              </w:rPr>
              <w:t xml:space="preserve">ed </w:t>
            </w:r>
            <w:r>
              <w:rPr>
                <w:rFonts w:asciiTheme="minorHAnsi" w:hAnsiTheme="minorHAnsi" w:cs="Arial"/>
                <w:color w:val="04326C"/>
                <w:sz w:val="20"/>
              </w:rPr>
              <w:t xml:space="preserve">ESL non-credit students </w:t>
            </w:r>
            <w:r w:rsidR="00257B61">
              <w:rPr>
                <w:rFonts w:asciiTheme="minorHAnsi" w:hAnsiTheme="minorHAnsi" w:cs="Arial"/>
                <w:color w:val="04326C"/>
                <w:sz w:val="20"/>
              </w:rPr>
              <w:t xml:space="preserve">in proportionate amounts </w:t>
            </w:r>
            <w:r>
              <w:rPr>
                <w:rFonts w:asciiTheme="minorHAnsi" w:hAnsiTheme="minorHAnsi" w:cs="Arial"/>
                <w:color w:val="04326C"/>
                <w:sz w:val="20"/>
              </w:rPr>
              <w:t>to both DeAnza and Foothill Colleges.</w:t>
            </w:r>
          </w:p>
          <w:p w14:paraId="0A776158" w14:textId="77777777" w:rsidR="000D431D" w:rsidRDefault="000D431D" w:rsidP="004978C3">
            <w:pPr>
              <w:spacing w:after="0" w:line="240" w:lineRule="auto"/>
              <w:rPr>
                <w:rFonts w:asciiTheme="minorHAnsi" w:hAnsiTheme="minorHAnsi" w:cs="Arial"/>
                <w:color w:val="04326C"/>
                <w:sz w:val="20"/>
              </w:rPr>
            </w:pPr>
          </w:p>
          <w:p w14:paraId="0DF9EACB" w14:textId="6E67A576" w:rsidR="000D431D" w:rsidRPr="00D95331" w:rsidRDefault="000D431D" w:rsidP="004978C3">
            <w:pPr>
              <w:spacing w:after="0" w:line="240" w:lineRule="auto"/>
              <w:rPr>
                <w:rFonts w:ascii="Arial" w:eastAsia="Times New Roman" w:hAnsi="Arial" w:cs="Arial"/>
                <w:i/>
                <w:iCs/>
                <w:color w:val="757171"/>
                <w:sz w:val="12"/>
                <w:szCs w:val="12"/>
              </w:rPr>
            </w:pPr>
          </w:p>
        </w:tc>
      </w:tr>
    </w:tbl>
    <w:p w14:paraId="5FD3980F" w14:textId="0AB9403C" w:rsidR="00DF5980" w:rsidRPr="004978C3" w:rsidRDefault="00DF5980" w:rsidP="004978C3">
      <w:pPr>
        <w:spacing w:after="0" w:line="240" w:lineRule="auto"/>
        <w:rPr>
          <w:rFonts w:ascii="Avenir Roman" w:hAnsi="Avenir Roman"/>
          <w:sz w:val="4"/>
        </w:rPr>
      </w:pPr>
    </w:p>
    <w:tbl>
      <w:tblPr>
        <w:tblW w:w="5000" w:type="pct"/>
        <w:tblInd w:w="-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8" w:type="dxa"/>
          <w:left w:w="58" w:type="dxa"/>
          <w:bottom w:w="58" w:type="dxa"/>
          <w:right w:w="58" w:type="dxa"/>
        </w:tblCellMar>
        <w:tblLook w:val="04A0" w:firstRow="1" w:lastRow="0" w:firstColumn="1" w:lastColumn="0" w:noHBand="0" w:noVBand="1"/>
      </w:tblPr>
      <w:tblGrid>
        <w:gridCol w:w="7259"/>
        <w:gridCol w:w="7257"/>
      </w:tblGrid>
      <w:tr w:rsidR="004978C3" w:rsidRPr="004978C3" w14:paraId="5CB0277B" w14:textId="77777777" w:rsidTr="004978C3">
        <w:trPr>
          <w:tblHeader/>
        </w:trPr>
        <w:tc>
          <w:tcPr>
            <w:tcW w:w="7193" w:type="dxa"/>
            <w:shd w:val="clear" w:color="000000" w:fill="808080"/>
            <w:noWrap/>
            <w:vAlign w:val="center"/>
          </w:tcPr>
          <w:p w14:paraId="1BBA34F5" w14:textId="44FC5DE9" w:rsidR="004978C3" w:rsidRPr="004978C3" w:rsidRDefault="004978C3" w:rsidP="004978C3">
            <w:pPr>
              <w:spacing w:after="0" w:line="240" w:lineRule="auto"/>
              <w:jc w:val="center"/>
              <w:rPr>
                <w:rFonts w:ascii="Avenir Roman" w:eastAsia="Times New Roman" w:hAnsi="Avenir Roman" w:cs="Arial"/>
                <w:b/>
                <w:bCs/>
                <w:color w:val="FFFFFF"/>
                <w:sz w:val="18"/>
                <w:szCs w:val="18"/>
              </w:rPr>
            </w:pPr>
            <w:r w:rsidRPr="004978C3">
              <w:rPr>
                <w:rFonts w:ascii="Avenir Roman" w:eastAsia="Times New Roman" w:hAnsi="Avenir Roman" w:cs="Arial"/>
                <w:b/>
                <w:bCs/>
                <w:color w:val="FFFFFF"/>
                <w:sz w:val="18"/>
                <w:szCs w:val="18"/>
              </w:rPr>
              <w:t>Assumptions</w:t>
            </w:r>
          </w:p>
        </w:tc>
        <w:tc>
          <w:tcPr>
            <w:tcW w:w="7191" w:type="dxa"/>
            <w:shd w:val="clear" w:color="000000" w:fill="808080"/>
            <w:noWrap/>
            <w:vAlign w:val="center"/>
          </w:tcPr>
          <w:p w14:paraId="518E5718" w14:textId="09EDE353" w:rsidR="004978C3" w:rsidRPr="004978C3" w:rsidRDefault="004978C3" w:rsidP="004978C3">
            <w:pPr>
              <w:spacing w:after="0" w:line="240" w:lineRule="auto"/>
              <w:jc w:val="center"/>
              <w:rPr>
                <w:rFonts w:ascii="Avenir Roman" w:eastAsia="Times New Roman" w:hAnsi="Avenir Roman" w:cs="Arial"/>
                <w:b/>
                <w:bCs/>
                <w:color w:val="FFFFFF"/>
                <w:sz w:val="18"/>
                <w:szCs w:val="18"/>
              </w:rPr>
            </w:pPr>
            <w:r w:rsidRPr="004978C3">
              <w:rPr>
                <w:rFonts w:ascii="Avenir Roman" w:eastAsia="Times New Roman" w:hAnsi="Avenir Roman" w:cs="Arial"/>
                <w:b/>
                <w:bCs/>
                <w:color w:val="FFFFFF"/>
                <w:sz w:val="18"/>
                <w:szCs w:val="18"/>
              </w:rPr>
              <w:t>External Factors</w:t>
            </w:r>
          </w:p>
        </w:tc>
      </w:tr>
      <w:tr w:rsidR="004978C3" w:rsidRPr="003E38F4" w14:paraId="4796B187" w14:textId="77777777" w:rsidTr="004978C3">
        <w:trPr>
          <w:trHeight w:val="1889"/>
        </w:trPr>
        <w:tc>
          <w:tcPr>
            <w:tcW w:w="7193" w:type="dxa"/>
            <w:shd w:val="clear" w:color="auto" w:fill="auto"/>
            <w:noWrap/>
            <w:hideMark/>
          </w:tcPr>
          <w:p w14:paraId="30DEE423" w14:textId="00202BD6" w:rsidR="004978C3" w:rsidRDefault="00C7558E" w:rsidP="004978C3">
            <w:pPr>
              <w:spacing w:after="0" w:line="240" w:lineRule="auto"/>
              <w:rPr>
                <w:rFonts w:asciiTheme="minorHAnsi" w:hAnsiTheme="minorHAnsi" w:cs="Arial"/>
                <w:color w:val="04326C"/>
                <w:sz w:val="20"/>
              </w:rPr>
            </w:pPr>
            <w:r>
              <w:rPr>
                <w:rFonts w:asciiTheme="minorHAnsi" w:hAnsiTheme="minorHAnsi" w:cs="Arial"/>
                <w:color w:val="04326C"/>
                <w:sz w:val="20"/>
              </w:rPr>
              <w:lastRenderedPageBreak/>
              <w:t>• By analyzing successful students and surveying current students, additional information about needs and goals will help analyze our systems of support;</w:t>
            </w:r>
          </w:p>
          <w:p w14:paraId="675F2BDB" w14:textId="77777777" w:rsidR="00C7558E" w:rsidRDefault="00C7558E" w:rsidP="00C7558E">
            <w:pPr>
              <w:spacing w:after="0" w:line="240" w:lineRule="auto"/>
              <w:rPr>
                <w:rFonts w:asciiTheme="minorHAnsi" w:hAnsiTheme="minorHAnsi" w:cs="Arial"/>
                <w:color w:val="04326C"/>
                <w:sz w:val="20"/>
              </w:rPr>
            </w:pPr>
            <w:r>
              <w:rPr>
                <w:rFonts w:asciiTheme="minorHAnsi" w:hAnsiTheme="minorHAnsi" w:cs="Arial"/>
                <w:color w:val="04326C"/>
                <w:sz w:val="20"/>
              </w:rPr>
              <w:t>• By expanding member leadership and providing coaching support, the Leadership Board can shift into a guidance role—something requested by Work Groups and desired by the Leadership Board.</w:t>
            </w:r>
          </w:p>
          <w:p w14:paraId="0A33CBDA" w14:textId="77777777" w:rsidR="00C7558E" w:rsidRDefault="00C7558E" w:rsidP="00C7558E">
            <w:pPr>
              <w:spacing w:after="0" w:line="240" w:lineRule="auto"/>
              <w:rPr>
                <w:rFonts w:asciiTheme="minorHAnsi" w:hAnsiTheme="minorHAnsi" w:cs="Arial"/>
                <w:color w:val="04326C"/>
                <w:sz w:val="20"/>
              </w:rPr>
            </w:pPr>
            <w:r>
              <w:rPr>
                <w:rFonts w:asciiTheme="minorHAnsi" w:hAnsiTheme="minorHAnsi" w:cs="Arial"/>
                <w:color w:val="04326C"/>
                <w:sz w:val="20"/>
              </w:rPr>
              <w:t xml:space="preserve">• By utilizing SMART Goals consortium-wide, clarity of action and consistency of practice as well as accountability deliverables will be improved.  </w:t>
            </w:r>
          </w:p>
          <w:p w14:paraId="2334015B" w14:textId="77777777" w:rsidR="00C7558E" w:rsidRDefault="00C7558E" w:rsidP="00C7558E">
            <w:pPr>
              <w:spacing w:after="0" w:line="240" w:lineRule="auto"/>
              <w:rPr>
                <w:rFonts w:asciiTheme="minorHAnsi" w:hAnsiTheme="minorHAnsi" w:cs="Arial"/>
                <w:color w:val="04326C"/>
                <w:sz w:val="20"/>
              </w:rPr>
            </w:pPr>
            <w:r>
              <w:rPr>
                <w:rFonts w:asciiTheme="minorHAnsi" w:hAnsiTheme="minorHAnsi" w:cs="Arial"/>
                <w:color w:val="04326C"/>
                <w:sz w:val="20"/>
              </w:rPr>
              <w:t xml:space="preserve">• Sharing “drilled down” data consortium-wide will improve practice and meet greater student need. </w:t>
            </w:r>
          </w:p>
          <w:p w14:paraId="109D7FF3" w14:textId="7FBEE60E" w:rsidR="0017319E" w:rsidRPr="003E38F4" w:rsidRDefault="0017319E" w:rsidP="00C7558E">
            <w:pPr>
              <w:spacing w:after="0" w:line="240" w:lineRule="auto"/>
              <w:rPr>
                <w:rFonts w:ascii="Arial" w:eastAsia="Times New Roman" w:hAnsi="Arial" w:cs="Arial"/>
                <w:color w:val="000000"/>
                <w:sz w:val="20"/>
                <w:szCs w:val="20"/>
              </w:rPr>
            </w:pPr>
            <w:r>
              <w:rPr>
                <w:rFonts w:asciiTheme="minorHAnsi" w:hAnsiTheme="minorHAnsi" w:cs="Arial"/>
                <w:color w:val="04326C"/>
                <w:sz w:val="20"/>
              </w:rPr>
              <w:t>•  Guided Pathways will be an ongoing program for the next 5+ years and that inter-agency articulation and alignment is possible.</w:t>
            </w:r>
          </w:p>
        </w:tc>
        <w:tc>
          <w:tcPr>
            <w:tcW w:w="7191" w:type="dxa"/>
            <w:shd w:val="clear" w:color="auto" w:fill="auto"/>
            <w:noWrap/>
            <w:hideMark/>
          </w:tcPr>
          <w:p w14:paraId="37B7DFA2" w14:textId="598CA27E" w:rsidR="004978C3" w:rsidRDefault="00C7558E" w:rsidP="004978C3">
            <w:pPr>
              <w:spacing w:after="0" w:line="240" w:lineRule="auto"/>
              <w:rPr>
                <w:rFonts w:asciiTheme="minorHAnsi" w:hAnsiTheme="minorHAnsi" w:cs="Arial"/>
                <w:color w:val="04326C"/>
                <w:sz w:val="20"/>
              </w:rPr>
            </w:pPr>
            <w:r>
              <w:rPr>
                <w:rFonts w:asciiTheme="minorHAnsi" w:hAnsiTheme="minorHAnsi" w:cs="Arial"/>
                <w:color w:val="04326C"/>
                <w:sz w:val="20"/>
              </w:rPr>
              <w:t xml:space="preserve">• Co-Enrollment </w:t>
            </w:r>
            <w:r w:rsidR="0017319E">
              <w:rPr>
                <w:rFonts w:asciiTheme="minorHAnsi" w:hAnsiTheme="minorHAnsi" w:cs="Arial"/>
                <w:color w:val="04326C"/>
                <w:sz w:val="20"/>
              </w:rPr>
              <w:t>fee-</w:t>
            </w:r>
            <w:r>
              <w:rPr>
                <w:rFonts w:asciiTheme="minorHAnsi" w:hAnsiTheme="minorHAnsi" w:cs="Arial"/>
                <w:color w:val="04326C"/>
                <w:sz w:val="20"/>
              </w:rPr>
              <w:t>waivers for adult school students is not currently available.  Changing community college policy to all mirrored K-12 co-enrollment policies is needed.</w:t>
            </w:r>
          </w:p>
          <w:p w14:paraId="07223D4F" w14:textId="2BA33358" w:rsidR="00C7558E" w:rsidRPr="003E38F4" w:rsidRDefault="00C7558E" w:rsidP="004978C3">
            <w:pPr>
              <w:spacing w:after="0" w:line="240" w:lineRule="auto"/>
              <w:rPr>
                <w:rFonts w:ascii="Arial" w:eastAsia="Times New Roman" w:hAnsi="Arial" w:cs="Arial"/>
                <w:color w:val="000000"/>
                <w:sz w:val="20"/>
                <w:szCs w:val="20"/>
              </w:rPr>
            </w:pPr>
            <w:r>
              <w:rPr>
                <w:rFonts w:asciiTheme="minorHAnsi" w:hAnsiTheme="minorHAnsi" w:cs="Arial"/>
                <w:color w:val="04326C"/>
                <w:sz w:val="20"/>
              </w:rPr>
              <w:t>• Current state data is limited in specific student-trends within our Consortium; an ongoing, in-house Data Dashboard is needed.</w:t>
            </w:r>
          </w:p>
        </w:tc>
      </w:tr>
    </w:tbl>
    <w:p w14:paraId="31368C1D" w14:textId="1661F508" w:rsidR="00C444D1" w:rsidRPr="00C444D1" w:rsidRDefault="00C444D1" w:rsidP="00C444D1">
      <w:pPr>
        <w:sectPr w:rsidR="00C444D1" w:rsidRPr="00C444D1" w:rsidSect="00C444D1">
          <w:pgSz w:w="15840" w:h="12240" w:orient="landscape"/>
          <w:pgMar w:top="720" w:right="720" w:bottom="720" w:left="720" w:header="720" w:footer="720" w:gutter="0"/>
          <w:cols w:space="720"/>
          <w:docGrid w:linePitch="299"/>
        </w:sectPr>
      </w:pPr>
      <w:bookmarkStart w:id="21" w:name="_qxvgy0xvwzr0" w:colFirst="0" w:colLast="0"/>
      <w:bookmarkEnd w:id="21"/>
    </w:p>
    <w:p w14:paraId="0639774A" w14:textId="100F26AB" w:rsidR="00600745" w:rsidRPr="007C5BD1" w:rsidRDefault="001C1EEB" w:rsidP="00C94148">
      <w:pPr>
        <w:pStyle w:val="Heading3"/>
      </w:pPr>
      <w:bookmarkStart w:id="22" w:name="_Toc527969660"/>
      <w:r>
        <w:lastRenderedPageBreak/>
        <w:t xml:space="preserve">Table 3. </w:t>
      </w:r>
      <w:r w:rsidR="00BA6C2C" w:rsidRPr="00BA6C2C">
        <w:t>Progress Indicators</w:t>
      </w:r>
      <w:bookmarkEnd w:id="22"/>
    </w:p>
    <w:p w14:paraId="65A1F938" w14:textId="645E3F79" w:rsidR="00600745" w:rsidRPr="00976123" w:rsidRDefault="00600745" w:rsidP="00976123">
      <w:pPr>
        <w:spacing w:after="0" w:line="240" w:lineRule="auto"/>
        <w:rPr>
          <w:rFonts w:ascii="Times New Roman" w:eastAsia="Times New Roman" w:hAnsi="Times New Roman" w:cs="Times New Roman"/>
          <w:color w:val="auto"/>
          <w:sz w:val="24"/>
          <w:szCs w:val="24"/>
        </w:rPr>
      </w:pPr>
      <w:r w:rsidRPr="007C5BD1">
        <w:rPr>
          <w:rFonts w:ascii="Avenir Roman" w:eastAsia="Times New Roman" w:hAnsi="Avenir Roman" w:cs="Arial"/>
          <w:i/>
          <w:iCs/>
          <w:color w:val="757171"/>
          <w:sz w:val="20"/>
        </w:rPr>
        <w:t xml:space="preserve">Provide three to five SMART (Specific, Measurable, Attainable, Realistic, and Time-bound) objectives by which your consortium will assess progress and impact during the </w:t>
      </w:r>
      <w:r w:rsidR="008C0B4E">
        <w:rPr>
          <w:rFonts w:ascii="Avenir Roman" w:eastAsia="Times New Roman" w:hAnsi="Avenir Roman" w:cs="Arial"/>
          <w:i/>
          <w:iCs/>
          <w:color w:val="757171"/>
          <w:sz w:val="20"/>
        </w:rPr>
        <w:t xml:space="preserve">next </w:t>
      </w:r>
      <w:r w:rsidRPr="007C5BD1">
        <w:rPr>
          <w:rFonts w:ascii="Avenir Roman" w:eastAsia="Times New Roman" w:hAnsi="Avenir Roman" w:cs="Arial"/>
          <w:i/>
          <w:iCs/>
          <w:color w:val="757171"/>
          <w:sz w:val="20"/>
        </w:rPr>
        <w:t xml:space="preserve">three-year </w:t>
      </w:r>
      <w:r w:rsidR="008C0B4E">
        <w:rPr>
          <w:rFonts w:ascii="Avenir Roman" w:eastAsia="Times New Roman" w:hAnsi="Avenir Roman" w:cs="Arial"/>
          <w:i/>
          <w:iCs/>
          <w:color w:val="757171"/>
          <w:sz w:val="20"/>
        </w:rPr>
        <w:t>cycle</w:t>
      </w:r>
      <w:r w:rsidRPr="007C5BD1">
        <w:rPr>
          <w:rFonts w:ascii="Avenir Roman" w:eastAsia="Times New Roman" w:hAnsi="Avenir Roman" w:cs="Arial"/>
          <w:i/>
          <w:iCs/>
          <w:color w:val="757171"/>
          <w:sz w:val="20"/>
        </w:rPr>
        <w:t xml:space="preserve">. These objectives should map directly to your Logic Model activities, outputs, </w:t>
      </w:r>
      <w:r w:rsidR="008C0B4E">
        <w:rPr>
          <w:rFonts w:ascii="Avenir Roman" w:eastAsia="Times New Roman" w:hAnsi="Avenir Roman" w:cs="Arial"/>
          <w:i/>
          <w:iCs/>
          <w:color w:val="757171"/>
          <w:sz w:val="20"/>
        </w:rPr>
        <w:t xml:space="preserve">and / </w:t>
      </w:r>
      <w:r w:rsidRPr="007C5BD1">
        <w:rPr>
          <w:rFonts w:ascii="Avenir Roman" w:eastAsia="Times New Roman" w:hAnsi="Avenir Roman" w:cs="Arial"/>
          <w:i/>
          <w:iCs/>
          <w:color w:val="757171"/>
          <w:sz w:val="20"/>
        </w:rPr>
        <w:t>or outcomes</w:t>
      </w:r>
      <w:r w:rsidR="008C0B4E">
        <w:rPr>
          <w:rFonts w:ascii="Avenir Roman" w:eastAsia="Times New Roman" w:hAnsi="Avenir Roman" w:cs="Arial"/>
          <w:i/>
          <w:iCs/>
          <w:color w:val="757171"/>
          <w:sz w:val="20"/>
        </w:rPr>
        <w:t xml:space="preserve">, as these will be a driving factor for annual plans throughout the funding period. </w:t>
      </w:r>
      <w:r w:rsidR="00976123">
        <w:rPr>
          <w:rFonts w:ascii="Times New Roman" w:eastAsia="Times New Roman" w:hAnsi="Times New Roman" w:cs="Times New Roman"/>
          <w:color w:val="auto"/>
          <w:sz w:val="24"/>
          <w:szCs w:val="24"/>
        </w:rPr>
        <w:br/>
      </w:r>
    </w:p>
    <w:p w14:paraId="3FCB6A1E" w14:textId="79B2DD95" w:rsidR="007C5BD1" w:rsidRPr="007C5BD1" w:rsidRDefault="00600745" w:rsidP="00600745">
      <w:pPr>
        <w:rPr>
          <w:rFonts w:ascii="Avenir Roman" w:eastAsia="Times New Roman" w:hAnsi="Avenir Roman" w:cs="Arial"/>
          <w:i/>
          <w:iCs/>
          <w:color w:val="757171"/>
          <w:sz w:val="20"/>
        </w:rPr>
      </w:pPr>
      <w:r w:rsidRPr="007C5BD1">
        <w:rPr>
          <w:rFonts w:ascii="Avenir Roman" w:eastAsia="Times New Roman" w:hAnsi="Avenir Roman" w:cs="Arial"/>
          <w:i/>
          <w:iCs/>
          <w:color w:val="757171"/>
          <w:sz w:val="20"/>
          <w:u w:val="single"/>
        </w:rPr>
        <w:t>Example:</w:t>
      </w:r>
      <w:r w:rsidRPr="007C5BD1">
        <w:rPr>
          <w:rFonts w:ascii="Avenir Roman" w:eastAsia="Times New Roman" w:hAnsi="Avenir Roman" w:cs="Arial"/>
          <w:i/>
          <w:iCs/>
          <w:color w:val="757171"/>
          <w:sz w:val="20"/>
        </w:rPr>
        <w:t xml:space="preserve"> By May 2019, increase the number of agencies that have aligned CTE pathways and developed comprehensive program maps from 2 to 10.</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5"/>
        <w:gridCol w:w="8415"/>
      </w:tblGrid>
      <w:tr w:rsidR="00600745" w:rsidRPr="003711FD" w14:paraId="117A6908" w14:textId="77777777" w:rsidTr="00C94148">
        <w:tc>
          <w:tcPr>
            <w:tcW w:w="945" w:type="dxa"/>
            <w:tcBorders>
              <w:top w:val="nil"/>
              <w:left w:val="nil"/>
              <w:bottom w:val="nil"/>
              <w:right w:val="nil"/>
            </w:tcBorders>
            <w:shd w:val="clear" w:color="auto" w:fill="auto"/>
            <w:tcMar>
              <w:top w:w="100" w:type="dxa"/>
              <w:left w:w="100" w:type="dxa"/>
              <w:bottom w:w="100" w:type="dxa"/>
              <w:right w:w="100" w:type="dxa"/>
            </w:tcMar>
          </w:tcPr>
          <w:p w14:paraId="4314ABD2" w14:textId="77777777" w:rsidR="00600745" w:rsidRPr="003711FD" w:rsidRDefault="00600745" w:rsidP="00600745">
            <w:pPr>
              <w:widowControl w:val="0"/>
              <w:numPr>
                <w:ilvl w:val="0"/>
                <w:numId w:val="1"/>
              </w:numPr>
              <w:pBdr>
                <w:top w:val="nil"/>
                <w:left w:val="nil"/>
                <w:bottom w:val="nil"/>
                <w:right w:val="nil"/>
                <w:between w:val="nil"/>
              </w:pBdr>
              <w:spacing w:after="0" w:line="240" w:lineRule="auto"/>
              <w:contextualSpacing/>
              <w:jc w:val="right"/>
              <w:rPr>
                <w:rFonts w:cstheme="majorHAnsi"/>
                <w:b/>
              </w:rPr>
            </w:pPr>
          </w:p>
        </w:tc>
        <w:tc>
          <w:tcPr>
            <w:tcW w:w="8415" w:type="dxa"/>
            <w:tcBorders>
              <w:top w:val="nil"/>
              <w:left w:val="nil"/>
              <w:bottom w:val="nil"/>
              <w:right w:val="nil"/>
            </w:tcBorders>
            <w:shd w:val="clear" w:color="auto" w:fill="auto"/>
            <w:tcMar>
              <w:top w:w="100" w:type="dxa"/>
              <w:left w:w="100" w:type="dxa"/>
              <w:bottom w:w="100" w:type="dxa"/>
              <w:right w:w="100" w:type="dxa"/>
            </w:tcMar>
            <w:vAlign w:val="center"/>
          </w:tcPr>
          <w:p w14:paraId="0B10758D" w14:textId="680E9D23" w:rsidR="00600745" w:rsidRPr="002827DE" w:rsidRDefault="001D528E" w:rsidP="00D1783D">
            <w:pPr>
              <w:spacing w:after="0" w:line="240" w:lineRule="auto"/>
              <w:rPr>
                <w:rFonts w:ascii="Calibri" w:hAnsi="Calibri" w:cstheme="majorHAnsi"/>
                <w:color w:val="04326C"/>
                <w:sz w:val="24"/>
                <w:szCs w:val="24"/>
              </w:rPr>
            </w:pPr>
            <w:r w:rsidRPr="002827DE">
              <w:rPr>
                <w:rFonts w:ascii="Calibri" w:hAnsi="Calibri" w:cstheme="majorHAnsi"/>
                <w:color w:val="04326C"/>
                <w:sz w:val="24"/>
                <w:szCs w:val="24"/>
              </w:rPr>
              <w:t>By August 31</w:t>
            </w:r>
            <w:r w:rsidRPr="002827DE">
              <w:rPr>
                <w:rFonts w:ascii="Calibri" w:hAnsi="Calibri" w:cstheme="majorHAnsi"/>
                <w:color w:val="04326C"/>
                <w:sz w:val="24"/>
                <w:szCs w:val="24"/>
                <w:vertAlign w:val="superscript"/>
              </w:rPr>
              <w:t>st</w:t>
            </w:r>
            <w:r w:rsidRPr="002827DE">
              <w:rPr>
                <w:rFonts w:ascii="Calibri" w:hAnsi="Calibri" w:cstheme="majorHAnsi"/>
                <w:color w:val="04326C"/>
                <w:sz w:val="24"/>
                <w:szCs w:val="24"/>
              </w:rPr>
              <w:t xml:space="preserve">, 2019, create a resource database of local consortium program contacts and services to be used </w:t>
            </w:r>
            <w:r w:rsidR="00D1783D" w:rsidRPr="002827DE">
              <w:rPr>
                <w:rFonts w:ascii="Calibri" w:hAnsi="Calibri" w:cstheme="majorHAnsi"/>
                <w:color w:val="04326C"/>
                <w:sz w:val="24"/>
                <w:szCs w:val="24"/>
              </w:rPr>
              <w:t>for students support as well</w:t>
            </w:r>
            <w:r w:rsidRPr="002827DE">
              <w:rPr>
                <w:rFonts w:ascii="Calibri" w:hAnsi="Calibri" w:cstheme="majorHAnsi"/>
                <w:color w:val="04326C"/>
                <w:sz w:val="24"/>
                <w:szCs w:val="24"/>
              </w:rPr>
              <w:t xml:space="preserve"> a</w:t>
            </w:r>
            <w:r w:rsidR="00D1783D" w:rsidRPr="002827DE">
              <w:rPr>
                <w:rFonts w:ascii="Calibri" w:hAnsi="Calibri" w:cstheme="majorHAnsi"/>
                <w:color w:val="04326C"/>
                <w:sz w:val="24"/>
                <w:szCs w:val="24"/>
              </w:rPr>
              <w:t>s a</w:t>
            </w:r>
            <w:r w:rsidRPr="002827DE">
              <w:rPr>
                <w:rFonts w:ascii="Calibri" w:hAnsi="Calibri" w:cstheme="majorHAnsi"/>
                <w:color w:val="04326C"/>
                <w:sz w:val="24"/>
                <w:szCs w:val="24"/>
              </w:rPr>
              <w:t xml:space="preserve"> marketing tool with an info-graphic available by September 30</w:t>
            </w:r>
            <w:r w:rsidRPr="002827DE">
              <w:rPr>
                <w:rFonts w:ascii="Calibri" w:hAnsi="Calibri" w:cstheme="majorHAnsi"/>
                <w:color w:val="04326C"/>
                <w:sz w:val="24"/>
                <w:szCs w:val="24"/>
                <w:vertAlign w:val="superscript"/>
              </w:rPr>
              <w:t>th</w:t>
            </w:r>
            <w:r w:rsidRPr="002827DE">
              <w:rPr>
                <w:rFonts w:ascii="Calibri" w:hAnsi="Calibri" w:cstheme="majorHAnsi"/>
                <w:color w:val="04326C"/>
                <w:sz w:val="24"/>
                <w:szCs w:val="24"/>
              </w:rPr>
              <w:t>, 2019.</w:t>
            </w:r>
            <w:r w:rsidR="003571D2" w:rsidRPr="002827DE">
              <w:rPr>
                <w:rFonts w:ascii="Calibri" w:hAnsi="Calibri" w:cstheme="majorHAnsi"/>
                <w:color w:val="04326C"/>
                <w:sz w:val="24"/>
                <w:szCs w:val="24"/>
              </w:rPr>
              <w:t xml:space="preserve">  (See additional details in the table below.)</w:t>
            </w:r>
          </w:p>
        </w:tc>
      </w:tr>
      <w:tr w:rsidR="006117E8" w:rsidRPr="006117E8" w14:paraId="5DA7BE22" w14:textId="77777777" w:rsidTr="00D95331">
        <w:tc>
          <w:tcPr>
            <w:tcW w:w="945" w:type="dxa"/>
            <w:tcBorders>
              <w:top w:val="nil"/>
              <w:left w:val="nil"/>
              <w:bottom w:val="nil"/>
              <w:right w:val="nil"/>
            </w:tcBorders>
            <w:shd w:val="clear" w:color="auto" w:fill="auto"/>
            <w:tcMar>
              <w:top w:w="0" w:type="dxa"/>
              <w:left w:w="0" w:type="dxa"/>
              <w:bottom w:w="0" w:type="dxa"/>
              <w:right w:w="0" w:type="dxa"/>
            </w:tcMar>
          </w:tcPr>
          <w:p w14:paraId="615149CE" w14:textId="6CC06CC2" w:rsidR="006117E8" w:rsidRPr="006117E8" w:rsidRDefault="006117E8" w:rsidP="00D95331">
            <w:pPr>
              <w:widowControl w:val="0"/>
              <w:spacing w:after="0" w:line="240" w:lineRule="auto"/>
              <w:ind w:left="720" w:hanging="360"/>
              <w:jc w:val="right"/>
              <w:rPr>
                <w:rFonts w:cstheme="majorHAnsi"/>
                <w:b/>
                <w:sz w:val="6"/>
                <w:szCs w:val="6"/>
              </w:rPr>
            </w:pPr>
          </w:p>
        </w:tc>
        <w:tc>
          <w:tcPr>
            <w:tcW w:w="8415" w:type="dxa"/>
            <w:tcBorders>
              <w:top w:val="nil"/>
              <w:left w:val="nil"/>
              <w:bottom w:val="nil"/>
              <w:right w:val="nil"/>
            </w:tcBorders>
            <w:shd w:val="clear" w:color="auto" w:fill="auto"/>
            <w:tcMar>
              <w:top w:w="0" w:type="dxa"/>
              <w:left w:w="0" w:type="dxa"/>
              <w:bottom w:w="0" w:type="dxa"/>
              <w:right w:w="0" w:type="dxa"/>
            </w:tcMar>
            <w:vAlign w:val="center"/>
          </w:tcPr>
          <w:p w14:paraId="068955A8" w14:textId="77777777" w:rsidR="006117E8" w:rsidRPr="002827DE" w:rsidRDefault="006117E8" w:rsidP="00D95331">
            <w:pPr>
              <w:widowControl w:val="0"/>
              <w:spacing w:after="0" w:line="240" w:lineRule="auto"/>
              <w:ind w:left="720" w:hanging="360"/>
              <w:rPr>
                <w:rFonts w:ascii="Calibri" w:hAnsi="Calibri" w:cstheme="majorHAnsi"/>
                <w:i/>
                <w:color w:val="04326C"/>
                <w:sz w:val="24"/>
                <w:szCs w:val="24"/>
              </w:rPr>
            </w:pPr>
          </w:p>
        </w:tc>
      </w:tr>
      <w:tr w:rsidR="00600745" w:rsidRPr="003711FD" w14:paraId="57DC525B" w14:textId="77777777" w:rsidTr="00C94148">
        <w:tc>
          <w:tcPr>
            <w:tcW w:w="945" w:type="dxa"/>
            <w:tcBorders>
              <w:top w:val="nil"/>
              <w:left w:val="nil"/>
              <w:bottom w:val="nil"/>
              <w:right w:val="nil"/>
            </w:tcBorders>
            <w:shd w:val="clear" w:color="auto" w:fill="auto"/>
            <w:tcMar>
              <w:top w:w="100" w:type="dxa"/>
              <w:left w:w="100" w:type="dxa"/>
              <w:bottom w:w="100" w:type="dxa"/>
              <w:right w:w="100" w:type="dxa"/>
            </w:tcMar>
          </w:tcPr>
          <w:p w14:paraId="23A85830" w14:textId="77777777" w:rsidR="00600745" w:rsidRPr="003711FD" w:rsidRDefault="00600745" w:rsidP="00600745">
            <w:pPr>
              <w:widowControl w:val="0"/>
              <w:numPr>
                <w:ilvl w:val="0"/>
                <w:numId w:val="1"/>
              </w:numPr>
              <w:pBdr>
                <w:top w:val="nil"/>
                <w:left w:val="nil"/>
                <w:bottom w:val="nil"/>
                <w:right w:val="nil"/>
                <w:between w:val="nil"/>
              </w:pBdr>
              <w:spacing w:after="0" w:line="240" w:lineRule="auto"/>
              <w:contextualSpacing/>
              <w:jc w:val="right"/>
              <w:rPr>
                <w:rFonts w:cstheme="majorHAnsi"/>
                <w:b/>
              </w:rPr>
            </w:pPr>
          </w:p>
        </w:tc>
        <w:tc>
          <w:tcPr>
            <w:tcW w:w="8415" w:type="dxa"/>
            <w:tcBorders>
              <w:top w:val="nil"/>
              <w:left w:val="nil"/>
              <w:bottom w:val="nil"/>
              <w:right w:val="nil"/>
            </w:tcBorders>
            <w:shd w:val="clear" w:color="auto" w:fill="auto"/>
            <w:tcMar>
              <w:top w:w="100" w:type="dxa"/>
              <w:left w:w="100" w:type="dxa"/>
              <w:bottom w:w="100" w:type="dxa"/>
              <w:right w:w="100" w:type="dxa"/>
            </w:tcMar>
            <w:vAlign w:val="center"/>
          </w:tcPr>
          <w:p w14:paraId="0C4BED53" w14:textId="4CB9520D" w:rsidR="00600745" w:rsidRPr="002827DE" w:rsidRDefault="00766AD1" w:rsidP="00324451">
            <w:pPr>
              <w:spacing w:after="0" w:line="240" w:lineRule="auto"/>
              <w:rPr>
                <w:rFonts w:ascii="Calibri" w:hAnsi="Calibri" w:cs="Arial"/>
                <w:color w:val="04326C"/>
                <w:sz w:val="24"/>
                <w:szCs w:val="24"/>
              </w:rPr>
            </w:pPr>
            <w:r w:rsidRPr="002827DE">
              <w:rPr>
                <w:rFonts w:ascii="Calibri" w:hAnsi="Calibri" w:cs="Arial"/>
                <w:color w:val="04326C"/>
                <w:sz w:val="24"/>
                <w:szCs w:val="24"/>
              </w:rPr>
              <w:t>By September</w:t>
            </w:r>
            <w:r w:rsidR="00EF63D2" w:rsidRPr="002827DE">
              <w:rPr>
                <w:rFonts w:ascii="Calibri" w:hAnsi="Calibri" w:cs="Arial"/>
                <w:color w:val="04326C"/>
                <w:sz w:val="24"/>
                <w:szCs w:val="24"/>
              </w:rPr>
              <w:t xml:space="preserve"> 2020, develop a matrix of student actions, behaviors and attitudes that are commonly shared by </w:t>
            </w:r>
            <w:r w:rsidRPr="002827DE">
              <w:rPr>
                <w:rFonts w:ascii="Calibri" w:hAnsi="Calibri" w:cs="Arial"/>
                <w:color w:val="04326C"/>
                <w:sz w:val="24"/>
                <w:szCs w:val="24"/>
              </w:rPr>
              <w:t xml:space="preserve">a cohort of </w:t>
            </w:r>
            <w:r w:rsidR="00EF63D2" w:rsidRPr="002827DE">
              <w:rPr>
                <w:rFonts w:ascii="Calibri" w:hAnsi="Calibri" w:cs="Arial"/>
                <w:color w:val="04326C"/>
                <w:sz w:val="24"/>
                <w:szCs w:val="24"/>
              </w:rPr>
              <w:t xml:space="preserve">successful students who have transitioned to the community </w:t>
            </w:r>
            <w:r w:rsidRPr="002827DE">
              <w:rPr>
                <w:rFonts w:ascii="Calibri" w:hAnsi="Calibri" w:cs="Arial"/>
                <w:color w:val="04326C"/>
                <w:sz w:val="24"/>
                <w:szCs w:val="24"/>
              </w:rPr>
              <w:t xml:space="preserve">college from the adult schools.  </w:t>
            </w:r>
            <w:r w:rsidR="003571D2" w:rsidRPr="002827DE">
              <w:rPr>
                <w:rFonts w:ascii="Calibri" w:hAnsi="Calibri" w:cstheme="majorHAnsi"/>
                <w:color w:val="04326C"/>
                <w:sz w:val="24"/>
                <w:szCs w:val="24"/>
              </w:rPr>
              <w:t>(See additional details in the table below.)</w:t>
            </w:r>
          </w:p>
        </w:tc>
      </w:tr>
      <w:tr w:rsidR="00600745" w:rsidRPr="006117E8" w14:paraId="5DFE0D8C" w14:textId="77777777" w:rsidTr="00D95331">
        <w:tc>
          <w:tcPr>
            <w:tcW w:w="945" w:type="dxa"/>
            <w:tcBorders>
              <w:top w:val="nil"/>
              <w:left w:val="nil"/>
              <w:bottom w:val="nil"/>
              <w:right w:val="nil"/>
            </w:tcBorders>
            <w:shd w:val="clear" w:color="auto" w:fill="auto"/>
            <w:tcMar>
              <w:top w:w="0" w:type="dxa"/>
              <w:left w:w="0" w:type="dxa"/>
              <w:bottom w:w="0" w:type="dxa"/>
              <w:right w:w="0" w:type="dxa"/>
            </w:tcMar>
          </w:tcPr>
          <w:p w14:paraId="3A5058A8" w14:textId="7051E67C" w:rsidR="00600745" w:rsidRPr="006117E8" w:rsidRDefault="00600745" w:rsidP="00D95331">
            <w:pPr>
              <w:widowControl w:val="0"/>
              <w:spacing w:after="0" w:line="240" w:lineRule="auto"/>
              <w:ind w:left="720" w:hanging="360"/>
              <w:jc w:val="right"/>
              <w:rPr>
                <w:rFonts w:cstheme="majorHAnsi"/>
                <w:b/>
                <w:sz w:val="6"/>
                <w:szCs w:val="6"/>
              </w:rPr>
            </w:pPr>
          </w:p>
        </w:tc>
        <w:tc>
          <w:tcPr>
            <w:tcW w:w="8415" w:type="dxa"/>
            <w:tcBorders>
              <w:top w:val="nil"/>
              <w:left w:val="nil"/>
              <w:bottom w:val="nil"/>
              <w:right w:val="nil"/>
            </w:tcBorders>
            <w:shd w:val="clear" w:color="auto" w:fill="auto"/>
            <w:tcMar>
              <w:top w:w="0" w:type="dxa"/>
              <w:left w:w="0" w:type="dxa"/>
              <w:bottom w:w="0" w:type="dxa"/>
              <w:right w:w="0" w:type="dxa"/>
            </w:tcMar>
            <w:vAlign w:val="center"/>
          </w:tcPr>
          <w:p w14:paraId="3765F894" w14:textId="77777777" w:rsidR="00600745" w:rsidRPr="002827DE" w:rsidRDefault="00600745" w:rsidP="00D95331">
            <w:pPr>
              <w:widowControl w:val="0"/>
              <w:spacing w:after="0" w:line="240" w:lineRule="auto"/>
              <w:ind w:left="720" w:hanging="360"/>
              <w:rPr>
                <w:rFonts w:ascii="Calibri" w:hAnsi="Calibri" w:cstheme="majorHAnsi"/>
                <w:i/>
                <w:color w:val="04326C"/>
                <w:sz w:val="24"/>
                <w:szCs w:val="24"/>
              </w:rPr>
            </w:pPr>
          </w:p>
        </w:tc>
      </w:tr>
      <w:tr w:rsidR="00600745" w:rsidRPr="003711FD" w14:paraId="6ABE70C2" w14:textId="77777777" w:rsidTr="00C94148">
        <w:tc>
          <w:tcPr>
            <w:tcW w:w="945" w:type="dxa"/>
            <w:tcBorders>
              <w:top w:val="nil"/>
              <w:left w:val="nil"/>
              <w:bottom w:val="nil"/>
              <w:right w:val="nil"/>
            </w:tcBorders>
            <w:shd w:val="clear" w:color="auto" w:fill="auto"/>
            <w:tcMar>
              <w:top w:w="100" w:type="dxa"/>
              <w:left w:w="100" w:type="dxa"/>
              <w:bottom w:w="100" w:type="dxa"/>
              <w:right w:w="100" w:type="dxa"/>
            </w:tcMar>
          </w:tcPr>
          <w:p w14:paraId="765A8E25" w14:textId="77777777" w:rsidR="00600745" w:rsidRPr="003711FD" w:rsidRDefault="00600745" w:rsidP="00600745">
            <w:pPr>
              <w:widowControl w:val="0"/>
              <w:numPr>
                <w:ilvl w:val="0"/>
                <w:numId w:val="1"/>
              </w:numPr>
              <w:pBdr>
                <w:top w:val="nil"/>
                <w:left w:val="nil"/>
                <w:bottom w:val="nil"/>
                <w:right w:val="nil"/>
                <w:between w:val="nil"/>
              </w:pBdr>
              <w:spacing w:after="0" w:line="240" w:lineRule="auto"/>
              <w:contextualSpacing/>
              <w:jc w:val="right"/>
              <w:rPr>
                <w:rFonts w:cstheme="majorHAnsi"/>
                <w:b/>
              </w:rPr>
            </w:pPr>
          </w:p>
        </w:tc>
        <w:tc>
          <w:tcPr>
            <w:tcW w:w="8415" w:type="dxa"/>
            <w:tcBorders>
              <w:top w:val="nil"/>
              <w:left w:val="nil"/>
              <w:bottom w:val="nil"/>
              <w:right w:val="nil"/>
            </w:tcBorders>
            <w:shd w:val="clear" w:color="auto" w:fill="auto"/>
            <w:tcMar>
              <w:top w:w="100" w:type="dxa"/>
              <w:left w:w="100" w:type="dxa"/>
              <w:bottom w:w="100" w:type="dxa"/>
              <w:right w:w="100" w:type="dxa"/>
            </w:tcMar>
            <w:vAlign w:val="center"/>
          </w:tcPr>
          <w:p w14:paraId="0B0C1CED" w14:textId="2438B636" w:rsidR="00600745" w:rsidRPr="002827DE" w:rsidRDefault="00D1783D" w:rsidP="00BE15E2">
            <w:pPr>
              <w:spacing w:after="0" w:line="240" w:lineRule="auto"/>
              <w:rPr>
                <w:rFonts w:ascii="Calibri" w:hAnsi="Calibri" w:cstheme="majorHAnsi"/>
                <w:color w:val="04326C"/>
                <w:sz w:val="24"/>
                <w:szCs w:val="24"/>
              </w:rPr>
            </w:pPr>
            <w:r w:rsidRPr="002827DE">
              <w:rPr>
                <w:rFonts w:ascii="Calibri" w:hAnsi="Calibri" w:cstheme="majorHAnsi"/>
                <w:color w:val="04326C"/>
                <w:sz w:val="24"/>
                <w:szCs w:val="24"/>
              </w:rPr>
              <w:t>By June, 2020—increase support for adult school students with financial barriers by a) having dual enrollment fee waivers for co-enrolled adult school students and b) have two adult school classes articulated with one or more of the colleges. (See additional details in the table below.)</w:t>
            </w:r>
          </w:p>
        </w:tc>
      </w:tr>
      <w:tr w:rsidR="00600745" w:rsidRPr="006117E8" w14:paraId="64502928" w14:textId="77777777" w:rsidTr="00D95331">
        <w:tc>
          <w:tcPr>
            <w:tcW w:w="945" w:type="dxa"/>
            <w:tcBorders>
              <w:top w:val="nil"/>
              <w:left w:val="nil"/>
              <w:bottom w:val="nil"/>
              <w:right w:val="nil"/>
            </w:tcBorders>
            <w:shd w:val="clear" w:color="auto" w:fill="auto"/>
            <w:tcMar>
              <w:top w:w="0" w:type="dxa"/>
              <w:left w:w="0" w:type="dxa"/>
              <w:bottom w:w="0" w:type="dxa"/>
              <w:right w:w="0" w:type="dxa"/>
            </w:tcMar>
          </w:tcPr>
          <w:p w14:paraId="26F8B951" w14:textId="77777777" w:rsidR="00600745" w:rsidRPr="006117E8" w:rsidRDefault="00600745" w:rsidP="00D95331">
            <w:pPr>
              <w:widowControl w:val="0"/>
              <w:spacing w:after="0" w:line="240" w:lineRule="auto"/>
              <w:ind w:left="720" w:hanging="360"/>
              <w:jc w:val="right"/>
              <w:rPr>
                <w:rFonts w:cstheme="majorHAnsi"/>
                <w:b/>
                <w:sz w:val="6"/>
                <w:szCs w:val="6"/>
              </w:rPr>
            </w:pPr>
          </w:p>
        </w:tc>
        <w:tc>
          <w:tcPr>
            <w:tcW w:w="8415" w:type="dxa"/>
            <w:tcBorders>
              <w:top w:val="nil"/>
              <w:left w:val="nil"/>
              <w:bottom w:val="nil"/>
              <w:right w:val="nil"/>
            </w:tcBorders>
            <w:shd w:val="clear" w:color="auto" w:fill="auto"/>
            <w:tcMar>
              <w:top w:w="0" w:type="dxa"/>
              <w:left w:w="0" w:type="dxa"/>
              <w:bottom w:w="0" w:type="dxa"/>
              <w:right w:w="0" w:type="dxa"/>
            </w:tcMar>
            <w:vAlign w:val="center"/>
          </w:tcPr>
          <w:p w14:paraId="2EEA0F0D" w14:textId="77777777" w:rsidR="00600745" w:rsidRPr="002827DE" w:rsidRDefault="00600745" w:rsidP="00D95331">
            <w:pPr>
              <w:widowControl w:val="0"/>
              <w:spacing w:after="0" w:line="240" w:lineRule="auto"/>
              <w:ind w:left="720" w:hanging="360"/>
              <w:rPr>
                <w:rFonts w:ascii="Calibri" w:hAnsi="Calibri" w:cstheme="majorHAnsi"/>
                <w:i/>
                <w:color w:val="04326C"/>
                <w:sz w:val="24"/>
                <w:szCs w:val="24"/>
              </w:rPr>
            </w:pPr>
          </w:p>
        </w:tc>
      </w:tr>
      <w:tr w:rsidR="00600745" w:rsidRPr="003711FD" w14:paraId="46F54CEF" w14:textId="77777777" w:rsidTr="00C94148">
        <w:tc>
          <w:tcPr>
            <w:tcW w:w="945" w:type="dxa"/>
            <w:tcBorders>
              <w:top w:val="nil"/>
              <w:left w:val="nil"/>
              <w:bottom w:val="nil"/>
              <w:right w:val="nil"/>
            </w:tcBorders>
            <w:shd w:val="clear" w:color="auto" w:fill="auto"/>
            <w:tcMar>
              <w:top w:w="100" w:type="dxa"/>
              <w:left w:w="100" w:type="dxa"/>
              <w:bottom w:w="100" w:type="dxa"/>
              <w:right w:w="100" w:type="dxa"/>
            </w:tcMar>
          </w:tcPr>
          <w:p w14:paraId="7247CFA6" w14:textId="77777777" w:rsidR="00600745" w:rsidRPr="003711FD" w:rsidRDefault="00600745" w:rsidP="00600745">
            <w:pPr>
              <w:widowControl w:val="0"/>
              <w:numPr>
                <w:ilvl w:val="0"/>
                <w:numId w:val="1"/>
              </w:numPr>
              <w:pBdr>
                <w:top w:val="nil"/>
                <w:left w:val="nil"/>
                <w:bottom w:val="nil"/>
                <w:right w:val="nil"/>
                <w:between w:val="nil"/>
              </w:pBdr>
              <w:spacing w:after="0" w:line="240" w:lineRule="auto"/>
              <w:contextualSpacing/>
              <w:jc w:val="right"/>
              <w:rPr>
                <w:rFonts w:cstheme="majorHAnsi"/>
                <w:b/>
              </w:rPr>
            </w:pPr>
          </w:p>
        </w:tc>
        <w:tc>
          <w:tcPr>
            <w:tcW w:w="8415" w:type="dxa"/>
            <w:tcBorders>
              <w:top w:val="nil"/>
              <w:left w:val="nil"/>
              <w:bottom w:val="nil"/>
              <w:right w:val="nil"/>
            </w:tcBorders>
            <w:shd w:val="clear" w:color="auto" w:fill="auto"/>
            <w:tcMar>
              <w:top w:w="100" w:type="dxa"/>
              <w:left w:w="100" w:type="dxa"/>
              <w:bottom w:w="100" w:type="dxa"/>
              <w:right w:w="100" w:type="dxa"/>
            </w:tcMar>
            <w:vAlign w:val="center"/>
          </w:tcPr>
          <w:p w14:paraId="47F617A1" w14:textId="680A8ABA" w:rsidR="00600745" w:rsidRPr="002827DE" w:rsidRDefault="00D1783D" w:rsidP="00610C37">
            <w:pPr>
              <w:spacing w:after="0" w:line="240" w:lineRule="auto"/>
              <w:rPr>
                <w:rFonts w:ascii="Calibri" w:hAnsi="Calibri" w:cstheme="majorHAnsi"/>
                <w:color w:val="04326C"/>
                <w:sz w:val="24"/>
                <w:szCs w:val="24"/>
              </w:rPr>
            </w:pPr>
            <w:r w:rsidRPr="002827DE">
              <w:rPr>
                <w:rFonts w:ascii="Calibri" w:hAnsi="Calibri" w:cs="Arial"/>
                <w:color w:val="04326C"/>
                <w:sz w:val="24"/>
                <w:szCs w:val="24"/>
              </w:rPr>
              <w:t>By September 2020, create a non-credit ESL Program at DeAnza College with articulated curriculum and placement measures for transitioning adult school students. Success will be evaluated based on the following: For the 2020-2021 school year, transition an amount of adult school students equal to or above 50% of the total students transitioned to Foothill College Non-Credit in 2019-2020. (Note:  DeAnza College anticipates piloting two classes in September 2019.)</w:t>
            </w:r>
          </w:p>
        </w:tc>
      </w:tr>
      <w:tr w:rsidR="00600745" w:rsidRPr="006117E8" w14:paraId="367A6F88" w14:textId="77777777" w:rsidTr="00D95331">
        <w:tc>
          <w:tcPr>
            <w:tcW w:w="945" w:type="dxa"/>
            <w:tcBorders>
              <w:top w:val="nil"/>
              <w:left w:val="nil"/>
              <w:bottom w:val="nil"/>
              <w:right w:val="nil"/>
            </w:tcBorders>
            <w:shd w:val="clear" w:color="auto" w:fill="auto"/>
            <w:tcMar>
              <w:top w:w="0" w:type="dxa"/>
              <w:left w:w="0" w:type="dxa"/>
              <w:bottom w:w="0" w:type="dxa"/>
              <w:right w:w="0" w:type="dxa"/>
            </w:tcMar>
          </w:tcPr>
          <w:p w14:paraId="4B9557AC" w14:textId="77777777" w:rsidR="00600745" w:rsidRPr="006117E8" w:rsidRDefault="00600745" w:rsidP="00D95331">
            <w:pPr>
              <w:widowControl w:val="0"/>
              <w:spacing w:after="0" w:line="240" w:lineRule="auto"/>
              <w:ind w:left="720" w:hanging="360"/>
              <w:jc w:val="right"/>
              <w:rPr>
                <w:rFonts w:cstheme="majorHAnsi"/>
                <w:b/>
                <w:sz w:val="6"/>
                <w:szCs w:val="6"/>
              </w:rPr>
            </w:pPr>
          </w:p>
        </w:tc>
        <w:tc>
          <w:tcPr>
            <w:tcW w:w="8415" w:type="dxa"/>
            <w:tcBorders>
              <w:top w:val="nil"/>
              <w:left w:val="nil"/>
              <w:bottom w:val="nil"/>
              <w:right w:val="nil"/>
            </w:tcBorders>
            <w:shd w:val="clear" w:color="auto" w:fill="auto"/>
            <w:tcMar>
              <w:top w:w="0" w:type="dxa"/>
              <w:left w:w="0" w:type="dxa"/>
              <w:bottom w:w="0" w:type="dxa"/>
              <w:right w:w="0" w:type="dxa"/>
            </w:tcMar>
            <w:vAlign w:val="center"/>
          </w:tcPr>
          <w:p w14:paraId="3B513C13" w14:textId="77777777" w:rsidR="00600745" w:rsidRPr="002827DE" w:rsidRDefault="00600745" w:rsidP="00D95331">
            <w:pPr>
              <w:widowControl w:val="0"/>
              <w:spacing w:after="0" w:line="240" w:lineRule="auto"/>
              <w:ind w:left="720" w:hanging="360"/>
              <w:rPr>
                <w:rFonts w:ascii="Calibri" w:hAnsi="Calibri" w:cstheme="majorHAnsi"/>
                <w:i/>
                <w:color w:val="04326C"/>
                <w:sz w:val="24"/>
                <w:szCs w:val="24"/>
              </w:rPr>
            </w:pPr>
          </w:p>
        </w:tc>
      </w:tr>
      <w:tr w:rsidR="001D528E" w:rsidRPr="003711FD" w14:paraId="5AAC8C26" w14:textId="77777777" w:rsidTr="00C94148">
        <w:tc>
          <w:tcPr>
            <w:tcW w:w="945" w:type="dxa"/>
            <w:tcBorders>
              <w:top w:val="nil"/>
              <w:left w:val="nil"/>
              <w:bottom w:val="nil"/>
              <w:right w:val="nil"/>
            </w:tcBorders>
            <w:shd w:val="clear" w:color="auto" w:fill="auto"/>
            <w:tcMar>
              <w:top w:w="100" w:type="dxa"/>
              <w:left w:w="100" w:type="dxa"/>
              <w:bottom w:w="100" w:type="dxa"/>
              <w:right w:w="100" w:type="dxa"/>
            </w:tcMar>
          </w:tcPr>
          <w:p w14:paraId="12158AF4" w14:textId="77777777" w:rsidR="001D528E" w:rsidRPr="003711FD" w:rsidRDefault="001D528E" w:rsidP="00600745">
            <w:pPr>
              <w:widowControl w:val="0"/>
              <w:numPr>
                <w:ilvl w:val="0"/>
                <w:numId w:val="1"/>
              </w:numPr>
              <w:pBdr>
                <w:top w:val="nil"/>
                <w:left w:val="nil"/>
                <w:bottom w:val="nil"/>
                <w:right w:val="nil"/>
                <w:between w:val="nil"/>
              </w:pBdr>
              <w:spacing w:after="0" w:line="240" w:lineRule="auto"/>
              <w:contextualSpacing/>
              <w:jc w:val="right"/>
              <w:rPr>
                <w:rFonts w:cstheme="majorHAnsi"/>
                <w:b/>
              </w:rPr>
            </w:pPr>
          </w:p>
        </w:tc>
        <w:tc>
          <w:tcPr>
            <w:tcW w:w="8415" w:type="dxa"/>
            <w:tcBorders>
              <w:top w:val="nil"/>
              <w:left w:val="nil"/>
              <w:bottom w:val="nil"/>
              <w:right w:val="nil"/>
            </w:tcBorders>
            <w:shd w:val="clear" w:color="auto" w:fill="auto"/>
            <w:tcMar>
              <w:top w:w="100" w:type="dxa"/>
              <w:left w:w="100" w:type="dxa"/>
              <w:bottom w:w="100" w:type="dxa"/>
              <w:right w:w="100" w:type="dxa"/>
            </w:tcMar>
            <w:vAlign w:val="center"/>
          </w:tcPr>
          <w:p w14:paraId="5F805E3F" w14:textId="00BE6565" w:rsidR="001D528E" w:rsidRPr="002827DE" w:rsidRDefault="00D1783D" w:rsidP="000C6700">
            <w:pPr>
              <w:spacing w:after="0" w:line="240" w:lineRule="auto"/>
              <w:rPr>
                <w:rFonts w:ascii="Calibri" w:hAnsi="Calibri" w:cstheme="majorHAnsi"/>
                <w:color w:val="04326C"/>
                <w:sz w:val="24"/>
                <w:szCs w:val="24"/>
              </w:rPr>
            </w:pPr>
            <w:r w:rsidRPr="002827DE">
              <w:rPr>
                <w:rFonts w:ascii="Calibri" w:hAnsi="Calibri" w:cstheme="majorHAnsi"/>
                <w:color w:val="04326C"/>
                <w:sz w:val="24"/>
                <w:szCs w:val="24"/>
              </w:rPr>
              <w:t xml:space="preserve">By June 2021, members of the Curriculum Alignment and Articulation Work Group (with assistance from other Work Groups) will map career pathways for all Adult School programs to both Community College programs.  These maps will be produced in a format that can be used as counseling materials as well as </w:t>
            </w:r>
            <w:r w:rsidR="000C6700" w:rsidRPr="002827DE">
              <w:rPr>
                <w:rFonts w:ascii="Calibri" w:hAnsi="Calibri" w:cstheme="majorHAnsi"/>
                <w:color w:val="04326C"/>
                <w:sz w:val="24"/>
                <w:szCs w:val="24"/>
              </w:rPr>
              <w:t>by published on the Consortium website.</w:t>
            </w:r>
          </w:p>
        </w:tc>
      </w:tr>
    </w:tbl>
    <w:p w14:paraId="32015BBC" w14:textId="77777777" w:rsidR="00535D34" w:rsidRDefault="00535D34" w:rsidP="00535D34">
      <w:pPr>
        <w:pStyle w:val="Heading2"/>
        <w:pBdr>
          <w:bottom w:val="none" w:sz="0" w:space="0" w:color="auto"/>
        </w:pBdr>
      </w:pPr>
      <w:bookmarkStart w:id="23" w:name="_divq3rem2h3i" w:colFirst="0" w:colLast="0"/>
      <w:bookmarkStart w:id="24" w:name="_wjuya0ah4s9t" w:colFirst="0" w:colLast="0"/>
      <w:bookmarkEnd w:id="23"/>
      <w:bookmarkEnd w:id="24"/>
    </w:p>
    <w:p w14:paraId="38B7EA67" w14:textId="77777777" w:rsidR="00535D34" w:rsidRDefault="00535D34">
      <w:pPr>
        <w:spacing w:after="0" w:line="240" w:lineRule="auto"/>
        <w:rPr>
          <w:rFonts w:eastAsia="Lato Light" w:cstheme="majorHAnsi"/>
          <w:sz w:val="32"/>
          <w:szCs w:val="32"/>
        </w:rPr>
      </w:pPr>
      <w:r>
        <w:br w:type="page"/>
      </w:r>
    </w:p>
    <w:p w14:paraId="2C056972" w14:textId="7929192E" w:rsidR="00600745" w:rsidRPr="003711FD" w:rsidRDefault="00600745" w:rsidP="007C5BD1">
      <w:pPr>
        <w:pStyle w:val="Heading2"/>
      </w:pPr>
      <w:bookmarkStart w:id="25" w:name="_Toc527969661"/>
      <w:r w:rsidRPr="003711FD">
        <w:lastRenderedPageBreak/>
        <w:t>2.5</w:t>
      </w:r>
      <w:r>
        <w:t xml:space="preserve"> </w:t>
      </w:r>
      <w:r w:rsidRPr="003711FD">
        <w:t>Piloting</w:t>
      </w:r>
      <w:r>
        <w:t xml:space="preserve"> </w:t>
      </w:r>
      <w:r w:rsidRPr="003711FD">
        <w:t>and</w:t>
      </w:r>
      <w:r>
        <w:t xml:space="preserve"> </w:t>
      </w:r>
      <w:r w:rsidRPr="003711FD">
        <w:t>Implementation</w:t>
      </w:r>
      <w:bookmarkEnd w:id="25"/>
    </w:p>
    <w:p w14:paraId="0C8E0B1A" w14:textId="2B6101F1" w:rsidR="00FE6571" w:rsidRDefault="00D95331">
      <w:pPr>
        <w:rPr>
          <w:rFonts w:asciiTheme="minorHAnsi" w:hAnsiTheme="minorHAnsi" w:cs="Arial"/>
          <w:color w:val="04326C"/>
          <w:sz w:val="20"/>
        </w:rPr>
      </w:pPr>
      <w:r w:rsidRPr="00A324A7">
        <w:rPr>
          <w:rFonts w:asciiTheme="minorHAnsi" w:hAnsiTheme="minorHAnsi" w:cs="Arial"/>
          <w:color w:val="04326C"/>
          <w:sz w:val="20"/>
        </w:rPr>
        <w:fldChar w:fldCharType="begin">
          <w:ffData>
            <w:name w:val="txt2_1"/>
            <w:enabled/>
            <w:calcOnExit w:val="0"/>
            <w:textInput/>
          </w:ffData>
        </w:fldChar>
      </w:r>
      <w:r w:rsidRPr="00A324A7">
        <w:rPr>
          <w:rFonts w:asciiTheme="minorHAnsi" w:hAnsiTheme="minorHAnsi" w:cs="Arial"/>
          <w:color w:val="04326C"/>
          <w:sz w:val="20"/>
        </w:rPr>
        <w:instrText xml:space="preserve"> FORMTEXT </w:instrText>
      </w:r>
      <w:r w:rsidRPr="00A324A7">
        <w:rPr>
          <w:rFonts w:asciiTheme="minorHAnsi" w:hAnsiTheme="minorHAnsi" w:cs="Arial"/>
          <w:color w:val="04326C"/>
          <w:sz w:val="20"/>
        </w:rPr>
      </w:r>
      <w:r w:rsidRPr="00A324A7">
        <w:rPr>
          <w:rFonts w:asciiTheme="minorHAnsi" w:hAnsiTheme="minorHAnsi" w:cs="Arial"/>
          <w:color w:val="04326C"/>
          <w:sz w:val="20"/>
        </w:rPr>
        <w:fldChar w:fldCharType="separate"/>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00BD77C6">
        <w:rPr>
          <w:rFonts w:asciiTheme="minorHAnsi" w:hAnsiTheme="minorHAnsi" w:cs="Arial"/>
          <w:noProof/>
          <w:color w:val="04326C"/>
          <w:sz w:val="20"/>
        </w:rPr>
        <w:t> </w:t>
      </w:r>
      <w:r w:rsidRPr="00A324A7">
        <w:rPr>
          <w:rFonts w:asciiTheme="minorHAnsi" w:hAnsiTheme="minorHAnsi" w:cs="Arial"/>
          <w:color w:val="04326C"/>
          <w:sz w:val="20"/>
        </w:rPr>
        <w:fldChar w:fldCharType="end"/>
      </w:r>
    </w:p>
    <w:p w14:paraId="7803E68A" w14:textId="588A5E0F" w:rsidR="00D95331" w:rsidRPr="002827DE" w:rsidRDefault="00610C37"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 xml:space="preserve">For the </w:t>
      </w:r>
      <w:r w:rsidR="00552CBB" w:rsidRPr="002827DE">
        <w:rPr>
          <w:rFonts w:asciiTheme="minorHAnsi" w:hAnsiTheme="minorHAnsi" w:cs="Arial"/>
          <w:color w:val="04326C"/>
          <w:sz w:val="24"/>
          <w:szCs w:val="24"/>
        </w:rPr>
        <w:t xml:space="preserve">three of the </w:t>
      </w:r>
      <w:r w:rsidRPr="002827DE">
        <w:rPr>
          <w:rFonts w:asciiTheme="minorHAnsi" w:hAnsiTheme="minorHAnsi" w:cs="Arial"/>
          <w:color w:val="04326C"/>
          <w:sz w:val="24"/>
          <w:szCs w:val="24"/>
        </w:rPr>
        <w:t xml:space="preserve">five smart goals, </w:t>
      </w:r>
      <w:r w:rsidR="00552CBB" w:rsidRPr="002827DE">
        <w:rPr>
          <w:rFonts w:asciiTheme="minorHAnsi" w:hAnsiTheme="minorHAnsi" w:cs="Arial"/>
          <w:color w:val="04326C"/>
          <w:sz w:val="24"/>
          <w:szCs w:val="24"/>
        </w:rPr>
        <w:t>details of the</w:t>
      </w:r>
      <w:r w:rsidRPr="002827DE">
        <w:rPr>
          <w:rFonts w:asciiTheme="minorHAnsi" w:hAnsiTheme="minorHAnsi" w:cs="Arial"/>
          <w:color w:val="04326C"/>
          <w:sz w:val="24"/>
          <w:szCs w:val="24"/>
        </w:rPr>
        <w:t xml:space="preserve"> implementation activities </w:t>
      </w:r>
      <w:r w:rsidR="00552CBB" w:rsidRPr="002827DE">
        <w:rPr>
          <w:rFonts w:asciiTheme="minorHAnsi" w:hAnsiTheme="minorHAnsi" w:cs="Arial"/>
          <w:color w:val="04326C"/>
          <w:sz w:val="24"/>
          <w:szCs w:val="24"/>
        </w:rPr>
        <w:t>are added below.</w:t>
      </w:r>
    </w:p>
    <w:p w14:paraId="791895FA" w14:textId="77777777" w:rsidR="00541D83" w:rsidRPr="002827DE" w:rsidRDefault="00541D83" w:rsidP="00D6478F">
      <w:pPr>
        <w:spacing w:after="0" w:line="240" w:lineRule="auto"/>
        <w:rPr>
          <w:rFonts w:asciiTheme="minorHAnsi" w:hAnsiTheme="minorHAnsi" w:cs="Arial"/>
          <w:color w:val="04326C"/>
          <w:sz w:val="24"/>
          <w:szCs w:val="24"/>
        </w:rPr>
      </w:pPr>
    </w:p>
    <w:p w14:paraId="404185F1" w14:textId="77777777" w:rsidR="00610C37" w:rsidRPr="002827DE" w:rsidRDefault="00610C37" w:rsidP="00D6478F">
      <w:pPr>
        <w:spacing w:after="0" w:line="240" w:lineRule="auto"/>
        <w:rPr>
          <w:rFonts w:asciiTheme="minorHAnsi" w:hAnsiTheme="minorHAnsi" w:cs="Arial"/>
          <w:color w:val="04326C"/>
          <w:sz w:val="24"/>
          <w:szCs w:val="24"/>
        </w:rPr>
      </w:pPr>
    </w:p>
    <w:tbl>
      <w:tblPr>
        <w:tblStyle w:val="TableGrid"/>
        <w:tblW w:w="0" w:type="auto"/>
        <w:tblLook w:val="04A0" w:firstRow="1" w:lastRow="0" w:firstColumn="1" w:lastColumn="0" w:noHBand="0" w:noVBand="1"/>
      </w:tblPr>
      <w:tblGrid>
        <w:gridCol w:w="1955"/>
        <w:gridCol w:w="3457"/>
        <w:gridCol w:w="1833"/>
        <w:gridCol w:w="2331"/>
      </w:tblGrid>
      <w:tr w:rsidR="00610C37" w:rsidRPr="002827DE" w14:paraId="769BA34F" w14:textId="77777777" w:rsidTr="00BB5C5E">
        <w:tc>
          <w:tcPr>
            <w:tcW w:w="1998" w:type="dxa"/>
          </w:tcPr>
          <w:p w14:paraId="23A2F33F" w14:textId="46400D2C" w:rsidR="00610C37" w:rsidRPr="002827DE" w:rsidRDefault="00610C37"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Smart Goal</w:t>
            </w:r>
          </w:p>
        </w:tc>
        <w:tc>
          <w:tcPr>
            <w:tcW w:w="3600" w:type="dxa"/>
          </w:tcPr>
          <w:p w14:paraId="3D5A6DE9" w14:textId="3C38FF24" w:rsidR="00610C37" w:rsidRPr="002827DE" w:rsidRDefault="00610C37"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Pilot Parameters and Activities</w:t>
            </w:r>
          </w:p>
        </w:tc>
        <w:tc>
          <w:tcPr>
            <w:tcW w:w="1584" w:type="dxa"/>
          </w:tcPr>
          <w:p w14:paraId="51375C0F" w14:textId="1ADCD9D5" w:rsidR="00610C37" w:rsidRPr="002827DE" w:rsidRDefault="00610C37" w:rsidP="00610C37">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 xml:space="preserve">Responsible </w:t>
            </w:r>
            <w:r w:rsidR="00763030" w:rsidRPr="002827DE">
              <w:rPr>
                <w:rFonts w:asciiTheme="minorHAnsi" w:hAnsiTheme="minorHAnsi" w:cs="Arial"/>
                <w:color w:val="04326C"/>
                <w:sz w:val="24"/>
                <w:szCs w:val="24"/>
              </w:rPr>
              <w:t>People/</w:t>
            </w:r>
            <w:r w:rsidRPr="002827DE">
              <w:rPr>
                <w:rFonts w:asciiTheme="minorHAnsi" w:hAnsiTheme="minorHAnsi" w:cs="Arial"/>
                <w:color w:val="04326C"/>
                <w:sz w:val="24"/>
                <w:szCs w:val="24"/>
              </w:rPr>
              <w:t>Group(s)</w:t>
            </w:r>
          </w:p>
        </w:tc>
        <w:tc>
          <w:tcPr>
            <w:tcW w:w="2394" w:type="dxa"/>
          </w:tcPr>
          <w:p w14:paraId="53D3922D" w14:textId="7A94DEEC" w:rsidR="00610C37" w:rsidRPr="002827DE" w:rsidRDefault="00610C37"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Indicator(s) of Success</w:t>
            </w:r>
          </w:p>
        </w:tc>
      </w:tr>
      <w:tr w:rsidR="00610C37" w:rsidRPr="002827DE" w14:paraId="2476973E" w14:textId="77777777" w:rsidTr="00BB5C5E">
        <w:tc>
          <w:tcPr>
            <w:tcW w:w="1998" w:type="dxa"/>
          </w:tcPr>
          <w:p w14:paraId="4BD4FB2B" w14:textId="3B34EBC5" w:rsidR="00610C37" w:rsidRPr="002827DE" w:rsidRDefault="00610C37" w:rsidP="00D6478F">
            <w:pPr>
              <w:spacing w:after="0" w:line="240" w:lineRule="auto"/>
              <w:rPr>
                <w:rFonts w:asciiTheme="minorHAnsi" w:hAnsiTheme="minorHAnsi" w:cs="Arial"/>
                <w:color w:val="04326C"/>
                <w:sz w:val="24"/>
                <w:szCs w:val="24"/>
              </w:rPr>
            </w:pPr>
            <w:r w:rsidRPr="002827DE">
              <w:rPr>
                <w:rFonts w:ascii="Calibri" w:hAnsi="Calibri" w:cstheme="majorHAnsi"/>
                <w:color w:val="04326C"/>
                <w:sz w:val="24"/>
                <w:szCs w:val="24"/>
              </w:rPr>
              <w:t>By August 31</w:t>
            </w:r>
            <w:r w:rsidRPr="002827DE">
              <w:rPr>
                <w:rFonts w:ascii="Calibri" w:hAnsi="Calibri" w:cstheme="majorHAnsi"/>
                <w:color w:val="04326C"/>
                <w:sz w:val="24"/>
                <w:szCs w:val="24"/>
                <w:vertAlign w:val="superscript"/>
              </w:rPr>
              <w:t>st</w:t>
            </w:r>
            <w:r w:rsidRPr="002827DE">
              <w:rPr>
                <w:rFonts w:ascii="Calibri" w:hAnsi="Calibri" w:cstheme="majorHAnsi"/>
                <w:color w:val="04326C"/>
                <w:sz w:val="24"/>
                <w:szCs w:val="24"/>
              </w:rPr>
              <w:t>, 2019, create a resource database of local consortium program contacts and services</w:t>
            </w:r>
            <w:r w:rsidR="00763030" w:rsidRPr="002827DE">
              <w:rPr>
                <w:rFonts w:ascii="Calibri" w:hAnsi="Calibri" w:cstheme="majorHAnsi"/>
                <w:color w:val="04326C"/>
                <w:sz w:val="24"/>
                <w:szCs w:val="24"/>
              </w:rPr>
              <w:t>.</w:t>
            </w:r>
          </w:p>
        </w:tc>
        <w:tc>
          <w:tcPr>
            <w:tcW w:w="3600" w:type="dxa"/>
          </w:tcPr>
          <w:p w14:paraId="44B488FF" w14:textId="284D6C20" w:rsidR="00610C37" w:rsidRPr="002827DE" w:rsidRDefault="00763030" w:rsidP="00763030">
            <w:pPr>
              <w:spacing w:after="0" w:line="240" w:lineRule="auto"/>
              <w:rPr>
                <w:rFonts w:asciiTheme="minorHAnsi" w:hAnsiTheme="minorHAnsi" w:cs="Arial"/>
                <w:color w:val="04326C"/>
                <w:sz w:val="24"/>
                <w:szCs w:val="24"/>
              </w:rPr>
            </w:pPr>
            <w:r w:rsidRPr="002827DE">
              <w:rPr>
                <w:rFonts w:ascii="Calibri" w:hAnsi="Calibri" w:cstheme="majorHAnsi"/>
                <w:color w:val="04326C"/>
                <w:sz w:val="24"/>
                <w:szCs w:val="24"/>
              </w:rPr>
              <w:t xml:space="preserve">Create both a </w:t>
            </w:r>
            <w:r w:rsidR="00EF63D2" w:rsidRPr="002827DE">
              <w:rPr>
                <w:rFonts w:ascii="Calibri" w:hAnsi="Calibri" w:cstheme="majorHAnsi"/>
                <w:color w:val="04326C"/>
                <w:sz w:val="24"/>
                <w:szCs w:val="24"/>
              </w:rPr>
              <w:t xml:space="preserve">resource </w:t>
            </w:r>
            <w:r w:rsidRPr="002827DE">
              <w:rPr>
                <w:rFonts w:ascii="Calibri" w:hAnsi="Calibri" w:cstheme="majorHAnsi"/>
                <w:color w:val="04326C"/>
                <w:sz w:val="24"/>
                <w:szCs w:val="24"/>
              </w:rPr>
              <w:t>matrix of information and an info-graphic.  Work with Director of Consortium to put on website and utilize in social media and, if applicable, marketing campaign.</w:t>
            </w:r>
          </w:p>
        </w:tc>
        <w:tc>
          <w:tcPr>
            <w:tcW w:w="1584" w:type="dxa"/>
          </w:tcPr>
          <w:p w14:paraId="5CF87973" w14:textId="554DEDA4" w:rsidR="00610C37" w:rsidRPr="002827DE" w:rsidRDefault="00763030"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Student Support Services.  Project managers:  Adrienne Moberly (FUHSD AS) and Dave Capitolo (DeAnza CC)</w:t>
            </w:r>
          </w:p>
        </w:tc>
        <w:tc>
          <w:tcPr>
            <w:tcW w:w="2394" w:type="dxa"/>
          </w:tcPr>
          <w:p w14:paraId="43581050" w14:textId="41C84612" w:rsidR="00610C37" w:rsidRPr="002827DE" w:rsidRDefault="00610C37" w:rsidP="00763030">
            <w:pPr>
              <w:spacing w:after="0" w:line="240" w:lineRule="auto"/>
              <w:rPr>
                <w:rFonts w:asciiTheme="minorHAnsi" w:hAnsiTheme="minorHAnsi" w:cs="Arial"/>
                <w:color w:val="04326C"/>
                <w:sz w:val="24"/>
                <w:szCs w:val="24"/>
              </w:rPr>
            </w:pPr>
            <w:r w:rsidRPr="002827DE">
              <w:rPr>
                <w:rFonts w:ascii="Calibri" w:hAnsi="Calibri" w:cstheme="majorHAnsi"/>
                <w:color w:val="04326C"/>
                <w:sz w:val="24"/>
                <w:szCs w:val="24"/>
              </w:rPr>
              <w:t>By September 30</w:t>
            </w:r>
            <w:r w:rsidRPr="002827DE">
              <w:rPr>
                <w:rFonts w:ascii="Calibri" w:hAnsi="Calibri" w:cstheme="majorHAnsi"/>
                <w:color w:val="04326C"/>
                <w:sz w:val="24"/>
                <w:szCs w:val="24"/>
                <w:vertAlign w:val="superscript"/>
              </w:rPr>
              <w:t>th</w:t>
            </w:r>
            <w:r w:rsidRPr="002827DE">
              <w:rPr>
                <w:rFonts w:ascii="Calibri" w:hAnsi="Calibri" w:cstheme="majorHAnsi"/>
                <w:color w:val="04326C"/>
                <w:sz w:val="24"/>
                <w:szCs w:val="24"/>
              </w:rPr>
              <w:t xml:space="preserve">, 2019: Put in use as a </w:t>
            </w:r>
            <w:r w:rsidR="00763030" w:rsidRPr="002827DE">
              <w:rPr>
                <w:rFonts w:ascii="Calibri" w:hAnsi="Calibri" w:cstheme="majorHAnsi"/>
                <w:color w:val="04326C"/>
                <w:sz w:val="24"/>
                <w:szCs w:val="24"/>
              </w:rPr>
              <w:t xml:space="preserve">resource tool for staff and students on the consortium website; put into use as a </w:t>
            </w:r>
            <w:r w:rsidRPr="002827DE">
              <w:rPr>
                <w:rFonts w:ascii="Calibri" w:hAnsi="Calibri" w:cstheme="majorHAnsi"/>
                <w:color w:val="04326C"/>
                <w:sz w:val="24"/>
                <w:szCs w:val="24"/>
              </w:rPr>
              <w:t xml:space="preserve">marketing tool </w:t>
            </w:r>
            <w:r w:rsidR="00763030" w:rsidRPr="002827DE">
              <w:rPr>
                <w:rFonts w:ascii="Calibri" w:hAnsi="Calibri" w:cstheme="majorHAnsi"/>
                <w:color w:val="04326C"/>
                <w:sz w:val="24"/>
                <w:szCs w:val="24"/>
              </w:rPr>
              <w:t>on at least social media.</w:t>
            </w:r>
            <w:r w:rsidRPr="002827DE">
              <w:rPr>
                <w:rFonts w:ascii="Calibri" w:hAnsi="Calibri" w:cstheme="majorHAnsi"/>
                <w:color w:val="04326C"/>
                <w:sz w:val="24"/>
                <w:szCs w:val="24"/>
              </w:rPr>
              <w:t xml:space="preserve"> </w:t>
            </w:r>
          </w:p>
        </w:tc>
      </w:tr>
      <w:tr w:rsidR="00610C37" w:rsidRPr="002827DE" w14:paraId="3E4B7D90" w14:textId="77777777" w:rsidTr="00BB5C5E">
        <w:tc>
          <w:tcPr>
            <w:tcW w:w="1998" w:type="dxa"/>
          </w:tcPr>
          <w:p w14:paraId="04B11C6E" w14:textId="77777777" w:rsidR="00766AD1" w:rsidRPr="002827DE" w:rsidRDefault="00766AD1" w:rsidP="00766AD1">
            <w:pPr>
              <w:spacing w:after="0" w:line="240" w:lineRule="auto"/>
              <w:rPr>
                <w:rFonts w:ascii="Calibri" w:hAnsi="Calibri" w:cs="Arial"/>
                <w:color w:val="04326C"/>
                <w:sz w:val="24"/>
                <w:szCs w:val="24"/>
              </w:rPr>
            </w:pPr>
            <w:r w:rsidRPr="002827DE">
              <w:rPr>
                <w:rFonts w:ascii="Calibri" w:hAnsi="Calibri" w:cs="Arial"/>
                <w:color w:val="04326C"/>
                <w:sz w:val="24"/>
                <w:szCs w:val="24"/>
              </w:rPr>
              <w:t xml:space="preserve">By September 2020, develop a matrix of student actions, behaviors and attitudes that are commonly shared by a cohort of successful students who have transitioned to the community college from the adult schools.  </w:t>
            </w:r>
          </w:p>
          <w:p w14:paraId="7494F89E" w14:textId="77777777" w:rsidR="00610C37" w:rsidRPr="002827DE" w:rsidRDefault="00610C37" w:rsidP="00D6478F">
            <w:pPr>
              <w:spacing w:after="0" w:line="240" w:lineRule="auto"/>
              <w:rPr>
                <w:rFonts w:asciiTheme="minorHAnsi" w:hAnsiTheme="minorHAnsi" w:cs="Arial"/>
                <w:color w:val="04326C"/>
                <w:sz w:val="24"/>
                <w:szCs w:val="24"/>
              </w:rPr>
            </w:pPr>
          </w:p>
        </w:tc>
        <w:tc>
          <w:tcPr>
            <w:tcW w:w="3600" w:type="dxa"/>
          </w:tcPr>
          <w:p w14:paraId="17C3D43A" w14:textId="77777777" w:rsidR="00BB5C5E" w:rsidRPr="002827DE" w:rsidRDefault="00766AD1" w:rsidP="00BB5C5E">
            <w:pPr>
              <w:spacing w:after="0" w:line="240" w:lineRule="auto"/>
              <w:rPr>
                <w:rFonts w:ascii="Calibri" w:hAnsi="Calibri" w:cs="Arial"/>
                <w:color w:val="04326C"/>
                <w:sz w:val="24"/>
                <w:szCs w:val="24"/>
              </w:rPr>
            </w:pPr>
            <w:r w:rsidRPr="002827DE">
              <w:rPr>
                <w:rFonts w:ascii="Calibri" w:hAnsi="Calibri" w:cs="Arial"/>
                <w:color w:val="04326C"/>
                <w:sz w:val="24"/>
                <w:szCs w:val="24"/>
              </w:rPr>
              <w:t>By September 2019,</w:t>
            </w:r>
          </w:p>
          <w:p w14:paraId="40823C91" w14:textId="063E3D75" w:rsidR="00BB5C5E" w:rsidRPr="002827DE" w:rsidRDefault="00BB5C5E" w:rsidP="00BB5C5E">
            <w:pPr>
              <w:spacing w:after="0" w:line="240" w:lineRule="auto"/>
              <w:rPr>
                <w:rFonts w:ascii="Calibri" w:hAnsi="Calibri" w:cs="Arial"/>
                <w:color w:val="04326C"/>
                <w:sz w:val="24"/>
                <w:szCs w:val="24"/>
              </w:rPr>
            </w:pPr>
            <w:r w:rsidRPr="002827DE">
              <w:rPr>
                <w:rFonts w:ascii="Calibri" w:hAnsi="Calibri" w:cs="Arial"/>
                <w:color w:val="04326C"/>
                <w:sz w:val="24"/>
                <w:szCs w:val="24"/>
              </w:rPr>
              <w:t xml:space="preserve">a) </w:t>
            </w:r>
            <w:r w:rsidR="00766AD1" w:rsidRPr="002827DE">
              <w:rPr>
                <w:rFonts w:ascii="Calibri" w:hAnsi="Calibri" w:cs="Arial"/>
                <w:color w:val="04326C"/>
                <w:sz w:val="24"/>
                <w:szCs w:val="24"/>
              </w:rPr>
              <w:t>create survey questions for incoming community college freshmen who are transitioning from the adult school</w:t>
            </w:r>
            <w:r w:rsidRPr="002827DE">
              <w:rPr>
                <w:rFonts w:ascii="Calibri" w:hAnsi="Calibri" w:cs="Arial"/>
                <w:color w:val="04326C"/>
                <w:sz w:val="24"/>
                <w:szCs w:val="24"/>
              </w:rPr>
              <w:t>;</w:t>
            </w:r>
          </w:p>
          <w:p w14:paraId="343C3356" w14:textId="77777777" w:rsidR="00BB5C5E" w:rsidRPr="002827DE" w:rsidRDefault="00BB5C5E" w:rsidP="00BB5C5E">
            <w:pPr>
              <w:spacing w:after="0" w:line="240" w:lineRule="auto"/>
              <w:rPr>
                <w:rFonts w:ascii="Calibri" w:hAnsi="Calibri" w:cs="Arial"/>
                <w:color w:val="04326C"/>
                <w:sz w:val="24"/>
                <w:szCs w:val="24"/>
              </w:rPr>
            </w:pPr>
            <w:r w:rsidRPr="002827DE">
              <w:rPr>
                <w:rFonts w:ascii="Calibri" w:hAnsi="Calibri" w:cs="Arial"/>
                <w:color w:val="04326C"/>
                <w:sz w:val="24"/>
                <w:szCs w:val="24"/>
              </w:rPr>
              <w:t>b) i</w:t>
            </w:r>
            <w:r w:rsidR="00766AD1" w:rsidRPr="002827DE">
              <w:rPr>
                <w:rFonts w:ascii="Calibri" w:hAnsi="Calibri" w:cs="Arial"/>
                <w:color w:val="04326C"/>
                <w:sz w:val="24"/>
                <w:szCs w:val="24"/>
              </w:rPr>
              <w:t>dentify a cohort of students and administer the survey quarterly beginning in October 2019</w:t>
            </w:r>
            <w:r w:rsidRPr="002827DE">
              <w:rPr>
                <w:rFonts w:ascii="Calibri" w:hAnsi="Calibri" w:cs="Arial"/>
                <w:color w:val="04326C"/>
                <w:sz w:val="24"/>
                <w:szCs w:val="24"/>
              </w:rPr>
              <w:t>;</w:t>
            </w:r>
          </w:p>
          <w:p w14:paraId="268DEA35" w14:textId="77777777" w:rsidR="00BB5C5E" w:rsidRPr="002827DE" w:rsidRDefault="00BB5C5E" w:rsidP="00BB5C5E">
            <w:pPr>
              <w:spacing w:after="0" w:line="240" w:lineRule="auto"/>
              <w:rPr>
                <w:rFonts w:ascii="Calibri" w:hAnsi="Calibri" w:cs="Arial"/>
                <w:color w:val="04326C"/>
                <w:sz w:val="24"/>
                <w:szCs w:val="24"/>
              </w:rPr>
            </w:pPr>
            <w:r w:rsidRPr="002827DE">
              <w:rPr>
                <w:rFonts w:ascii="Calibri" w:hAnsi="Calibri" w:cs="Arial"/>
                <w:color w:val="04326C"/>
                <w:sz w:val="24"/>
                <w:szCs w:val="24"/>
              </w:rPr>
              <w:t>c) engage the help of the Data Work Group to define and set data parameters of persistence;</w:t>
            </w:r>
          </w:p>
          <w:p w14:paraId="1212B019" w14:textId="31C9F26F" w:rsidR="00610C37" w:rsidRPr="002827DE" w:rsidRDefault="00BB5C5E" w:rsidP="00BB5C5E">
            <w:pPr>
              <w:spacing w:after="0" w:line="240" w:lineRule="auto"/>
              <w:rPr>
                <w:rFonts w:asciiTheme="minorHAnsi" w:hAnsiTheme="minorHAnsi" w:cs="Arial"/>
                <w:color w:val="04326C"/>
                <w:sz w:val="24"/>
                <w:szCs w:val="24"/>
              </w:rPr>
            </w:pPr>
            <w:r w:rsidRPr="002827DE">
              <w:rPr>
                <w:rFonts w:ascii="Calibri" w:hAnsi="Calibri" w:cs="Arial"/>
                <w:color w:val="04326C"/>
                <w:sz w:val="24"/>
                <w:szCs w:val="24"/>
              </w:rPr>
              <w:t>d) b</w:t>
            </w:r>
            <w:r w:rsidR="00766AD1" w:rsidRPr="002827DE">
              <w:rPr>
                <w:rFonts w:ascii="Calibri" w:hAnsi="Calibri" w:cs="Arial"/>
                <w:color w:val="04326C"/>
                <w:sz w:val="24"/>
                <w:szCs w:val="24"/>
              </w:rPr>
              <w:t xml:space="preserve">y September 2020—utilize the survey results to </w:t>
            </w:r>
            <w:r w:rsidRPr="002827DE">
              <w:rPr>
                <w:rFonts w:ascii="Calibri" w:hAnsi="Calibri" w:cs="Arial"/>
                <w:color w:val="04326C"/>
                <w:sz w:val="24"/>
                <w:szCs w:val="24"/>
              </w:rPr>
              <w:t>1</w:t>
            </w:r>
            <w:r w:rsidR="00766AD1" w:rsidRPr="002827DE">
              <w:rPr>
                <w:rFonts w:ascii="Calibri" w:hAnsi="Calibri" w:cs="Arial"/>
                <w:color w:val="04326C"/>
                <w:sz w:val="24"/>
                <w:szCs w:val="24"/>
              </w:rPr>
              <w:t xml:space="preserve">) develop a matrix of student actions, behaviors and attitudes that are commonly shared by successful students who have transitioned from the adult schools to the community colleges; b) work with the Professional Development workgroup to carry out a consortium-wide training about these actions, behaviors and attitudes and generate activities at the </w:t>
            </w:r>
            <w:r w:rsidR="00766AD1" w:rsidRPr="002827DE">
              <w:rPr>
                <w:rFonts w:ascii="Calibri" w:hAnsi="Calibri" w:cs="Arial"/>
                <w:color w:val="04326C"/>
                <w:sz w:val="24"/>
                <w:szCs w:val="24"/>
              </w:rPr>
              <w:lastRenderedPageBreak/>
              <w:t>community college to further this support; c) have consortium-wide transition procedures, services, and curriculum that all adult school students receive</w:t>
            </w:r>
          </w:p>
        </w:tc>
        <w:tc>
          <w:tcPr>
            <w:tcW w:w="1584" w:type="dxa"/>
          </w:tcPr>
          <w:p w14:paraId="38EC5AAB" w14:textId="77777777" w:rsidR="00766AD1" w:rsidRPr="002827DE" w:rsidRDefault="00766AD1" w:rsidP="00766AD1">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lastRenderedPageBreak/>
              <w:t>Student Support Work Group.</w:t>
            </w:r>
          </w:p>
          <w:p w14:paraId="002CA436" w14:textId="77777777" w:rsidR="00610C37" w:rsidRPr="002827DE" w:rsidRDefault="00766AD1" w:rsidP="00766AD1">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Project managers TBD.</w:t>
            </w:r>
          </w:p>
          <w:p w14:paraId="4BA46D8E" w14:textId="77777777" w:rsidR="00BB5C5E" w:rsidRPr="002827DE" w:rsidRDefault="00BB5C5E" w:rsidP="00766AD1">
            <w:pPr>
              <w:spacing w:after="0" w:line="240" w:lineRule="auto"/>
              <w:rPr>
                <w:rFonts w:asciiTheme="minorHAnsi" w:hAnsiTheme="minorHAnsi" w:cs="Arial"/>
                <w:color w:val="04326C"/>
                <w:sz w:val="24"/>
                <w:szCs w:val="24"/>
              </w:rPr>
            </w:pPr>
          </w:p>
          <w:p w14:paraId="2B66595A" w14:textId="1ED8C0E4" w:rsidR="00BB5C5E" w:rsidRPr="002827DE" w:rsidRDefault="00BB5C5E" w:rsidP="00766AD1">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Data Work Group to determine definition and data parameters for “persistence.”</w:t>
            </w:r>
          </w:p>
          <w:p w14:paraId="107EA10C" w14:textId="77777777" w:rsidR="00BB5C5E" w:rsidRPr="002827DE" w:rsidRDefault="00BB5C5E" w:rsidP="00766AD1">
            <w:pPr>
              <w:spacing w:after="0" w:line="240" w:lineRule="auto"/>
              <w:rPr>
                <w:rFonts w:asciiTheme="minorHAnsi" w:hAnsiTheme="minorHAnsi" w:cs="Arial"/>
                <w:color w:val="04326C"/>
                <w:sz w:val="24"/>
                <w:szCs w:val="24"/>
              </w:rPr>
            </w:pPr>
          </w:p>
          <w:p w14:paraId="71FA7BBB" w14:textId="7C6CB0E2" w:rsidR="00BB5C5E" w:rsidRPr="002827DE" w:rsidRDefault="00BB5C5E" w:rsidP="00766AD1">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Professional Development Work Group to help train consortium-wide staff and faculty in the results.</w:t>
            </w:r>
          </w:p>
        </w:tc>
        <w:tc>
          <w:tcPr>
            <w:tcW w:w="2394" w:type="dxa"/>
          </w:tcPr>
          <w:p w14:paraId="3169AE2B" w14:textId="142E3971" w:rsidR="00D357F8" w:rsidRDefault="00BB5C5E" w:rsidP="00D6478F">
            <w:pPr>
              <w:spacing w:after="0" w:line="240" w:lineRule="auto"/>
              <w:rPr>
                <w:rFonts w:asciiTheme="minorHAnsi" w:hAnsiTheme="minorHAnsi" w:cs="Arial"/>
                <w:color w:val="04326C"/>
                <w:sz w:val="24"/>
                <w:szCs w:val="24"/>
              </w:rPr>
            </w:pPr>
            <w:r w:rsidRPr="002827DE">
              <w:rPr>
                <w:rFonts w:ascii="Calibri" w:hAnsi="Calibri" w:cs="Arial"/>
                <w:color w:val="04326C"/>
                <w:sz w:val="24"/>
                <w:szCs w:val="24"/>
              </w:rPr>
              <w:t>B</w:t>
            </w:r>
            <w:r w:rsidR="00766AD1" w:rsidRPr="002827DE">
              <w:rPr>
                <w:rFonts w:ascii="Calibri" w:hAnsi="Calibri" w:cs="Arial"/>
                <w:color w:val="04326C"/>
                <w:sz w:val="24"/>
                <w:szCs w:val="24"/>
              </w:rPr>
              <w:t>y June 2022, see a minimum of a 10% increase in former adult school student persistence and completion rates at the community colleges.</w:t>
            </w:r>
          </w:p>
          <w:p w14:paraId="4C5E5BA6" w14:textId="77777777" w:rsidR="00610C37" w:rsidRPr="00D357F8" w:rsidRDefault="00610C37" w:rsidP="00D357F8">
            <w:pPr>
              <w:jc w:val="center"/>
              <w:rPr>
                <w:rFonts w:asciiTheme="minorHAnsi" w:hAnsiTheme="minorHAnsi" w:cs="Arial"/>
                <w:sz w:val="24"/>
                <w:szCs w:val="24"/>
              </w:rPr>
            </w:pPr>
          </w:p>
        </w:tc>
      </w:tr>
      <w:tr w:rsidR="00610C37" w:rsidRPr="002827DE" w14:paraId="2A0D29E0" w14:textId="77777777" w:rsidTr="00BB5C5E">
        <w:tc>
          <w:tcPr>
            <w:tcW w:w="1998" w:type="dxa"/>
          </w:tcPr>
          <w:p w14:paraId="711CE443" w14:textId="6DB734D7" w:rsidR="00610C37" w:rsidRPr="002827DE" w:rsidRDefault="00BE15E2" w:rsidP="00D6478F">
            <w:pPr>
              <w:spacing w:after="0" w:line="240" w:lineRule="auto"/>
              <w:rPr>
                <w:rFonts w:asciiTheme="minorHAnsi" w:hAnsiTheme="minorHAnsi" w:cs="Arial"/>
                <w:color w:val="04326C"/>
                <w:sz w:val="24"/>
                <w:szCs w:val="24"/>
              </w:rPr>
            </w:pPr>
            <w:r w:rsidRPr="002827DE">
              <w:rPr>
                <w:rFonts w:ascii="Calibri" w:hAnsi="Calibri" w:cstheme="majorHAnsi"/>
                <w:color w:val="04326C"/>
                <w:sz w:val="24"/>
                <w:szCs w:val="24"/>
              </w:rPr>
              <w:lastRenderedPageBreak/>
              <w:t>By June, 2020—increase support for adult school students with financial barriers by a) having dual enrollment fee waivers for co-enrolled adult school students and b) have two adult school classes articulated with one or more of the colleges.</w:t>
            </w:r>
          </w:p>
        </w:tc>
        <w:tc>
          <w:tcPr>
            <w:tcW w:w="3600" w:type="dxa"/>
          </w:tcPr>
          <w:p w14:paraId="66F487E0" w14:textId="7B53AA66" w:rsidR="00610C37" w:rsidRPr="002827DE" w:rsidRDefault="00B17846"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 xml:space="preserve">a) </w:t>
            </w:r>
            <w:r w:rsidR="00BE15E2" w:rsidRPr="002827DE">
              <w:rPr>
                <w:rFonts w:asciiTheme="minorHAnsi" w:hAnsiTheme="minorHAnsi" w:cs="Arial"/>
                <w:color w:val="04326C"/>
                <w:sz w:val="24"/>
                <w:szCs w:val="24"/>
              </w:rPr>
              <w:t>Dual Enrollment Fee Waivers:  Leadership Board members and the Director of the Consortium</w:t>
            </w:r>
            <w:r w:rsidRPr="002827DE">
              <w:rPr>
                <w:rFonts w:asciiTheme="minorHAnsi" w:hAnsiTheme="minorHAnsi" w:cs="Arial"/>
                <w:color w:val="04326C"/>
                <w:sz w:val="24"/>
                <w:szCs w:val="24"/>
              </w:rPr>
              <w:t xml:space="preserve"> will work with the colleges to change Board Policy to allow for the same dual enrollment fee waiver as K-12 students;</w:t>
            </w:r>
          </w:p>
          <w:p w14:paraId="7C6DCE34" w14:textId="1A792D0B" w:rsidR="00B17846" w:rsidRPr="002827DE" w:rsidRDefault="000E7E8D" w:rsidP="00B17846">
            <w:pPr>
              <w:spacing w:after="0" w:line="240" w:lineRule="auto"/>
              <w:rPr>
                <w:rFonts w:asciiTheme="minorHAnsi" w:hAnsiTheme="minorHAnsi" w:cs="Arial"/>
                <w:color w:val="04326C"/>
                <w:sz w:val="24"/>
                <w:szCs w:val="24"/>
              </w:rPr>
            </w:pPr>
            <w:r>
              <w:rPr>
                <w:rFonts w:asciiTheme="minorHAnsi" w:hAnsiTheme="minorHAnsi" w:cs="Arial"/>
                <w:color w:val="04326C"/>
                <w:sz w:val="24"/>
                <w:szCs w:val="24"/>
              </w:rPr>
              <w:t xml:space="preserve">b) </w:t>
            </w:r>
            <w:r w:rsidR="00B17846" w:rsidRPr="002827DE">
              <w:rPr>
                <w:rFonts w:asciiTheme="minorHAnsi" w:hAnsiTheme="minorHAnsi" w:cs="Arial"/>
                <w:color w:val="04326C"/>
                <w:sz w:val="24"/>
                <w:szCs w:val="24"/>
              </w:rPr>
              <w:t xml:space="preserve">CTE members from the Adult Schools with administrative support </w:t>
            </w:r>
            <w:r>
              <w:rPr>
                <w:rFonts w:asciiTheme="minorHAnsi" w:hAnsiTheme="minorHAnsi" w:cs="Arial"/>
                <w:color w:val="04326C"/>
                <w:sz w:val="24"/>
                <w:szCs w:val="24"/>
              </w:rPr>
              <w:t xml:space="preserve">from CCs </w:t>
            </w:r>
            <w:r w:rsidR="00B17846" w:rsidRPr="002827DE">
              <w:rPr>
                <w:rFonts w:asciiTheme="minorHAnsi" w:hAnsiTheme="minorHAnsi" w:cs="Arial"/>
                <w:color w:val="04326C"/>
                <w:sz w:val="24"/>
                <w:szCs w:val="24"/>
              </w:rPr>
              <w:t xml:space="preserve">will collaborate with specific </w:t>
            </w:r>
            <w:r>
              <w:rPr>
                <w:rFonts w:asciiTheme="minorHAnsi" w:hAnsiTheme="minorHAnsi" w:cs="Arial"/>
                <w:color w:val="04326C"/>
                <w:sz w:val="24"/>
                <w:szCs w:val="24"/>
              </w:rPr>
              <w:t xml:space="preserve">CC </w:t>
            </w:r>
            <w:r w:rsidR="00B17846" w:rsidRPr="002827DE">
              <w:rPr>
                <w:rFonts w:asciiTheme="minorHAnsi" w:hAnsiTheme="minorHAnsi" w:cs="Arial"/>
                <w:color w:val="04326C"/>
                <w:sz w:val="24"/>
                <w:szCs w:val="24"/>
              </w:rPr>
              <w:t>departments to find the first two areas where there can be an alignment of curriculum.  They will go through the specific department process for creating the articulated agreement.</w:t>
            </w:r>
          </w:p>
        </w:tc>
        <w:tc>
          <w:tcPr>
            <w:tcW w:w="1584" w:type="dxa"/>
          </w:tcPr>
          <w:p w14:paraId="1B8CA870" w14:textId="28730A8D" w:rsidR="00610C37" w:rsidRPr="002827DE" w:rsidRDefault="00BE15E2" w:rsidP="00D6478F">
            <w:pPr>
              <w:spacing w:after="0" w:line="240" w:lineRule="auto"/>
              <w:rPr>
                <w:rFonts w:asciiTheme="minorHAnsi" w:hAnsiTheme="minorHAnsi" w:cs="Arial"/>
                <w:color w:val="04326C"/>
                <w:sz w:val="24"/>
                <w:szCs w:val="24"/>
              </w:rPr>
            </w:pPr>
            <w:r w:rsidRPr="002827DE">
              <w:rPr>
                <w:rFonts w:asciiTheme="minorHAnsi" w:hAnsiTheme="minorHAnsi" w:cs="Arial"/>
                <w:color w:val="04326C"/>
                <w:sz w:val="24"/>
                <w:szCs w:val="24"/>
              </w:rPr>
              <w:t>Leadership Board, Consortium Director and Curriculum Articulation and Alignment.</w:t>
            </w:r>
          </w:p>
        </w:tc>
        <w:tc>
          <w:tcPr>
            <w:tcW w:w="2394" w:type="dxa"/>
          </w:tcPr>
          <w:p w14:paraId="51BD0F1C" w14:textId="34804DF1" w:rsidR="00B17846" w:rsidRPr="002827DE" w:rsidRDefault="00B17846" w:rsidP="00B17846">
            <w:pPr>
              <w:spacing w:after="0" w:line="240" w:lineRule="auto"/>
              <w:rPr>
                <w:rFonts w:asciiTheme="minorHAnsi" w:hAnsiTheme="minorHAnsi" w:cs="Arial"/>
                <w:color w:val="1F3864" w:themeColor="accent1" w:themeShade="80"/>
                <w:sz w:val="24"/>
                <w:szCs w:val="24"/>
              </w:rPr>
            </w:pPr>
            <w:r w:rsidRPr="002827DE">
              <w:rPr>
                <w:rFonts w:asciiTheme="minorHAnsi" w:hAnsiTheme="minorHAnsi" w:cs="Arial"/>
                <w:color w:val="04326C"/>
                <w:sz w:val="24"/>
                <w:szCs w:val="24"/>
              </w:rPr>
              <w:t xml:space="preserve">a) a written policy and process for fee waivers will be disseminated by June </w:t>
            </w:r>
            <w:r w:rsidRPr="002827DE">
              <w:rPr>
                <w:rFonts w:asciiTheme="minorHAnsi" w:hAnsiTheme="minorHAnsi" w:cs="Arial"/>
                <w:color w:val="1F3864" w:themeColor="accent1" w:themeShade="80"/>
                <w:sz w:val="24"/>
                <w:szCs w:val="24"/>
              </w:rPr>
              <w:t xml:space="preserve">2020; </w:t>
            </w:r>
          </w:p>
          <w:p w14:paraId="1B17382E" w14:textId="21B84572" w:rsidR="00B17846" w:rsidRPr="002827DE" w:rsidRDefault="00B17846" w:rsidP="00B17846">
            <w:pPr>
              <w:rPr>
                <w:rFonts w:ascii="Calibri" w:hAnsi="Calibri"/>
                <w:color w:val="1F3864" w:themeColor="accent1" w:themeShade="80"/>
                <w:sz w:val="24"/>
                <w:szCs w:val="24"/>
              </w:rPr>
            </w:pPr>
            <w:r w:rsidRPr="002827DE">
              <w:rPr>
                <w:rFonts w:ascii="Calibri" w:hAnsi="Calibri"/>
                <w:color w:val="1F3864" w:themeColor="accent1" w:themeShade="80"/>
                <w:sz w:val="24"/>
                <w:szCs w:val="24"/>
              </w:rPr>
              <w:t>b) an MOU or equivalent document will be signed establishing the articulated agreement and the opportunity will be advertised in adult school brochures and websites as well as the consortium website.</w:t>
            </w:r>
          </w:p>
          <w:p w14:paraId="7E269ACA" w14:textId="517DF04D" w:rsidR="00B17846" w:rsidRPr="002827DE" w:rsidRDefault="00B17846" w:rsidP="00B17846">
            <w:pPr>
              <w:rPr>
                <w:sz w:val="24"/>
                <w:szCs w:val="24"/>
              </w:rPr>
            </w:pPr>
          </w:p>
        </w:tc>
      </w:tr>
    </w:tbl>
    <w:p w14:paraId="4B607676" w14:textId="77777777" w:rsidR="00610C37" w:rsidRPr="002827DE" w:rsidRDefault="00610C37" w:rsidP="00D6478F">
      <w:pPr>
        <w:spacing w:after="0" w:line="240" w:lineRule="auto"/>
        <w:rPr>
          <w:rFonts w:asciiTheme="minorHAnsi" w:hAnsiTheme="minorHAnsi" w:cs="Arial"/>
          <w:color w:val="04326C"/>
          <w:sz w:val="24"/>
          <w:szCs w:val="24"/>
        </w:rPr>
      </w:pPr>
    </w:p>
    <w:sectPr w:rsidR="00610C37" w:rsidRPr="002827DE" w:rsidSect="00C444D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28EF58" w14:textId="77777777" w:rsidR="00D27E99" w:rsidRDefault="00D27E99" w:rsidP="00600745">
      <w:pPr>
        <w:spacing w:after="0" w:line="240" w:lineRule="auto"/>
      </w:pPr>
      <w:r>
        <w:separator/>
      </w:r>
    </w:p>
  </w:endnote>
  <w:endnote w:type="continuationSeparator" w:id="0">
    <w:p w14:paraId="47655952" w14:textId="77777777" w:rsidR="00D27E99" w:rsidRDefault="00D27E99" w:rsidP="00600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at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Avenir Next">
    <w:altName w:val="Avenir Next Regular"/>
    <w:charset w:val="00"/>
    <w:family w:val="swiss"/>
    <w:pitch w:val="variable"/>
    <w:sig w:usb0="8000002F" w:usb1="5000204A" w:usb2="00000000" w:usb3="00000000" w:csb0="0000009B" w:csb1="00000000"/>
  </w:font>
  <w:font w:name="Lato Light">
    <w:altName w:val="Calibri"/>
    <w:charset w:val="00"/>
    <w:family w:val="auto"/>
    <w:pitch w:val="default"/>
  </w:font>
  <w:font w:name="Calibri Light">
    <w:panose1 w:val="020F0302020204030204"/>
    <w:charset w:val="00"/>
    <w:family w:val="auto"/>
    <w:pitch w:val="variable"/>
    <w:sig w:usb0="A00002EF" w:usb1="4000207B" w:usb2="00000000" w:usb3="00000000" w:csb0="0000009F" w:csb1="00000000"/>
  </w:font>
  <w:font w:name="Avenir Roman">
    <w:panose1 w:val="020B0503020203020204"/>
    <w:charset w:val="00"/>
    <w:family w:val="auto"/>
    <w:pitch w:val="variable"/>
    <w:sig w:usb0="800000AF" w:usb1="5000204A" w:usb2="00000000" w:usb3="00000000" w:csb0="0000009B" w:csb1="00000000"/>
  </w:font>
  <w:font w:name="Yu Gothic Light">
    <w:charset w:val="80"/>
    <w:family w:val="auto"/>
    <w:pitch w:val="variable"/>
    <w:sig w:usb0="E00002FF" w:usb1="2AC7FDFF" w:usb2="00000016" w:usb3="00000000" w:csb0="0002009F" w:csb1="00000000"/>
  </w:font>
  <w:font w:name="Avenir Next Ultra Light">
    <w:panose1 w:val="020B0203020202020204"/>
    <w:charset w:val="00"/>
    <w:family w:val="auto"/>
    <w:pitch w:val="variable"/>
    <w:sig w:usb0="800000AF" w:usb1="5000204A" w:usb2="00000000" w:usb3="00000000" w:csb0="0000009B"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D3C2" w14:textId="77777777" w:rsidR="00D27E99" w:rsidRDefault="00D27E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949F" w14:textId="041B217F" w:rsidR="00D27E99" w:rsidRPr="00603443" w:rsidRDefault="00D27E99" w:rsidP="00C444D1">
    <w:pPr>
      <w:spacing w:after="0"/>
      <w:rPr>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1530B" w14:textId="68AEEECD" w:rsidR="00D27E99" w:rsidRDefault="00D27E99" w:rsidP="00603443">
    <w:pPr>
      <w:pStyle w:val="Footer"/>
      <w:ind w:right="360"/>
      <w:jc w:val="right"/>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58C20A" w14:textId="6BC2AEDC" w:rsidR="00D27E99" w:rsidRPr="00C444D1" w:rsidRDefault="00D27E99" w:rsidP="00C444D1">
    <w:pPr>
      <w:spacing w:after="0"/>
      <w:jc w:val="right"/>
      <w:rPr>
        <w:sz w:val="16"/>
      </w:rPr>
    </w:pPr>
    <w:r w:rsidRPr="00C94148">
      <w:rPr>
        <w:i/>
        <w:sz w:val="16"/>
      </w:rPr>
      <w:t xml:space="preserve">2019-21 Consortium Three-Year Plan | </w:t>
    </w:r>
    <w:r w:rsidRPr="00C94148">
      <w:rPr>
        <w:i/>
        <w:sz w:val="16"/>
      </w:rPr>
      <w:fldChar w:fldCharType="begin"/>
    </w:r>
    <w:r w:rsidRPr="00C94148">
      <w:rPr>
        <w:i/>
        <w:sz w:val="16"/>
      </w:rPr>
      <w:instrText>PAGE</w:instrText>
    </w:r>
    <w:r w:rsidRPr="00C94148">
      <w:rPr>
        <w:i/>
        <w:sz w:val="16"/>
      </w:rPr>
      <w:fldChar w:fldCharType="separate"/>
    </w:r>
    <w:r w:rsidR="008C0695">
      <w:rPr>
        <w:i/>
        <w:noProof/>
        <w:sz w:val="16"/>
      </w:rPr>
      <w:t>26</w:t>
    </w:r>
    <w:r w:rsidRPr="00C94148">
      <w:rPr>
        <w:i/>
        <w:sz w:val="16"/>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41785238"/>
      <w:docPartObj>
        <w:docPartGallery w:val="Page Numbers (Bottom of Page)"/>
        <w:docPartUnique/>
      </w:docPartObj>
    </w:sdtPr>
    <w:sdtEndPr>
      <w:rPr>
        <w:rStyle w:val="PageNumber"/>
        <w:sz w:val="18"/>
      </w:rPr>
    </w:sdtEndPr>
    <w:sdtContent>
      <w:p w14:paraId="037E23F0" w14:textId="77777777" w:rsidR="00D27E99" w:rsidRDefault="00D27E99" w:rsidP="00603443">
        <w:pPr>
          <w:pStyle w:val="Footer"/>
          <w:framePr w:wrap="none" w:vAnchor="text" w:hAnchor="page" w:x="7879" w:y="179"/>
          <w:ind w:right="360"/>
          <w:jc w:val="right"/>
          <w:rPr>
            <w:rStyle w:val="PageNumber"/>
          </w:rPr>
        </w:pPr>
        <w:r w:rsidRPr="00C94148">
          <w:rPr>
            <w:i/>
            <w:sz w:val="16"/>
          </w:rPr>
          <w:t xml:space="preserve">2019-21 Consortium Three-Year Plan |  </w:t>
        </w:r>
        <w:r w:rsidRPr="00603443">
          <w:rPr>
            <w:rStyle w:val="PageNumber"/>
            <w:sz w:val="18"/>
          </w:rPr>
          <w:fldChar w:fldCharType="begin"/>
        </w:r>
        <w:r w:rsidRPr="00603443">
          <w:rPr>
            <w:rStyle w:val="PageNumber"/>
            <w:sz w:val="18"/>
          </w:rPr>
          <w:instrText xml:space="preserve"> PAGE </w:instrText>
        </w:r>
        <w:r w:rsidRPr="00603443">
          <w:rPr>
            <w:rStyle w:val="PageNumber"/>
            <w:sz w:val="18"/>
          </w:rPr>
          <w:fldChar w:fldCharType="separate"/>
        </w:r>
        <w:r w:rsidRPr="00603443">
          <w:rPr>
            <w:rStyle w:val="PageNumber"/>
            <w:noProof/>
            <w:sz w:val="18"/>
          </w:rPr>
          <w:t>1</w:t>
        </w:r>
        <w:r w:rsidRPr="00603443">
          <w:rPr>
            <w:rStyle w:val="PageNumber"/>
            <w:sz w:val="18"/>
          </w:rPr>
          <w:fldChar w:fldCharType="end"/>
        </w:r>
        <w:r>
          <w:rPr>
            <w:rStyle w:val="PageNumber"/>
            <w:sz w:val="18"/>
          </w:rPr>
          <w:t xml:space="preserve"> of </w:t>
        </w:r>
        <w:r>
          <w:rPr>
            <w:rStyle w:val="PageNumber"/>
            <w:sz w:val="18"/>
          </w:rPr>
          <w:fldChar w:fldCharType="begin"/>
        </w:r>
        <w:r>
          <w:rPr>
            <w:rStyle w:val="PageNumber"/>
            <w:sz w:val="18"/>
          </w:rPr>
          <w:instrText xml:space="preserve"> NUMPAGES  \* MERGEFORMAT </w:instrText>
        </w:r>
        <w:r>
          <w:rPr>
            <w:rStyle w:val="PageNumber"/>
            <w:sz w:val="18"/>
          </w:rPr>
          <w:fldChar w:fldCharType="separate"/>
        </w:r>
        <w:r w:rsidR="006F1B1E">
          <w:rPr>
            <w:rStyle w:val="PageNumber"/>
            <w:noProof/>
            <w:sz w:val="18"/>
          </w:rPr>
          <w:t>29</w:t>
        </w:r>
        <w:r>
          <w:rPr>
            <w:rStyle w:val="PageNumber"/>
            <w:sz w:val="18"/>
          </w:rPr>
          <w:fldChar w:fldCharType="end"/>
        </w:r>
      </w:p>
    </w:sdtContent>
  </w:sdt>
  <w:p w14:paraId="193562CA" w14:textId="77777777" w:rsidR="00D27E99" w:rsidRDefault="00D27E99" w:rsidP="00C444D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9A3D1" w14:textId="77777777" w:rsidR="00D27E99" w:rsidRDefault="00D27E99" w:rsidP="00600745">
      <w:pPr>
        <w:spacing w:after="0" w:line="240" w:lineRule="auto"/>
      </w:pPr>
      <w:r>
        <w:separator/>
      </w:r>
    </w:p>
  </w:footnote>
  <w:footnote w:type="continuationSeparator" w:id="0">
    <w:p w14:paraId="0A4A42F3" w14:textId="77777777" w:rsidR="00D27E99" w:rsidRDefault="00D27E99" w:rsidP="00600745">
      <w:pPr>
        <w:spacing w:after="0" w:line="240" w:lineRule="auto"/>
      </w:pPr>
      <w:r>
        <w:continuationSeparator/>
      </w:r>
    </w:p>
  </w:footnote>
  <w:footnote w:id="1">
    <w:p w14:paraId="7D74CC9B" w14:textId="0A05A926" w:rsidR="00D27E99" w:rsidRPr="00BF7C58" w:rsidRDefault="00D27E99">
      <w:pPr>
        <w:pStyle w:val="FootnoteText"/>
        <w:rPr>
          <w:rFonts w:ascii="Calibri" w:hAnsi="Calibri"/>
          <w:sz w:val="18"/>
          <w:szCs w:val="18"/>
        </w:rPr>
      </w:pPr>
      <w:r w:rsidRPr="00BF7C58">
        <w:rPr>
          <w:rStyle w:val="FootnoteReference"/>
          <w:rFonts w:ascii="Calibri" w:hAnsi="Calibri"/>
          <w:sz w:val="18"/>
          <w:szCs w:val="18"/>
        </w:rPr>
        <w:footnoteRef/>
      </w:r>
      <w:r w:rsidRPr="00BF7C58">
        <w:rPr>
          <w:rFonts w:ascii="Calibri" w:hAnsi="Calibri"/>
          <w:sz w:val="18"/>
          <w:szCs w:val="18"/>
        </w:rPr>
        <w:t xml:space="preserve"> The revised Mission and Vision, approved in December 2018 can be found in section 2.2.</w:t>
      </w:r>
    </w:p>
  </w:footnote>
  <w:footnote w:id="2">
    <w:p w14:paraId="1058E611" w14:textId="6D4799AC" w:rsidR="00D27E99" w:rsidRPr="00D36C78" w:rsidRDefault="00D27E99">
      <w:pPr>
        <w:pStyle w:val="FootnoteText"/>
        <w:rPr>
          <w:sz w:val="20"/>
          <w:szCs w:val="20"/>
        </w:rPr>
      </w:pPr>
      <w:r w:rsidRPr="00D36C78">
        <w:rPr>
          <w:rStyle w:val="FootnoteReference"/>
          <w:sz w:val="20"/>
          <w:szCs w:val="20"/>
        </w:rPr>
        <w:footnoteRef/>
      </w:r>
      <w:r w:rsidRPr="00D36C78">
        <w:rPr>
          <w:sz w:val="20"/>
          <w:szCs w:val="20"/>
        </w:rPr>
        <w:t xml:space="preserve"> It should be noted that Mountain View-Los Altos data was not captured accurately.  An additional 1,438 students were not captured on Launchboard due to reporting practices.  This will be accurately reflected in the 2018-2019 numbers.</w:t>
      </w:r>
    </w:p>
  </w:footnote>
  <w:footnote w:id="3">
    <w:p w14:paraId="3CC64AB9" w14:textId="4CD8F11D" w:rsidR="00D27E99" w:rsidRPr="001E74C0" w:rsidRDefault="00D27E99">
      <w:pPr>
        <w:pStyle w:val="FootnoteText"/>
        <w:rPr>
          <w:rFonts w:ascii="Calibri" w:hAnsi="Calibri"/>
          <w:sz w:val="18"/>
          <w:szCs w:val="18"/>
        </w:rPr>
      </w:pPr>
      <w:r w:rsidRPr="001E74C0">
        <w:rPr>
          <w:rStyle w:val="FootnoteReference"/>
          <w:rFonts w:ascii="Calibri" w:hAnsi="Calibri"/>
          <w:sz w:val="18"/>
          <w:szCs w:val="18"/>
        </w:rPr>
        <w:footnoteRef/>
      </w:r>
      <w:r w:rsidRPr="001E74C0">
        <w:rPr>
          <w:rFonts w:ascii="Calibri" w:hAnsi="Calibri"/>
          <w:sz w:val="18"/>
          <w:szCs w:val="18"/>
        </w:rPr>
        <w:t xml:space="preserve"> Data Dashboard 3/4/19</w:t>
      </w:r>
    </w:p>
  </w:footnote>
  <w:footnote w:id="4">
    <w:p w14:paraId="67B8C075" w14:textId="63DB9A22"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AEP Community Data 11/13/18</w:t>
      </w:r>
    </w:p>
  </w:footnote>
  <w:footnote w:id="5">
    <w:p w14:paraId="64A2B94F" w14:textId="3636F571"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CalPass Plus Data Pipeline (Launchboard)</w:t>
      </w:r>
    </w:p>
  </w:footnote>
  <w:footnote w:id="6">
    <w:p w14:paraId="2EBA759E" w14:textId="4F0CFD8A"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CalPass Plus Data Pipeline (Launchboard)</w:t>
      </w:r>
    </w:p>
  </w:footnote>
  <w:footnote w:id="7">
    <w:p w14:paraId="4F9465E8" w14:textId="52BA12A5"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CalPass Plus Data Pipeline (Launchboard)</w:t>
      </w:r>
    </w:p>
  </w:footnote>
  <w:footnote w:id="8">
    <w:p w14:paraId="45B700ED" w14:textId="06CD4B55"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AEP Community Data 11/13/18</w:t>
      </w:r>
    </w:p>
  </w:footnote>
  <w:footnote w:id="9">
    <w:p w14:paraId="675A2535" w14:textId="669F9C8B"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CalPass Plus Data Pipeline (Launchboard)</w:t>
      </w:r>
    </w:p>
  </w:footnote>
  <w:footnote w:id="10">
    <w:p w14:paraId="3034F640" w14:textId="6E7BE740" w:rsidR="00D27E99" w:rsidRPr="00140F8B"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CalPass Plus Data Pipeline (Launchboard)</w:t>
      </w:r>
    </w:p>
  </w:footnote>
  <w:footnote w:id="11">
    <w:p w14:paraId="3B32C50B" w14:textId="0C8E3084" w:rsidR="00D27E99" w:rsidRPr="002827DE" w:rsidRDefault="00D27E99">
      <w:pPr>
        <w:pStyle w:val="FootnoteText"/>
        <w:rPr>
          <w:rFonts w:asciiTheme="minorHAnsi" w:hAnsiTheme="minorHAnsi"/>
          <w:sz w:val="18"/>
          <w:szCs w:val="18"/>
        </w:rPr>
      </w:pPr>
      <w:r w:rsidRPr="00140F8B">
        <w:rPr>
          <w:rStyle w:val="FootnoteReference"/>
          <w:rFonts w:asciiTheme="minorHAnsi" w:hAnsiTheme="minorHAnsi"/>
          <w:sz w:val="18"/>
          <w:szCs w:val="18"/>
        </w:rPr>
        <w:footnoteRef/>
      </w:r>
      <w:r w:rsidRPr="00140F8B">
        <w:rPr>
          <w:rFonts w:asciiTheme="minorHAnsi" w:hAnsiTheme="minorHAnsi"/>
          <w:sz w:val="18"/>
          <w:szCs w:val="18"/>
        </w:rPr>
        <w:t xml:space="preserve"> CalPass Plus Data Pipeline (Launchboard)</w:t>
      </w:r>
    </w:p>
  </w:footnote>
  <w:footnote w:id="12">
    <w:p w14:paraId="26C86D1C" w14:textId="11E32FAE" w:rsidR="00D27E99" w:rsidRPr="0075442E" w:rsidRDefault="00D27E99">
      <w:pPr>
        <w:pStyle w:val="FootnoteText"/>
        <w:rPr>
          <w:rFonts w:ascii="Calibri" w:hAnsi="Calibri"/>
          <w:sz w:val="18"/>
          <w:szCs w:val="18"/>
        </w:rPr>
      </w:pPr>
      <w:r w:rsidRPr="0075442E">
        <w:rPr>
          <w:rStyle w:val="FootnoteReference"/>
          <w:rFonts w:ascii="Calibri" w:hAnsi="Calibri"/>
          <w:sz w:val="18"/>
          <w:szCs w:val="18"/>
        </w:rPr>
        <w:footnoteRef/>
      </w:r>
      <w:r w:rsidRPr="0075442E">
        <w:rPr>
          <w:rFonts w:ascii="Calibri" w:hAnsi="Calibri"/>
          <w:sz w:val="18"/>
          <w:szCs w:val="18"/>
        </w:rPr>
        <w:t xml:space="preserve"> See section 2.2 for an explanation of NSC’s in-house Data Dashboard</w:t>
      </w:r>
    </w:p>
  </w:footnote>
  <w:footnote w:id="13">
    <w:p w14:paraId="26703862" w14:textId="164975D4" w:rsidR="00D27E99" w:rsidRPr="00BD2713" w:rsidRDefault="00D27E99">
      <w:pPr>
        <w:pStyle w:val="FootnoteText"/>
        <w:rPr>
          <w:rFonts w:ascii="Calibri" w:hAnsi="Calibri"/>
          <w:sz w:val="20"/>
          <w:szCs w:val="20"/>
        </w:rPr>
      </w:pPr>
      <w:r w:rsidRPr="00BD2713">
        <w:rPr>
          <w:rStyle w:val="FootnoteReference"/>
          <w:rFonts w:ascii="Calibri" w:hAnsi="Calibri"/>
          <w:sz w:val="20"/>
          <w:szCs w:val="20"/>
        </w:rPr>
        <w:footnoteRef/>
      </w:r>
      <w:r w:rsidRPr="00BD2713">
        <w:rPr>
          <w:rFonts w:ascii="Calibri" w:hAnsi="Calibri"/>
          <w:sz w:val="20"/>
          <w:szCs w:val="20"/>
        </w:rPr>
        <w:t xml:space="preserve"> </w:t>
      </w:r>
      <w:r w:rsidRPr="00BD2713">
        <w:rPr>
          <w:rFonts w:ascii="Calibri" w:hAnsi="Calibri" w:cs="Arial"/>
          <w:color w:val="04326C"/>
          <w:sz w:val="20"/>
          <w:szCs w:val="20"/>
        </w:rPr>
        <w:t xml:space="preserve">One anticipated need will be in creating a professional development opportunity sharing the data acquired from the Student Support goal to research actions, behaviors and attitudes of successful students who have transitioned from the adult schools to the community colleges and reflect and change support services, curriculum, and systems to increase student success, persistence and completion.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5EB8D" w14:textId="4F891103" w:rsidR="00D27E99" w:rsidRDefault="00D27E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3A8E1" w14:textId="2F50F30D" w:rsidR="00D27E99" w:rsidRDefault="00D27E99" w:rsidP="007C5BD1">
    <w:pPr>
      <w:jc w:val="right"/>
      <w:rPr>
        <w:color w:val="FF0000"/>
      </w:rPr>
    </w:pPr>
    <w:r w:rsidRPr="00D42100">
      <w:rPr>
        <w:noProof/>
        <w:color w:val="FF0000"/>
      </w:rPr>
      <w:drawing>
        <wp:anchor distT="0" distB="0" distL="114300" distR="114300" simplePos="0" relativeHeight="251659264" behindDoc="0" locked="1" layoutInCell="1" allowOverlap="1" wp14:anchorId="432B098C" wp14:editId="70EA2C65">
          <wp:simplePos x="0" y="0"/>
          <wp:positionH relativeFrom="margin">
            <wp:posOffset>0</wp:posOffset>
          </wp:positionH>
          <wp:positionV relativeFrom="topMargin">
            <wp:align>center</wp:align>
          </wp:positionV>
          <wp:extent cx="1856232" cy="484632"/>
          <wp:effectExtent l="0" t="0" r="0" b="0"/>
          <wp:wrapThrough wrapText="bothSides">
            <wp:wrapPolygon edited="0">
              <wp:start x="0" y="0"/>
              <wp:lineTo x="0" y="16419"/>
              <wp:lineTo x="1330" y="18118"/>
              <wp:lineTo x="1330" y="20949"/>
              <wp:lineTo x="21430" y="20949"/>
              <wp:lineTo x="21430" y="6228"/>
              <wp:lineTo x="17292" y="4529"/>
              <wp:lineTo x="4434" y="0"/>
              <wp:lineTo x="0" y="0"/>
            </wp:wrapPolygon>
          </wp:wrapThrough>
          <wp:docPr id="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6232" cy="484632"/>
                  </a:xfrm>
                  <a:prstGeom prst="rect">
                    <a:avLst/>
                  </a:prstGeom>
                  <a:ln/>
                </pic:spPr>
              </pic:pic>
            </a:graphicData>
          </a:graphic>
          <wp14:sizeRelH relativeFrom="margin">
            <wp14:pctWidth>0</wp14:pctWidth>
          </wp14:sizeRelH>
          <wp14:sizeRelV relativeFrom="margin">
            <wp14:pctHeight>0</wp14:pctHeight>
          </wp14:sizeRelV>
        </wp:anchor>
      </w:drawing>
    </w:r>
    <w:r>
      <w:rPr>
        <w:color w:val="auto"/>
      </w:rPr>
      <w:t>North Santa Clara County (17)</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9043A" w14:textId="585E9161" w:rsidR="00D27E99" w:rsidRPr="009C284F" w:rsidRDefault="00D27E99" w:rsidP="009C284F">
    <w:pPr>
      <w:spacing w:after="0" w:line="240" w:lineRule="auto"/>
      <w:ind w:right="-450"/>
      <w:jc w:val="right"/>
      <w:rPr>
        <w:rFonts w:ascii="Avenir Next Ultra Light" w:eastAsia="Lato Light" w:hAnsi="Avenir Next Ultra Light" w:cstheme="majorHAnsi"/>
        <w:color w:val="666666"/>
        <w:sz w:val="32"/>
        <w:szCs w:val="52"/>
      </w:rPr>
    </w:pPr>
    <w:r w:rsidRPr="009C284F">
      <w:rPr>
        <w:rFonts w:ascii="Avenir Next Ultra Light" w:eastAsia="Lato Light" w:hAnsi="Avenir Next Ultra Light" w:cstheme="majorHAnsi"/>
        <w:color w:val="666666"/>
        <w:sz w:val="32"/>
        <w:szCs w:val="52"/>
      </w:rPr>
      <w:t>CONSORTIUM THREE-YEAR PLAN</w:t>
    </w:r>
  </w:p>
  <w:p w14:paraId="7F8E4EC7" w14:textId="32BFE865" w:rsidR="00D27E99" w:rsidRPr="009C284F" w:rsidRDefault="00D27E99" w:rsidP="009C284F">
    <w:pPr>
      <w:spacing w:after="0" w:line="240" w:lineRule="auto"/>
      <w:ind w:right="-450"/>
      <w:jc w:val="right"/>
      <w:rPr>
        <w:rFonts w:ascii="Avenir Next Ultra Light" w:eastAsia="Lato Light" w:hAnsi="Avenir Next Ultra Light" w:cstheme="majorHAnsi"/>
        <w:color w:val="666666"/>
        <w:sz w:val="32"/>
        <w:szCs w:val="52"/>
      </w:rPr>
    </w:pPr>
    <w:r w:rsidRPr="009C284F">
      <w:rPr>
        <w:rFonts w:ascii="Avenir Next Ultra Light" w:eastAsia="Lato Light" w:hAnsi="Avenir Next Ultra Light" w:cstheme="majorHAnsi"/>
        <w:color w:val="666666"/>
        <w:sz w:val="32"/>
        <w:szCs w:val="52"/>
      </w:rPr>
      <w:t>2019-2022</w:t>
    </w:r>
  </w:p>
  <w:p w14:paraId="66F51B88" w14:textId="6D78CA84" w:rsidR="00D27E99" w:rsidRDefault="00D27E99">
    <w:pPr>
      <w:pStyle w:val="Header"/>
    </w:pPr>
    <w:r>
      <w:rPr>
        <w:noProof/>
        <w:color w:val="FF0000"/>
      </w:rPr>
      <w:drawing>
        <wp:anchor distT="0" distB="0" distL="114300" distR="114300" simplePos="0" relativeHeight="251669504" behindDoc="0" locked="0" layoutInCell="1" allowOverlap="1" wp14:anchorId="4DFE1613" wp14:editId="05288BF8">
          <wp:simplePos x="0" y="0"/>
          <wp:positionH relativeFrom="column">
            <wp:posOffset>-418011</wp:posOffset>
          </wp:positionH>
          <wp:positionV relativeFrom="page">
            <wp:posOffset>392430</wp:posOffset>
          </wp:positionV>
          <wp:extent cx="1856105" cy="484505"/>
          <wp:effectExtent l="0" t="0" r="0" b="0"/>
          <wp:wrapThrough wrapText="bothSides">
            <wp:wrapPolygon edited="0">
              <wp:start x="0" y="0"/>
              <wp:lineTo x="0" y="16419"/>
              <wp:lineTo x="1330" y="18118"/>
              <wp:lineTo x="1330" y="20949"/>
              <wp:lineTo x="21430" y="20949"/>
              <wp:lineTo x="21430" y="6228"/>
              <wp:lineTo x="17292" y="4529"/>
              <wp:lineTo x="4434" y="0"/>
              <wp:lineTo x="0" y="0"/>
            </wp:wrapPolygon>
          </wp:wrapThrough>
          <wp:docPr id="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6105" cy="48450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6032A" w14:textId="6AB07684" w:rsidR="00D27E99" w:rsidRDefault="00D27E99">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633E" w14:textId="3EFC28A7" w:rsidR="00D27E99" w:rsidRDefault="00D27E99">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AE3F0" w14:textId="0EBF9CB8" w:rsidR="00D27E99" w:rsidRDefault="00D27E9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1019"/>
    <w:multiLevelType w:val="hybridMultilevel"/>
    <w:tmpl w:val="9DAC3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00CA6487"/>
    <w:multiLevelType w:val="hybridMultilevel"/>
    <w:tmpl w:val="A3941306"/>
    <w:lvl w:ilvl="0" w:tplc="563E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A949C5"/>
    <w:multiLevelType w:val="hybridMultilevel"/>
    <w:tmpl w:val="23B65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24C90"/>
    <w:multiLevelType w:val="hybridMultilevel"/>
    <w:tmpl w:val="8BDCE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C5D9D"/>
    <w:multiLevelType w:val="hybridMultilevel"/>
    <w:tmpl w:val="475E5C6C"/>
    <w:lvl w:ilvl="0" w:tplc="AF223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8FE37DD"/>
    <w:multiLevelType w:val="hybridMultilevel"/>
    <w:tmpl w:val="BDCE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62782"/>
    <w:multiLevelType w:val="hybridMultilevel"/>
    <w:tmpl w:val="70F025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C5CF0"/>
    <w:multiLevelType w:val="hybridMultilevel"/>
    <w:tmpl w:val="535C7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0000F6"/>
    <w:multiLevelType w:val="hybridMultilevel"/>
    <w:tmpl w:val="007620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14E66D3E"/>
    <w:multiLevelType w:val="hybridMultilevel"/>
    <w:tmpl w:val="4A309366"/>
    <w:lvl w:ilvl="0" w:tplc="563E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8A5472"/>
    <w:multiLevelType w:val="hybridMultilevel"/>
    <w:tmpl w:val="ECE6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195913"/>
    <w:multiLevelType w:val="hybridMultilevel"/>
    <w:tmpl w:val="EC36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3E7F55"/>
    <w:multiLevelType w:val="hybridMultilevel"/>
    <w:tmpl w:val="3F3C71E6"/>
    <w:lvl w:ilvl="0" w:tplc="563E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03B1EBE"/>
    <w:multiLevelType w:val="hybridMultilevel"/>
    <w:tmpl w:val="2B9C4E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E152359"/>
    <w:multiLevelType w:val="hybridMultilevel"/>
    <w:tmpl w:val="EDF2FE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EA3808"/>
    <w:multiLevelType w:val="hybridMultilevel"/>
    <w:tmpl w:val="D95E92C2"/>
    <w:lvl w:ilvl="0" w:tplc="04090015">
      <w:start w:val="1"/>
      <w:numFmt w:val="upperLetter"/>
      <w:lvlText w:val="%1."/>
      <w:lvlJc w:val="left"/>
      <w:pPr>
        <w:ind w:left="720" w:hanging="360"/>
      </w:pPr>
    </w:lvl>
    <w:lvl w:ilvl="1" w:tplc="9CAE65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CD5970"/>
    <w:multiLevelType w:val="hybridMultilevel"/>
    <w:tmpl w:val="EECA3EBA"/>
    <w:lvl w:ilvl="0" w:tplc="E8885028">
      <w:start w:val="1"/>
      <w:numFmt w:val="decimal"/>
      <w:lvlText w:val="%1."/>
      <w:lvlJc w:val="left"/>
      <w:pPr>
        <w:ind w:left="720" w:hanging="360"/>
      </w:pPr>
      <w:rPr>
        <w:rFonts w:asciiTheme="minorHAnsi" w:eastAsia="Lato"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6167C0"/>
    <w:multiLevelType w:val="hybridMultilevel"/>
    <w:tmpl w:val="FA6E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6E14ED"/>
    <w:multiLevelType w:val="hybridMultilevel"/>
    <w:tmpl w:val="2300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0A05C7"/>
    <w:multiLevelType w:val="hybridMultilevel"/>
    <w:tmpl w:val="390E5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FE1BC9"/>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75B5676"/>
    <w:multiLevelType w:val="hybridMultilevel"/>
    <w:tmpl w:val="BF72F01E"/>
    <w:lvl w:ilvl="0" w:tplc="E4C86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94A16CF"/>
    <w:multiLevelType w:val="hybridMultilevel"/>
    <w:tmpl w:val="98EE5214"/>
    <w:lvl w:ilvl="0" w:tplc="563EEB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A87803"/>
    <w:multiLevelType w:val="hybridMultilevel"/>
    <w:tmpl w:val="8B9A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90DA3"/>
    <w:multiLevelType w:val="hybridMultilevel"/>
    <w:tmpl w:val="9A7AB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EA0AB3"/>
    <w:multiLevelType w:val="hybridMultilevel"/>
    <w:tmpl w:val="C8C240CA"/>
    <w:lvl w:ilvl="0" w:tplc="9C56F6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F2E193B"/>
    <w:multiLevelType w:val="hybridMultilevel"/>
    <w:tmpl w:val="466E8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A451B4"/>
    <w:multiLevelType w:val="hybridMultilevel"/>
    <w:tmpl w:val="730AE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6A6AA8"/>
    <w:multiLevelType w:val="hybridMultilevel"/>
    <w:tmpl w:val="E0D83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8"/>
  </w:num>
  <w:num w:numId="3">
    <w:abstractNumId w:val="10"/>
  </w:num>
  <w:num w:numId="4">
    <w:abstractNumId w:val="8"/>
  </w:num>
  <w:num w:numId="5">
    <w:abstractNumId w:val="0"/>
  </w:num>
  <w:num w:numId="6">
    <w:abstractNumId w:val="14"/>
  </w:num>
  <w:num w:numId="7">
    <w:abstractNumId w:val="7"/>
  </w:num>
  <w:num w:numId="8">
    <w:abstractNumId w:val="5"/>
  </w:num>
  <w:num w:numId="9">
    <w:abstractNumId w:val="17"/>
  </w:num>
  <w:num w:numId="10">
    <w:abstractNumId w:val="3"/>
  </w:num>
  <w:num w:numId="11">
    <w:abstractNumId w:val="27"/>
  </w:num>
  <w:num w:numId="12">
    <w:abstractNumId w:val="15"/>
  </w:num>
  <w:num w:numId="13">
    <w:abstractNumId w:val="13"/>
  </w:num>
  <w:num w:numId="14">
    <w:abstractNumId w:val="11"/>
  </w:num>
  <w:num w:numId="15">
    <w:abstractNumId w:val="18"/>
  </w:num>
  <w:num w:numId="16">
    <w:abstractNumId w:val="23"/>
  </w:num>
  <w:num w:numId="17">
    <w:abstractNumId w:val="25"/>
  </w:num>
  <w:num w:numId="18">
    <w:abstractNumId w:val="21"/>
  </w:num>
  <w:num w:numId="19">
    <w:abstractNumId w:val="16"/>
  </w:num>
  <w:num w:numId="20">
    <w:abstractNumId w:val="26"/>
  </w:num>
  <w:num w:numId="21">
    <w:abstractNumId w:val="22"/>
  </w:num>
  <w:num w:numId="22">
    <w:abstractNumId w:val="9"/>
  </w:num>
  <w:num w:numId="23">
    <w:abstractNumId w:val="1"/>
  </w:num>
  <w:num w:numId="24">
    <w:abstractNumId w:val="4"/>
  </w:num>
  <w:num w:numId="25">
    <w:abstractNumId w:val="19"/>
  </w:num>
  <w:num w:numId="26">
    <w:abstractNumId w:val="12"/>
  </w:num>
  <w:num w:numId="27">
    <w:abstractNumId w:val="2"/>
  </w:num>
  <w:num w:numId="28">
    <w:abstractNumId w:val="24"/>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oNotTrackMoves/>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745"/>
    <w:rsid w:val="00005BBF"/>
    <w:rsid w:val="00006A36"/>
    <w:rsid w:val="00007905"/>
    <w:rsid w:val="00007F05"/>
    <w:rsid w:val="00011670"/>
    <w:rsid w:val="00014E76"/>
    <w:rsid w:val="00016E3D"/>
    <w:rsid w:val="000210AD"/>
    <w:rsid w:val="000337C9"/>
    <w:rsid w:val="00036D98"/>
    <w:rsid w:val="00037126"/>
    <w:rsid w:val="00040814"/>
    <w:rsid w:val="000422BA"/>
    <w:rsid w:val="00047935"/>
    <w:rsid w:val="00050A68"/>
    <w:rsid w:val="0005560A"/>
    <w:rsid w:val="000561B1"/>
    <w:rsid w:val="000675B1"/>
    <w:rsid w:val="000769FD"/>
    <w:rsid w:val="000777C0"/>
    <w:rsid w:val="00081AA7"/>
    <w:rsid w:val="000845D5"/>
    <w:rsid w:val="00092797"/>
    <w:rsid w:val="00092989"/>
    <w:rsid w:val="00092BAA"/>
    <w:rsid w:val="000A1F33"/>
    <w:rsid w:val="000A3FF7"/>
    <w:rsid w:val="000A6B81"/>
    <w:rsid w:val="000B15EE"/>
    <w:rsid w:val="000B5C7E"/>
    <w:rsid w:val="000B6B3F"/>
    <w:rsid w:val="000C0327"/>
    <w:rsid w:val="000C1256"/>
    <w:rsid w:val="000C4C72"/>
    <w:rsid w:val="000C4CD3"/>
    <w:rsid w:val="000C6700"/>
    <w:rsid w:val="000C79FA"/>
    <w:rsid w:val="000D2AF7"/>
    <w:rsid w:val="000D431D"/>
    <w:rsid w:val="000E1E1D"/>
    <w:rsid w:val="000E2B6F"/>
    <w:rsid w:val="000E543A"/>
    <w:rsid w:val="000E7E8D"/>
    <w:rsid w:val="000F37E1"/>
    <w:rsid w:val="00100334"/>
    <w:rsid w:val="0011265B"/>
    <w:rsid w:val="00123687"/>
    <w:rsid w:val="0013657B"/>
    <w:rsid w:val="00140F8B"/>
    <w:rsid w:val="001443E8"/>
    <w:rsid w:val="0015257F"/>
    <w:rsid w:val="00154969"/>
    <w:rsid w:val="0017319E"/>
    <w:rsid w:val="00195A14"/>
    <w:rsid w:val="001A0BEF"/>
    <w:rsid w:val="001B0DCC"/>
    <w:rsid w:val="001B40BC"/>
    <w:rsid w:val="001B4CF9"/>
    <w:rsid w:val="001C1EEB"/>
    <w:rsid w:val="001C3E21"/>
    <w:rsid w:val="001C6C57"/>
    <w:rsid w:val="001D528E"/>
    <w:rsid w:val="001D5CA7"/>
    <w:rsid w:val="001E3918"/>
    <w:rsid w:val="001E3A1C"/>
    <w:rsid w:val="001E53E8"/>
    <w:rsid w:val="001E74C0"/>
    <w:rsid w:val="0020336F"/>
    <w:rsid w:val="00217FAB"/>
    <w:rsid w:val="002228C6"/>
    <w:rsid w:val="00223EA4"/>
    <w:rsid w:val="00225F0B"/>
    <w:rsid w:val="00226CD1"/>
    <w:rsid w:val="00231C7A"/>
    <w:rsid w:val="002353F9"/>
    <w:rsid w:val="002376B8"/>
    <w:rsid w:val="00247987"/>
    <w:rsid w:val="00254557"/>
    <w:rsid w:val="00257B61"/>
    <w:rsid w:val="002648F6"/>
    <w:rsid w:val="00267507"/>
    <w:rsid w:val="0027354D"/>
    <w:rsid w:val="0028169B"/>
    <w:rsid w:val="002827DE"/>
    <w:rsid w:val="002907BC"/>
    <w:rsid w:val="0029598D"/>
    <w:rsid w:val="002A4BAF"/>
    <w:rsid w:val="002C1832"/>
    <w:rsid w:val="002C2484"/>
    <w:rsid w:val="002C5F16"/>
    <w:rsid w:val="002D79A6"/>
    <w:rsid w:val="002E3FCF"/>
    <w:rsid w:val="002F3EE9"/>
    <w:rsid w:val="00303BDD"/>
    <w:rsid w:val="00306154"/>
    <w:rsid w:val="0031049E"/>
    <w:rsid w:val="00321C55"/>
    <w:rsid w:val="00324451"/>
    <w:rsid w:val="00326E6F"/>
    <w:rsid w:val="0033290A"/>
    <w:rsid w:val="00337D4F"/>
    <w:rsid w:val="003549E4"/>
    <w:rsid w:val="003557AA"/>
    <w:rsid w:val="003571D2"/>
    <w:rsid w:val="00357EA0"/>
    <w:rsid w:val="003632DE"/>
    <w:rsid w:val="003660B0"/>
    <w:rsid w:val="00370253"/>
    <w:rsid w:val="003712EA"/>
    <w:rsid w:val="00372DDA"/>
    <w:rsid w:val="00382B43"/>
    <w:rsid w:val="00386339"/>
    <w:rsid w:val="003868C2"/>
    <w:rsid w:val="0039248E"/>
    <w:rsid w:val="0039283B"/>
    <w:rsid w:val="003965D4"/>
    <w:rsid w:val="003A0699"/>
    <w:rsid w:val="003A5736"/>
    <w:rsid w:val="003B09A4"/>
    <w:rsid w:val="003B430A"/>
    <w:rsid w:val="003B5055"/>
    <w:rsid w:val="003B51D5"/>
    <w:rsid w:val="003C6759"/>
    <w:rsid w:val="003E06C6"/>
    <w:rsid w:val="003E6CEE"/>
    <w:rsid w:val="003F05FD"/>
    <w:rsid w:val="003F71D4"/>
    <w:rsid w:val="003F78BC"/>
    <w:rsid w:val="004053CB"/>
    <w:rsid w:val="00424F19"/>
    <w:rsid w:val="00440C50"/>
    <w:rsid w:val="00461FF8"/>
    <w:rsid w:val="00462063"/>
    <w:rsid w:val="004676CF"/>
    <w:rsid w:val="00471B29"/>
    <w:rsid w:val="00472CB9"/>
    <w:rsid w:val="004978C3"/>
    <w:rsid w:val="004A024C"/>
    <w:rsid w:val="004A4B47"/>
    <w:rsid w:val="004B1259"/>
    <w:rsid w:val="004B1B8D"/>
    <w:rsid w:val="004B1E49"/>
    <w:rsid w:val="004B2B8E"/>
    <w:rsid w:val="004C0340"/>
    <w:rsid w:val="004C1AF3"/>
    <w:rsid w:val="004D01BF"/>
    <w:rsid w:val="004D4B27"/>
    <w:rsid w:val="004D5405"/>
    <w:rsid w:val="004D5D07"/>
    <w:rsid w:val="004E08A5"/>
    <w:rsid w:val="005063C8"/>
    <w:rsid w:val="005105F6"/>
    <w:rsid w:val="00514BA1"/>
    <w:rsid w:val="0052789A"/>
    <w:rsid w:val="00535D34"/>
    <w:rsid w:val="00541D83"/>
    <w:rsid w:val="00543C3A"/>
    <w:rsid w:val="0054682D"/>
    <w:rsid w:val="00547EE7"/>
    <w:rsid w:val="00552CBB"/>
    <w:rsid w:val="00562C42"/>
    <w:rsid w:val="005664C5"/>
    <w:rsid w:val="005707FA"/>
    <w:rsid w:val="005740FE"/>
    <w:rsid w:val="005863CF"/>
    <w:rsid w:val="00586E60"/>
    <w:rsid w:val="00591750"/>
    <w:rsid w:val="00591C05"/>
    <w:rsid w:val="005B06DA"/>
    <w:rsid w:val="005B2825"/>
    <w:rsid w:val="005B3CDD"/>
    <w:rsid w:val="005C3435"/>
    <w:rsid w:val="005C5EE4"/>
    <w:rsid w:val="005C6654"/>
    <w:rsid w:val="005D27E8"/>
    <w:rsid w:val="005D2E1D"/>
    <w:rsid w:val="005D6967"/>
    <w:rsid w:val="005D6B66"/>
    <w:rsid w:val="005F1DAC"/>
    <w:rsid w:val="00600745"/>
    <w:rsid w:val="00602C7C"/>
    <w:rsid w:val="00603443"/>
    <w:rsid w:val="00610C37"/>
    <w:rsid w:val="006117E8"/>
    <w:rsid w:val="0062059A"/>
    <w:rsid w:val="00642845"/>
    <w:rsid w:val="00645F47"/>
    <w:rsid w:val="00662825"/>
    <w:rsid w:val="00663E42"/>
    <w:rsid w:val="0066684C"/>
    <w:rsid w:val="00670FFE"/>
    <w:rsid w:val="0067122C"/>
    <w:rsid w:val="00671C2A"/>
    <w:rsid w:val="006A0624"/>
    <w:rsid w:val="006A2BDB"/>
    <w:rsid w:val="006A2FA7"/>
    <w:rsid w:val="006A4065"/>
    <w:rsid w:val="006A71FB"/>
    <w:rsid w:val="006B162D"/>
    <w:rsid w:val="006B3774"/>
    <w:rsid w:val="006E1FDA"/>
    <w:rsid w:val="006E45FB"/>
    <w:rsid w:val="006F1B1E"/>
    <w:rsid w:val="00724378"/>
    <w:rsid w:val="00726B89"/>
    <w:rsid w:val="0073110A"/>
    <w:rsid w:val="00733FB1"/>
    <w:rsid w:val="00741CD8"/>
    <w:rsid w:val="0075442E"/>
    <w:rsid w:val="00761338"/>
    <w:rsid w:val="00763030"/>
    <w:rsid w:val="00766AD1"/>
    <w:rsid w:val="00770818"/>
    <w:rsid w:val="007755ED"/>
    <w:rsid w:val="00775D42"/>
    <w:rsid w:val="00776666"/>
    <w:rsid w:val="0078667F"/>
    <w:rsid w:val="007B66A2"/>
    <w:rsid w:val="007C411F"/>
    <w:rsid w:val="007C5B89"/>
    <w:rsid w:val="007C5BD1"/>
    <w:rsid w:val="007E5A07"/>
    <w:rsid w:val="007E7B70"/>
    <w:rsid w:val="007F6AAD"/>
    <w:rsid w:val="007F7B4B"/>
    <w:rsid w:val="00804301"/>
    <w:rsid w:val="00811842"/>
    <w:rsid w:val="00812CAA"/>
    <w:rsid w:val="008139E8"/>
    <w:rsid w:val="00814D61"/>
    <w:rsid w:val="0081551C"/>
    <w:rsid w:val="008162B1"/>
    <w:rsid w:val="00816E6C"/>
    <w:rsid w:val="00817420"/>
    <w:rsid w:val="00823116"/>
    <w:rsid w:val="008367D7"/>
    <w:rsid w:val="00842C0E"/>
    <w:rsid w:val="00845E01"/>
    <w:rsid w:val="00847867"/>
    <w:rsid w:val="00852BFA"/>
    <w:rsid w:val="00854E06"/>
    <w:rsid w:val="00871EB5"/>
    <w:rsid w:val="008830EF"/>
    <w:rsid w:val="00883349"/>
    <w:rsid w:val="00885F51"/>
    <w:rsid w:val="0089185E"/>
    <w:rsid w:val="00894F14"/>
    <w:rsid w:val="00896794"/>
    <w:rsid w:val="008A055D"/>
    <w:rsid w:val="008A3A63"/>
    <w:rsid w:val="008C0695"/>
    <w:rsid w:val="008C0B4E"/>
    <w:rsid w:val="008C1B6A"/>
    <w:rsid w:val="008E17D4"/>
    <w:rsid w:val="008E4612"/>
    <w:rsid w:val="008E4D6A"/>
    <w:rsid w:val="008F1B6D"/>
    <w:rsid w:val="008F363F"/>
    <w:rsid w:val="008F6A6B"/>
    <w:rsid w:val="009125CA"/>
    <w:rsid w:val="00915E51"/>
    <w:rsid w:val="00920179"/>
    <w:rsid w:val="0092268F"/>
    <w:rsid w:val="00923B06"/>
    <w:rsid w:val="00943443"/>
    <w:rsid w:val="0094466D"/>
    <w:rsid w:val="009514FC"/>
    <w:rsid w:val="00953A7B"/>
    <w:rsid w:val="009654D2"/>
    <w:rsid w:val="009656C0"/>
    <w:rsid w:val="00976123"/>
    <w:rsid w:val="00984CDF"/>
    <w:rsid w:val="0099452C"/>
    <w:rsid w:val="00996C88"/>
    <w:rsid w:val="009A3F84"/>
    <w:rsid w:val="009A7BDB"/>
    <w:rsid w:val="009B0576"/>
    <w:rsid w:val="009B55FD"/>
    <w:rsid w:val="009C284F"/>
    <w:rsid w:val="009C36A2"/>
    <w:rsid w:val="009E3339"/>
    <w:rsid w:val="009F1287"/>
    <w:rsid w:val="009F4D08"/>
    <w:rsid w:val="00A11CC5"/>
    <w:rsid w:val="00A232D5"/>
    <w:rsid w:val="00A24E54"/>
    <w:rsid w:val="00A26AEE"/>
    <w:rsid w:val="00A300DF"/>
    <w:rsid w:val="00A324A7"/>
    <w:rsid w:val="00A35581"/>
    <w:rsid w:val="00A54936"/>
    <w:rsid w:val="00A6431B"/>
    <w:rsid w:val="00A708E7"/>
    <w:rsid w:val="00A71051"/>
    <w:rsid w:val="00A73257"/>
    <w:rsid w:val="00A82377"/>
    <w:rsid w:val="00A841D7"/>
    <w:rsid w:val="00A861CB"/>
    <w:rsid w:val="00AA44AC"/>
    <w:rsid w:val="00AA5EB1"/>
    <w:rsid w:val="00AC2A27"/>
    <w:rsid w:val="00AC7230"/>
    <w:rsid w:val="00AC7587"/>
    <w:rsid w:val="00AD1958"/>
    <w:rsid w:val="00AD46B9"/>
    <w:rsid w:val="00AD4C75"/>
    <w:rsid w:val="00AD7C7C"/>
    <w:rsid w:val="00AE26E7"/>
    <w:rsid w:val="00AE323A"/>
    <w:rsid w:val="00AE331D"/>
    <w:rsid w:val="00AE48E3"/>
    <w:rsid w:val="00AE6A5E"/>
    <w:rsid w:val="00AE6BF3"/>
    <w:rsid w:val="00AF0146"/>
    <w:rsid w:val="00B10E9E"/>
    <w:rsid w:val="00B148D7"/>
    <w:rsid w:val="00B17846"/>
    <w:rsid w:val="00B20030"/>
    <w:rsid w:val="00B37DBE"/>
    <w:rsid w:val="00B40CFE"/>
    <w:rsid w:val="00B448B9"/>
    <w:rsid w:val="00B47F78"/>
    <w:rsid w:val="00B54634"/>
    <w:rsid w:val="00B67BD2"/>
    <w:rsid w:val="00B77AF0"/>
    <w:rsid w:val="00B80A65"/>
    <w:rsid w:val="00B919FB"/>
    <w:rsid w:val="00B934D8"/>
    <w:rsid w:val="00B96429"/>
    <w:rsid w:val="00B97E01"/>
    <w:rsid w:val="00BA6C2C"/>
    <w:rsid w:val="00BA7DBD"/>
    <w:rsid w:val="00BB4A98"/>
    <w:rsid w:val="00BB5493"/>
    <w:rsid w:val="00BB5C5E"/>
    <w:rsid w:val="00BC0EC1"/>
    <w:rsid w:val="00BC101C"/>
    <w:rsid w:val="00BD2713"/>
    <w:rsid w:val="00BD38F1"/>
    <w:rsid w:val="00BD77C6"/>
    <w:rsid w:val="00BE15E2"/>
    <w:rsid w:val="00BF4D26"/>
    <w:rsid w:val="00BF6405"/>
    <w:rsid w:val="00BF7C58"/>
    <w:rsid w:val="00C0506F"/>
    <w:rsid w:val="00C06442"/>
    <w:rsid w:val="00C065E3"/>
    <w:rsid w:val="00C10ABF"/>
    <w:rsid w:val="00C113ED"/>
    <w:rsid w:val="00C11E03"/>
    <w:rsid w:val="00C21FC6"/>
    <w:rsid w:val="00C25531"/>
    <w:rsid w:val="00C27372"/>
    <w:rsid w:val="00C27809"/>
    <w:rsid w:val="00C31868"/>
    <w:rsid w:val="00C444D1"/>
    <w:rsid w:val="00C47C96"/>
    <w:rsid w:val="00C5649D"/>
    <w:rsid w:val="00C7558E"/>
    <w:rsid w:val="00C844ED"/>
    <w:rsid w:val="00C84B0C"/>
    <w:rsid w:val="00C868E8"/>
    <w:rsid w:val="00C94148"/>
    <w:rsid w:val="00C9534F"/>
    <w:rsid w:val="00C962C3"/>
    <w:rsid w:val="00CA1C33"/>
    <w:rsid w:val="00CA4682"/>
    <w:rsid w:val="00CA5831"/>
    <w:rsid w:val="00CA619A"/>
    <w:rsid w:val="00CB1F57"/>
    <w:rsid w:val="00CC7F37"/>
    <w:rsid w:val="00CD0484"/>
    <w:rsid w:val="00CD1D20"/>
    <w:rsid w:val="00CD2CCD"/>
    <w:rsid w:val="00CD46CB"/>
    <w:rsid w:val="00CD4A3A"/>
    <w:rsid w:val="00CD7EC9"/>
    <w:rsid w:val="00CE38EB"/>
    <w:rsid w:val="00CF56DD"/>
    <w:rsid w:val="00D021D2"/>
    <w:rsid w:val="00D077B5"/>
    <w:rsid w:val="00D11A3A"/>
    <w:rsid w:val="00D16A41"/>
    <w:rsid w:val="00D1783D"/>
    <w:rsid w:val="00D203BF"/>
    <w:rsid w:val="00D27E99"/>
    <w:rsid w:val="00D30153"/>
    <w:rsid w:val="00D33DEE"/>
    <w:rsid w:val="00D357F8"/>
    <w:rsid w:val="00D35AAC"/>
    <w:rsid w:val="00D36C78"/>
    <w:rsid w:val="00D42100"/>
    <w:rsid w:val="00D44F28"/>
    <w:rsid w:val="00D51642"/>
    <w:rsid w:val="00D54E0E"/>
    <w:rsid w:val="00D56C61"/>
    <w:rsid w:val="00D636AF"/>
    <w:rsid w:val="00D6478F"/>
    <w:rsid w:val="00D672D3"/>
    <w:rsid w:val="00D67A4F"/>
    <w:rsid w:val="00D75444"/>
    <w:rsid w:val="00D82283"/>
    <w:rsid w:val="00D836BE"/>
    <w:rsid w:val="00D872F2"/>
    <w:rsid w:val="00D877A5"/>
    <w:rsid w:val="00D9132E"/>
    <w:rsid w:val="00D95331"/>
    <w:rsid w:val="00DA43B9"/>
    <w:rsid w:val="00DA4648"/>
    <w:rsid w:val="00DC3E1F"/>
    <w:rsid w:val="00DD36CA"/>
    <w:rsid w:val="00DD508B"/>
    <w:rsid w:val="00DE2BEF"/>
    <w:rsid w:val="00DF5980"/>
    <w:rsid w:val="00E05286"/>
    <w:rsid w:val="00E10C0F"/>
    <w:rsid w:val="00E254B1"/>
    <w:rsid w:val="00E2668D"/>
    <w:rsid w:val="00E34BF9"/>
    <w:rsid w:val="00E444E2"/>
    <w:rsid w:val="00E60A77"/>
    <w:rsid w:val="00E62E27"/>
    <w:rsid w:val="00E6661C"/>
    <w:rsid w:val="00E75BB0"/>
    <w:rsid w:val="00E76A5A"/>
    <w:rsid w:val="00E80BD0"/>
    <w:rsid w:val="00E8592F"/>
    <w:rsid w:val="00E97285"/>
    <w:rsid w:val="00EA17D8"/>
    <w:rsid w:val="00EA2E91"/>
    <w:rsid w:val="00EA5310"/>
    <w:rsid w:val="00EA5641"/>
    <w:rsid w:val="00EB227A"/>
    <w:rsid w:val="00EB698F"/>
    <w:rsid w:val="00ED7C32"/>
    <w:rsid w:val="00EE1C0A"/>
    <w:rsid w:val="00EE43C6"/>
    <w:rsid w:val="00EF495D"/>
    <w:rsid w:val="00EF63D2"/>
    <w:rsid w:val="00F13145"/>
    <w:rsid w:val="00F2303E"/>
    <w:rsid w:val="00F26199"/>
    <w:rsid w:val="00F35CE1"/>
    <w:rsid w:val="00F376BE"/>
    <w:rsid w:val="00F532F3"/>
    <w:rsid w:val="00F5673F"/>
    <w:rsid w:val="00F64105"/>
    <w:rsid w:val="00F64987"/>
    <w:rsid w:val="00F64F20"/>
    <w:rsid w:val="00F66C4F"/>
    <w:rsid w:val="00F80A75"/>
    <w:rsid w:val="00F92026"/>
    <w:rsid w:val="00F94103"/>
    <w:rsid w:val="00F947D1"/>
    <w:rsid w:val="00F95A70"/>
    <w:rsid w:val="00FA2984"/>
    <w:rsid w:val="00FA2FA2"/>
    <w:rsid w:val="00FA4B5A"/>
    <w:rsid w:val="00FA6367"/>
    <w:rsid w:val="00FA65E2"/>
    <w:rsid w:val="00FB3718"/>
    <w:rsid w:val="00FC6D43"/>
    <w:rsid w:val="00FD6569"/>
    <w:rsid w:val="00FE384D"/>
    <w:rsid w:val="00FE6571"/>
    <w:rsid w:val="00FE77A7"/>
    <w:rsid w:val="00FF183C"/>
    <w:rsid w:val="00FF3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C5CF6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45"/>
    <w:pPr>
      <w:spacing w:after="200" w:line="276" w:lineRule="auto"/>
    </w:pPr>
    <w:rPr>
      <w:rFonts w:ascii="Avenir Next" w:eastAsia="Lato" w:hAnsi="Avenir Next" w:cs="Lato"/>
      <w:color w:val="404040" w:themeColor="text1" w:themeTint="BF"/>
      <w:sz w:val="22"/>
      <w:szCs w:val="22"/>
    </w:rPr>
  </w:style>
  <w:style w:type="paragraph" w:styleId="Heading1">
    <w:name w:val="heading 1"/>
    <w:basedOn w:val="Normal"/>
    <w:next w:val="Normal"/>
    <w:link w:val="Heading1Char"/>
    <w:uiPriority w:val="9"/>
    <w:qFormat/>
    <w:rsid w:val="00600745"/>
    <w:pPr>
      <w:keepNext/>
      <w:keepLines/>
      <w:spacing w:before="400" w:after="120"/>
      <w:outlineLvl w:val="0"/>
    </w:pPr>
    <w:rPr>
      <w:color w:val="187196"/>
      <w:sz w:val="36"/>
      <w:szCs w:val="36"/>
    </w:rPr>
  </w:style>
  <w:style w:type="paragraph" w:styleId="Heading2">
    <w:name w:val="heading 2"/>
    <w:basedOn w:val="Normal"/>
    <w:next w:val="Normal"/>
    <w:link w:val="Heading2Char"/>
    <w:uiPriority w:val="9"/>
    <w:unhideWhenUsed/>
    <w:qFormat/>
    <w:rsid w:val="007C5BD1"/>
    <w:pPr>
      <w:keepNext/>
      <w:keepLines/>
      <w:pBdr>
        <w:bottom w:val="single" w:sz="6" w:space="1" w:color="auto"/>
      </w:pBdr>
      <w:spacing w:before="240" w:after="120" w:line="240" w:lineRule="auto"/>
      <w:outlineLvl w:val="1"/>
    </w:pPr>
    <w:rPr>
      <w:rFonts w:eastAsia="Lato Light" w:cstheme="majorHAnsi"/>
      <w:sz w:val="32"/>
      <w:szCs w:val="32"/>
    </w:rPr>
  </w:style>
  <w:style w:type="paragraph" w:styleId="Heading3">
    <w:name w:val="heading 3"/>
    <w:basedOn w:val="Normal"/>
    <w:next w:val="Normal"/>
    <w:link w:val="Heading3Char"/>
    <w:uiPriority w:val="9"/>
    <w:unhideWhenUsed/>
    <w:qFormat/>
    <w:rsid w:val="00C94148"/>
    <w:pPr>
      <w:spacing w:before="240" w:after="120" w:line="240" w:lineRule="auto"/>
      <w:outlineLvl w:val="2"/>
    </w:pPr>
    <w:rPr>
      <w:rFonts w:cstheme="majorHAns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745"/>
    <w:rPr>
      <w:rFonts w:ascii="Avenir Next" w:eastAsia="Lato" w:hAnsi="Avenir Next" w:cs="Lato"/>
      <w:color w:val="187196"/>
      <w:sz w:val="36"/>
      <w:szCs w:val="36"/>
    </w:rPr>
  </w:style>
  <w:style w:type="character" w:customStyle="1" w:styleId="Heading2Char">
    <w:name w:val="Heading 2 Char"/>
    <w:basedOn w:val="DefaultParagraphFont"/>
    <w:link w:val="Heading2"/>
    <w:uiPriority w:val="9"/>
    <w:rsid w:val="007C5BD1"/>
    <w:rPr>
      <w:rFonts w:ascii="Avenir Next" w:eastAsia="Lato Light" w:hAnsi="Avenir Next" w:cstheme="majorHAnsi"/>
      <w:color w:val="404040" w:themeColor="text1" w:themeTint="BF"/>
      <w:sz w:val="32"/>
      <w:szCs w:val="32"/>
    </w:rPr>
  </w:style>
  <w:style w:type="paragraph" w:styleId="Header">
    <w:name w:val="header"/>
    <w:basedOn w:val="Normal"/>
    <w:link w:val="HeaderChar"/>
    <w:uiPriority w:val="99"/>
    <w:unhideWhenUsed/>
    <w:rsid w:val="00600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45"/>
    <w:rPr>
      <w:rFonts w:ascii="Avenir Next" w:eastAsia="Lato" w:hAnsi="Avenir Next" w:cs="Lato"/>
      <w:color w:val="404040" w:themeColor="text1" w:themeTint="BF"/>
      <w:sz w:val="22"/>
      <w:szCs w:val="22"/>
    </w:rPr>
  </w:style>
  <w:style w:type="paragraph" w:styleId="Footer">
    <w:name w:val="footer"/>
    <w:basedOn w:val="Normal"/>
    <w:link w:val="FooterChar"/>
    <w:uiPriority w:val="99"/>
    <w:unhideWhenUsed/>
    <w:rsid w:val="00600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45"/>
    <w:rPr>
      <w:rFonts w:ascii="Avenir Next" w:eastAsia="Lato" w:hAnsi="Avenir Next" w:cs="Lato"/>
      <w:color w:val="404040" w:themeColor="text1" w:themeTint="BF"/>
      <w:sz w:val="22"/>
      <w:szCs w:val="22"/>
    </w:rPr>
  </w:style>
  <w:style w:type="paragraph" w:styleId="TOCHeading">
    <w:name w:val="TOC Heading"/>
    <w:basedOn w:val="Heading1"/>
    <w:next w:val="Normal"/>
    <w:uiPriority w:val="39"/>
    <w:unhideWhenUsed/>
    <w:qFormat/>
    <w:rsid w:val="001E3A1C"/>
    <w:pPr>
      <w:spacing w:before="480" w:after="0"/>
      <w:outlineLvl w:val="9"/>
    </w:pPr>
    <w:rPr>
      <w:rFonts w:cstheme="majorHAnsi"/>
    </w:rPr>
  </w:style>
  <w:style w:type="paragraph" w:styleId="TOC1">
    <w:name w:val="toc 1"/>
    <w:basedOn w:val="Normal"/>
    <w:next w:val="Normal"/>
    <w:autoRedefine/>
    <w:uiPriority w:val="39"/>
    <w:unhideWhenUsed/>
    <w:rsid w:val="000337C9"/>
    <w:pPr>
      <w:tabs>
        <w:tab w:val="right" w:leader="dot" w:pos="9350"/>
      </w:tabs>
      <w:spacing w:before="120" w:after="0"/>
    </w:pPr>
    <w:rPr>
      <w:rFonts w:asciiTheme="minorHAnsi" w:hAnsiTheme="minorHAnsi" w:cstheme="majorHAnsi"/>
      <w:b/>
      <w:bCs/>
      <w:iCs/>
      <w:noProof/>
      <w:sz w:val="24"/>
      <w:szCs w:val="24"/>
    </w:rPr>
  </w:style>
  <w:style w:type="paragraph" w:styleId="TOC2">
    <w:name w:val="toc 2"/>
    <w:basedOn w:val="Normal"/>
    <w:next w:val="Normal"/>
    <w:autoRedefine/>
    <w:uiPriority w:val="39"/>
    <w:unhideWhenUsed/>
    <w:rsid w:val="006117E8"/>
    <w:pPr>
      <w:spacing w:before="120" w:after="0"/>
      <w:ind w:left="220"/>
    </w:pPr>
    <w:rPr>
      <w:rFonts w:asciiTheme="minorHAnsi" w:hAnsiTheme="minorHAnsi"/>
      <w:b/>
      <w:bCs/>
    </w:rPr>
  </w:style>
  <w:style w:type="character" w:styleId="Hyperlink">
    <w:name w:val="Hyperlink"/>
    <w:basedOn w:val="DefaultParagraphFont"/>
    <w:uiPriority w:val="99"/>
    <w:unhideWhenUsed/>
    <w:rsid w:val="001E3A1C"/>
    <w:rPr>
      <w:rFonts w:ascii="Avenir Roman" w:hAnsi="Avenir Roman"/>
      <w:color w:val="0563C1" w:themeColor="hyperlink"/>
      <w:u w:val="single"/>
    </w:rPr>
  </w:style>
  <w:style w:type="paragraph" w:styleId="TOC3">
    <w:name w:val="toc 3"/>
    <w:basedOn w:val="Normal"/>
    <w:next w:val="Normal"/>
    <w:autoRedefine/>
    <w:uiPriority w:val="39"/>
    <w:unhideWhenUsed/>
    <w:rsid w:val="006117E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6117E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6117E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6117E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6117E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6117E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6117E8"/>
    <w:pPr>
      <w:spacing w:after="0"/>
      <w:ind w:left="1760"/>
    </w:pPr>
    <w:rPr>
      <w:rFonts w:asciiTheme="minorHAnsi" w:hAnsiTheme="minorHAnsi"/>
      <w:sz w:val="20"/>
      <w:szCs w:val="20"/>
    </w:rPr>
  </w:style>
  <w:style w:type="character" w:customStyle="1" w:styleId="Heading3Char">
    <w:name w:val="Heading 3 Char"/>
    <w:basedOn w:val="DefaultParagraphFont"/>
    <w:link w:val="Heading3"/>
    <w:uiPriority w:val="9"/>
    <w:rsid w:val="00C94148"/>
    <w:rPr>
      <w:rFonts w:ascii="Avenir Next" w:eastAsia="Lato" w:hAnsi="Avenir Next" w:cstheme="majorHAnsi"/>
      <w:b/>
      <w:color w:val="404040" w:themeColor="text1" w:themeTint="BF"/>
      <w:szCs w:val="20"/>
    </w:rPr>
  </w:style>
  <w:style w:type="paragraph" w:styleId="Title">
    <w:name w:val="Title"/>
    <w:basedOn w:val="Normal"/>
    <w:next w:val="Normal"/>
    <w:link w:val="TitleChar"/>
    <w:uiPriority w:val="10"/>
    <w:qFormat/>
    <w:rsid w:val="001D5CA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5CA7"/>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D42100"/>
  </w:style>
  <w:style w:type="paragraph" w:styleId="BalloonText">
    <w:name w:val="Balloon Text"/>
    <w:basedOn w:val="Normal"/>
    <w:link w:val="BalloonTextChar"/>
    <w:uiPriority w:val="99"/>
    <w:semiHidden/>
    <w:unhideWhenUsed/>
    <w:rsid w:val="002907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07BC"/>
    <w:rPr>
      <w:rFonts w:ascii="Times New Roman" w:eastAsia="Lato" w:hAnsi="Times New Roman" w:cs="Times New Roman"/>
      <w:color w:val="404040" w:themeColor="text1" w:themeTint="BF"/>
      <w:sz w:val="18"/>
      <w:szCs w:val="18"/>
    </w:rPr>
  </w:style>
  <w:style w:type="character" w:customStyle="1" w:styleId="UnresolvedMention">
    <w:name w:val="Unresolved Mention"/>
    <w:basedOn w:val="DefaultParagraphFont"/>
    <w:uiPriority w:val="99"/>
    <w:rsid w:val="00724378"/>
    <w:rPr>
      <w:color w:val="605E5C"/>
      <w:shd w:val="clear" w:color="auto" w:fill="E1DFDD"/>
    </w:rPr>
  </w:style>
  <w:style w:type="character" w:styleId="FollowedHyperlink">
    <w:name w:val="FollowedHyperlink"/>
    <w:basedOn w:val="DefaultParagraphFont"/>
    <w:uiPriority w:val="99"/>
    <w:semiHidden/>
    <w:unhideWhenUsed/>
    <w:rsid w:val="005C5EE4"/>
    <w:rPr>
      <w:color w:val="954F72" w:themeColor="followedHyperlink"/>
      <w:u w:val="single"/>
    </w:rPr>
  </w:style>
  <w:style w:type="paragraph" w:styleId="ListParagraph">
    <w:name w:val="List Paragraph"/>
    <w:basedOn w:val="Normal"/>
    <w:uiPriority w:val="34"/>
    <w:qFormat/>
    <w:rsid w:val="004D5D07"/>
    <w:pPr>
      <w:ind w:left="720"/>
      <w:contextualSpacing/>
    </w:pPr>
  </w:style>
  <w:style w:type="paragraph" w:styleId="FootnoteText">
    <w:name w:val="footnote text"/>
    <w:basedOn w:val="Normal"/>
    <w:link w:val="FootnoteTextChar"/>
    <w:uiPriority w:val="99"/>
    <w:unhideWhenUsed/>
    <w:rsid w:val="00123687"/>
    <w:pPr>
      <w:spacing w:after="0" w:line="240" w:lineRule="auto"/>
    </w:pPr>
    <w:rPr>
      <w:sz w:val="24"/>
      <w:szCs w:val="24"/>
    </w:rPr>
  </w:style>
  <w:style w:type="character" w:customStyle="1" w:styleId="FootnoteTextChar">
    <w:name w:val="Footnote Text Char"/>
    <w:basedOn w:val="DefaultParagraphFont"/>
    <w:link w:val="FootnoteText"/>
    <w:uiPriority w:val="99"/>
    <w:rsid w:val="00123687"/>
    <w:rPr>
      <w:rFonts w:ascii="Avenir Next" w:eastAsia="Lato" w:hAnsi="Avenir Next" w:cs="Lato"/>
      <w:color w:val="404040" w:themeColor="text1" w:themeTint="BF"/>
    </w:rPr>
  </w:style>
  <w:style w:type="character" w:styleId="FootnoteReference">
    <w:name w:val="footnote reference"/>
    <w:basedOn w:val="DefaultParagraphFont"/>
    <w:uiPriority w:val="99"/>
    <w:unhideWhenUsed/>
    <w:rsid w:val="00123687"/>
    <w:rPr>
      <w:vertAlign w:val="superscript"/>
    </w:rPr>
  </w:style>
  <w:style w:type="paragraph" w:styleId="NormalWeb">
    <w:name w:val="Normal (Web)"/>
    <w:basedOn w:val="Normal"/>
    <w:uiPriority w:val="99"/>
    <w:semiHidden/>
    <w:unhideWhenUsed/>
    <w:rsid w:val="00007F05"/>
    <w:pPr>
      <w:spacing w:before="100" w:beforeAutospacing="1" w:after="100" w:afterAutospacing="1" w:line="240" w:lineRule="auto"/>
    </w:pPr>
    <w:rPr>
      <w:rFonts w:ascii="Times New Roman" w:eastAsiaTheme="minorHAnsi" w:hAnsi="Times New Roman" w:cs="Times New Roman"/>
      <w:color w:val="auto"/>
      <w:sz w:val="20"/>
      <w:szCs w:val="20"/>
    </w:rPr>
  </w:style>
  <w:style w:type="table" w:styleId="TableGrid">
    <w:name w:val="Table Grid"/>
    <w:basedOn w:val="TableNormal"/>
    <w:uiPriority w:val="39"/>
    <w:rsid w:val="007F6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45"/>
    <w:pPr>
      <w:spacing w:after="200" w:line="276" w:lineRule="auto"/>
    </w:pPr>
    <w:rPr>
      <w:rFonts w:ascii="Avenir Next" w:eastAsia="Lato" w:hAnsi="Avenir Next" w:cs="Lato"/>
      <w:color w:val="404040" w:themeColor="text1" w:themeTint="BF"/>
      <w:sz w:val="22"/>
      <w:szCs w:val="22"/>
    </w:rPr>
  </w:style>
  <w:style w:type="paragraph" w:styleId="Heading1">
    <w:name w:val="heading 1"/>
    <w:basedOn w:val="Normal"/>
    <w:next w:val="Normal"/>
    <w:link w:val="Heading1Char"/>
    <w:uiPriority w:val="9"/>
    <w:qFormat/>
    <w:rsid w:val="00600745"/>
    <w:pPr>
      <w:keepNext/>
      <w:keepLines/>
      <w:spacing w:before="400" w:after="120"/>
      <w:outlineLvl w:val="0"/>
    </w:pPr>
    <w:rPr>
      <w:color w:val="187196"/>
      <w:sz w:val="36"/>
      <w:szCs w:val="36"/>
    </w:rPr>
  </w:style>
  <w:style w:type="paragraph" w:styleId="Heading2">
    <w:name w:val="heading 2"/>
    <w:basedOn w:val="Normal"/>
    <w:next w:val="Normal"/>
    <w:link w:val="Heading2Char"/>
    <w:uiPriority w:val="9"/>
    <w:unhideWhenUsed/>
    <w:qFormat/>
    <w:rsid w:val="007C5BD1"/>
    <w:pPr>
      <w:keepNext/>
      <w:keepLines/>
      <w:pBdr>
        <w:bottom w:val="single" w:sz="6" w:space="1" w:color="auto"/>
      </w:pBdr>
      <w:spacing w:before="240" w:after="120" w:line="240" w:lineRule="auto"/>
      <w:outlineLvl w:val="1"/>
    </w:pPr>
    <w:rPr>
      <w:rFonts w:eastAsia="Lato Light" w:cstheme="majorHAnsi"/>
      <w:sz w:val="32"/>
      <w:szCs w:val="32"/>
    </w:rPr>
  </w:style>
  <w:style w:type="paragraph" w:styleId="Heading3">
    <w:name w:val="heading 3"/>
    <w:basedOn w:val="Normal"/>
    <w:next w:val="Normal"/>
    <w:link w:val="Heading3Char"/>
    <w:uiPriority w:val="9"/>
    <w:unhideWhenUsed/>
    <w:qFormat/>
    <w:rsid w:val="00C94148"/>
    <w:pPr>
      <w:spacing w:before="240" w:after="120" w:line="240" w:lineRule="auto"/>
      <w:outlineLvl w:val="2"/>
    </w:pPr>
    <w:rPr>
      <w:rFonts w:cstheme="majorHAnsi"/>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745"/>
    <w:rPr>
      <w:rFonts w:ascii="Avenir Next" w:eastAsia="Lato" w:hAnsi="Avenir Next" w:cs="Lato"/>
      <w:color w:val="187196"/>
      <w:sz w:val="36"/>
      <w:szCs w:val="36"/>
    </w:rPr>
  </w:style>
  <w:style w:type="character" w:customStyle="1" w:styleId="Heading2Char">
    <w:name w:val="Heading 2 Char"/>
    <w:basedOn w:val="DefaultParagraphFont"/>
    <w:link w:val="Heading2"/>
    <w:uiPriority w:val="9"/>
    <w:rsid w:val="007C5BD1"/>
    <w:rPr>
      <w:rFonts w:ascii="Avenir Next" w:eastAsia="Lato Light" w:hAnsi="Avenir Next" w:cstheme="majorHAnsi"/>
      <w:color w:val="404040" w:themeColor="text1" w:themeTint="BF"/>
      <w:sz w:val="32"/>
      <w:szCs w:val="32"/>
    </w:rPr>
  </w:style>
  <w:style w:type="paragraph" w:styleId="Header">
    <w:name w:val="header"/>
    <w:basedOn w:val="Normal"/>
    <w:link w:val="HeaderChar"/>
    <w:uiPriority w:val="99"/>
    <w:unhideWhenUsed/>
    <w:rsid w:val="006007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745"/>
    <w:rPr>
      <w:rFonts w:ascii="Avenir Next" w:eastAsia="Lato" w:hAnsi="Avenir Next" w:cs="Lato"/>
      <w:color w:val="404040" w:themeColor="text1" w:themeTint="BF"/>
      <w:sz w:val="22"/>
      <w:szCs w:val="22"/>
    </w:rPr>
  </w:style>
  <w:style w:type="paragraph" w:styleId="Footer">
    <w:name w:val="footer"/>
    <w:basedOn w:val="Normal"/>
    <w:link w:val="FooterChar"/>
    <w:uiPriority w:val="99"/>
    <w:unhideWhenUsed/>
    <w:rsid w:val="00600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745"/>
    <w:rPr>
      <w:rFonts w:ascii="Avenir Next" w:eastAsia="Lato" w:hAnsi="Avenir Next" w:cs="Lato"/>
      <w:color w:val="404040" w:themeColor="text1" w:themeTint="BF"/>
      <w:sz w:val="22"/>
      <w:szCs w:val="22"/>
    </w:rPr>
  </w:style>
  <w:style w:type="paragraph" w:styleId="TOCHeading">
    <w:name w:val="TOC Heading"/>
    <w:basedOn w:val="Heading1"/>
    <w:next w:val="Normal"/>
    <w:uiPriority w:val="39"/>
    <w:unhideWhenUsed/>
    <w:qFormat/>
    <w:rsid w:val="001E3A1C"/>
    <w:pPr>
      <w:spacing w:before="480" w:after="0"/>
      <w:outlineLvl w:val="9"/>
    </w:pPr>
    <w:rPr>
      <w:rFonts w:cstheme="majorHAnsi"/>
    </w:rPr>
  </w:style>
  <w:style w:type="paragraph" w:styleId="TOC1">
    <w:name w:val="toc 1"/>
    <w:basedOn w:val="Normal"/>
    <w:next w:val="Normal"/>
    <w:autoRedefine/>
    <w:uiPriority w:val="39"/>
    <w:unhideWhenUsed/>
    <w:rsid w:val="000337C9"/>
    <w:pPr>
      <w:tabs>
        <w:tab w:val="right" w:leader="dot" w:pos="9350"/>
      </w:tabs>
      <w:spacing w:before="120" w:after="0"/>
    </w:pPr>
    <w:rPr>
      <w:rFonts w:asciiTheme="minorHAnsi" w:hAnsiTheme="minorHAnsi" w:cstheme="majorHAnsi"/>
      <w:b/>
      <w:bCs/>
      <w:iCs/>
      <w:noProof/>
      <w:sz w:val="24"/>
      <w:szCs w:val="24"/>
    </w:rPr>
  </w:style>
  <w:style w:type="paragraph" w:styleId="TOC2">
    <w:name w:val="toc 2"/>
    <w:basedOn w:val="Normal"/>
    <w:next w:val="Normal"/>
    <w:autoRedefine/>
    <w:uiPriority w:val="39"/>
    <w:unhideWhenUsed/>
    <w:rsid w:val="006117E8"/>
    <w:pPr>
      <w:spacing w:before="120" w:after="0"/>
      <w:ind w:left="220"/>
    </w:pPr>
    <w:rPr>
      <w:rFonts w:asciiTheme="minorHAnsi" w:hAnsiTheme="minorHAnsi"/>
      <w:b/>
      <w:bCs/>
    </w:rPr>
  </w:style>
  <w:style w:type="character" w:styleId="Hyperlink">
    <w:name w:val="Hyperlink"/>
    <w:basedOn w:val="DefaultParagraphFont"/>
    <w:uiPriority w:val="99"/>
    <w:unhideWhenUsed/>
    <w:rsid w:val="001E3A1C"/>
    <w:rPr>
      <w:rFonts w:ascii="Avenir Roman" w:hAnsi="Avenir Roman"/>
      <w:color w:val="0563C1" w:themeColor="hyperlink"/>
      <w:u w:val="single"/>
    </w:rPr>
  </w:style>
  <w:style w:type="paragraph" w:styleId="TOC3">
    <w:name w:val="toc 3"/>
    <w:basedOn w:val="Normal"/>
    <w:next w:val="Normal"/>
    <w:autoRedefine/>
    <w:uiPriority w:val="39"/>
    <w:unhideWhenUsed/>
    <w:rsid w:val="006117E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6117E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6117E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6117E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6117E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6117E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6117E8"/>
    <w:pPr>
      <w:spacing w:after="0"/>
      <w:ind w:left="1760"/>
    </w:pPr>
    <w:rPr>
      <w:rFonts w:asciiTheme="minorHAnsi" w:hAnsiTheme="minorHAnsi"/>
      <w:sz w:val="20"/>
      <w:szCs w:val="20"/>
    </w:rPr>
  </w:style>
  <w:style w:type="character" w:customStyle="1" w:styleId="Heading3Char">
    <w:name w:val="Heading 3 Char"/>
    <w:basedOn w:val="DefaultParagraphFont"/>
    <w:link w:val="Heading3"/>
    <w:uiPriority w:val="9"/>
    <w:rsid w:val="00C94148"/>
    <w:rPr>
      <w:rFonts w:ascii="Avenir Next" w:eastAsia="Lato" w:hAnsi="Avenir Next" w:cstheme="majorHAnsi"/>
      <w:b/>
      <w:color w:val="404040" w:themeColor="text1" w:themeTint="BF"/>
      <w:szCs w:val="20"/>
    </w:rPr>
  </w:style>
  <w:style w:type="paragraph" w:styleId="Title">
    <w:name w:val="Title"/>
    <w:basedOn w:val="Normal"/>
    <w:next w:val="Normal"/>
    <w:link w:val="TitleChar"/>
    <w:uiPriority w:val="10"/>
    <w:qFormat/>
    <w:rsid w:val="001D5CA7"/>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D5CA7"/>
    <w:rPr>
      <w:rFonts w:asciiTheme="majorHAnsi" w:eastAsiaTheme="majorEastAsia" w:hAnsiTheme="majorHAnsi" w:cstheme="majorBidi"/>
      <w:spacing w:val="-10"/>
      <w:kern w:val="28"/>
      <w:sz w:val="56"/>
      <w:szCs w:val="56"/>
    </w:rPr>
  </w:style>
  <w:style w:type="character" w:styleId="PageNumber">
    <w:name w:val="page number"/>
    <w:basedOn w:val="DefaultParagraphFont"/>
    <w:uiPriority w:val="99"/>
    <w:semiHidden/>
    <w:unhideWhenUsed/>
    <w:rsid w:val="00D42100"/>
  </w:style>
  <w:style w:type="paragraph" w:styleId="BalloonText">
    <w:name w:val="Balloon Text"/>
    <w:basedOn w:val="Normal"/>
    <w:link w:val="BalloonTextChar"/>
    <w:uiPriority w:val="99"/>
    <w:semiHidden/>
    <w:unhideWhenUsed/>
    <w:rsid w:val="002907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07BC"/>
    <w:rPr>
      <w:rFonts w:ascii="Times New Roman" w:eastAsia="Lato" w:hAnsi="Times New Roman" w:cs="Times New Roman"/>
      <w:color w:val="404040" w:themeColor="text1" w:themeTint="BF"/>
      <w:sz w:val="18"/>
      <w:szCs w:val="18"/>
    </w:rPr>
  </w:style>
  <w:style w:type="character" w:customStyle="1" w:styleId="UnresolvedMention">
    <w:name w:val="Unresolved Mention"/>
    <w:basedOn w:val="DefaultParagraphFont"/>
    <w:uiPriority w:val="99"/>
    <w:rsid w:val="00724378"/>
    <w:rPr>
      <w:color w:val="605E5C"/>
      <w:shd w:val="clear" w:color="auto" w:fill="E1DFDD"/>
    </w:rPr>
  </w:style>
  <w:style w:type="character" w:styleId="FollowedHyperlink">
    <w:name w:val="FollowedHyperlink"/>
    <w:basedOn w:val="DefaultParagraphFont"/>
    <w:uiPriority w:val="99"/>
    <w:semiHidden/>
    <w:unhideWhenUsed/>
    <w:rsid w:val="005C5EE4"/>
    <w:rPr>
      <w:color w:val="954F72" w:themeColor="followedHyperlink"/>
      <w:u w:val="single"/>
    </w:rPr>
  </w:style>
  <w:style w:type="paragraph" w:styleId="ListParagraph">
    <w:name w:val="List Paragraph"/>
    <w:basedOn w:val="Normal"/>
    <w:uiPriority w:val="34"/>
    <w:qFormat/>
    <w:rsid w:val="004D5D07"/>
    <w:pPr>
      <w:ind w:left="720"/>
      <w:contextualSpacing/>
    </w:pPr>
  </w:style>
  <w:style w:type="paragraph" w:styleId="FootnoteText">
    <w:name w:val="footnote text"/>
    <w:basedOn w:val="Normal"/>
    <w:link w:val="FootnoteTextChar"/>
    <w:uiPriority w:val="99"/>
    <w:unhideWhenUsed/>
    <w:rsid w:val="00123687"/>
    <w:pPr>
      <w:spacing w:after="0" w:line="240" w:lineRule="auto"/>
    </w:pPr>
    <w:rPr>
      <w:sz w:val="24"/>
      <w:szCs w:val="24"/>
    </w:rPr>
  </w:style>
  <w:style w:type="character" w:customStyle="1" w:styleId="FootnoteTextChar">
    <w:name w:val="Footnote Text Char"/>
    <w:basedOn w:val="DefaultParagraphFont"/>
    <w:link w:val="FootnoteText"/>
    <w:uiPriority w:val="99"/>
    <w:rsid w:val="00123687"/>
    <w:rPr>
      <w:rFonts w:ascii="Avenir Next" w:eastAsia="Lato" w:hAnsi="Avenir Next" w:cs="Lato"/>
      <w:color w:val="404040" w:themeColor="text1" w:themeTint="BF"/>
    </w:rPr>
  </w:style>
  <w:style w:type="character" w:styleId="FootnoteReference">
    <w:name w:val="footnote reference"/>
    <w:basedOn w:val="DefaultParagraphFont"/>
    <w:uiPriority w:val="99"/>
    <w:unhideWhenUsed/>
    <w:rsid w:val="00123687"/>
    <w:rPr>
      <w:vertAlign w:val="superscript"/>
    </w:rPr>
  </w:style>
  <w:style w:type="paragraph" w:styleId="NormalWeb">
    <w:name w:val="Normal (Web)"/>
    <w:basedOn w:val="Normal"/>
    <w:uiPriority w:val="99"/>
    <w:semiHidden/>
    <w:unhideWhenUsed/>
    <w:rsid w:val="00007F05"/>
    <w:pPr>
      <w:spacing w:before="100" w:beforeAutospacing="1" w:after="100" w:afterAutospacing="1" w:line="240" w:lineRule="auto"/>
    </w:pPr>
    <w:rPr>
      <w:rFonts w:ascii="Times New Roman" w:eastAsiaTheme="minorHAnsi" w:hAnsi="Times New Roman" w:cs="Times New Roman"/>
      <w:color w:val="auto"/>
      <w:sz w:val="20"/>
      <w:szCs w:val="20"/>
    </w:rPr>
  </w:style>
  <w:style w:type="table" w:styleId="TableGrid">
    <w:name w:val="Table Grid"/>
    <w:basedOn w:val="TableNormal"/>
    <w:uiPriority w:val="39"/>
    <w:rsid w:val="007F6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0060">
      <w:bodyDiv w:val="1"/>
      <w:marLeft w:val="0"/>
      <w:marRight w:val="0"/>
      <w:marTop w:val="0"/>
      <w:marBottom w:val="0"/>
      <w:divBdr>
        <w:top w:val="none" w:sz="0" w:space="0" w:color="auto"/>
        <w:left w:val="none" w:sz="0" w:space="0" w:color="auto"/>
        <w:bottom w:val="none" w:sz="0" w:space="0" w:color="auto"/>
        <w:right w:val="none" w:sz="0" w:space="0" w:color="auto"/>
      </w:divBdr>
    </w:div>
    <w:div w:id="97607544">
      <w:bodyDiv w:val="1"/>
      <w:marLeft w:val="0"/>
      <w:marRight w:val="0"/>
      <w:marTop w:val="0"/>
      <w:marBottom w:val="0"/>
      <w:divBdr>
        <w:top w:val="none" w:sz="0" w:space="0" w:color="auto"/>
        <w:left w:val="none" w:sz="0" w:space="0" w:color="auto"/>
        <w:bottom w:val="none" w:sz="0" w:space="0" w:color="auto"/>
        <w:right w:val="none" w:sz="0" w:space="0" w:color="auto"/>
      </w:divBdr>
    </w:div>
    <w:div w:id="153373476">
      <w:bodyDiv w:val="1"/>
      <w:marLeft w:val="0"/>
      <w:marRight w:val="0"/>
      <w:marTop w:val="0"/>
      <w:marBottom w:val="0"/>
      <w:divBdr>
        <w:top w:val="none" w:sz="0" w:space="0" w:color="auto"/>
        <w:left w:val="none" w:sz="0" w:space="0" w:color="auto"/>
        <w:bottom w:val="none" w:sz="0" w:space="0" w:color="auto"/>
        <w:right w:val="none" w:sz="0" w:space="0" w:color="auto"/>
      </w:divBdr>
    </w:div>
    <w:div w:id="309139411">
      <w:bodyDiv w:val="1"/>
      <w:marLeft w:val="0"/>
      <w:marRight w:val="0"/>
      <w:marTop w:val="0"/>
      <w:marBottom w:val="0"/>
      <w:divBdr>
        <w:top w:val="none" w:sz="0" w:space="0" w:color="auto"/>
        <w:left w:val="none" w:sz="0" w:space="0" w:color="auto"/>
        <w:bottom w:val="none" w:sz="0" w:space="0" w:color="auto"/>
        <w:right w:val="none" w:sz="0" w:space="0" w:color="auto"/>
      </w:divBdr>
    </w:div>
    <w:div w:id="511994597">
      <w:bodyDiv w:val="1"/>
      <w:marLeft w:val="0"/>
      <w:marRight w:val="0"/>
      <w:marTop w:val="0"/>
      <w:marBottom w:val="0"/>
      <w:divBdr>
        <w:top w:val="none" w:sz="0" w:space="0" w:color="auto"/>
        <w:left w:val="none" w:sz="0" w:space="0" w:color="auto"/>
        <w:bottom w:val="none" w:sz="0" w:space="0" w:color="auto"/>
        <w:right w:val="none" w:sz="0" w:space="0" w:color="auto"/>
      </w:divBdr>
    </w:div>
    <w:div w:id="1441677884">
      <w:bodyDiv w:val="1"/>
      <w:marLeft w:val="0"/>
      <w:marRight w:val="0"/>
      <w:marTop w:val="0"/>
      <w:marBottom w:val="0"/>
      <w:divBdr>
        <w:top w:val="none" w:sz="0" w:space="0" w:color="auto"/>
        <w:left w:val="none" w:sz="0" w:space="0" w:color="auto"/>
        <w:bottom w:val="none" w:sz="0" w:space="0" w:color="auto"/>
        <w:right w:val="none" w:sz="0" w:space="0" w:color="auto"/>
      </w:divBdr>
    </w:div>
    <w:div w:id="1554149029">
      <w:bodyDiv w:val="1"/>
      <w:marLeft w:val="0"/>
      <w:marRight w:val="0"/>
      <w:marTop w:val="0"/>
      <w:marBottom w:val="0"/>
      <w:divBdr>
        <w:top w:val="none" w:sz="0" w:space="0" w:color="auto"/>
        <w:left w:val="none" w:sz="0" w:space="0" w:color="auto"/>
        <w:bottom w:val="none" w:sz="0" w:space="0" w:color="auto"/>
        <w:right w:val="none" w:sz="0" w:space="0" w:color="auto"/>
      </w:divBdr>
    </w:div>
    <w:div w:id="1866862127">
      <w:bodyDiv w:val="1"/>
      <w:marLeft w:val="0"/>
      <w:marRight w:val="0"/>
      <w:marTop w:val="0"/>
      <w:marBottom w:val="0"/>
      <w:divBdr>
        <w:top w:val="none" w:sz="0" w:space="0" w:color="auto"/>
        <w:left w:val="none" w:sz="0" w:space="0" w:color="auto"/>
        <w:bottom w:val="none" w:sz="0" w:space="0" w:color="auto"/>
        <w:right w:val="none" w:sz="0" w:space="0" w:color="auto"/>
      </w:divBdr>
    </w:div>
    <w:div w:id="1934586924">
      <w:bodyDiv w:val="1"/>
      <w:marLeft w:val="0"/>
      <w:marRight w:val="0"/>
      <w:marTop w:val="0"/>
      <w:marBottom w:val="0"/>
      <w:divBdr>
        <w:top w:val="none" w:sz="0" w:space="0" w:color="auto"/>
        <w:left w:val="none" w:sz="0" w:space="0" w:color="auto"/>
        <w:bottom w:val="none" w:sz="0" w:space="0" w:color="auto"/>
        <w:right w:val="none" w:sz="0" w:space="0" w:color="auto"/>
      </w:divBdr>
    </w:div>
    <w:div w:id="1958752305">
      <w:bodyDiv w:val="1"/>
      <w:marLeft w:val="0"/>
      <w:marRight w:val="0"/>
      <w:marTop w:val="0"/>
      <w:marBottom w:val="0"/>
      <w:divBdr>
        <w:top w:val="none" w:sz="0" w:space="0" w:color="auto"/>
        <w:left w:val="none" w:sz="0" w:space="0" w:color="auto"/>
        <w:bottom w:val="none" w:sz="0" w:space="0" w:color="auto"/>
        <w:right w:val="none" w:sz="0" w:space="0" w:color="auto"/>
      </w:divBdr>
    </w:div>
    <w:div w:id="209303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chart" Target="charts/chart1.xml"/><Relationship Id="rId21" Type="http://schemas.openxmlformats.org/officeDocument/2006/relationships/chart" Target="charts/chart2.xml"/><Relationship Id="rId22" Type="http://schemas.openxmlformats.org/officeDocument/2006/relationships/chart" Target="charts/chart3.xml"/><Relationship Id="rId23" Type="http://schemas.openxmlformats.org/officeDocument/2006/relationships/header" Target="header4.xml"/><Relationship Id="rId24" Type="http://schemas.openxmlformats.org/officeDocument/2006/relationships/header" Target="header5.xml"/><Relationship Id="rId25" Type="http://schemas.openxmlformats.org/officeDocument/2006/relationships/footer" Target="footer4.xml"/><Relationship Id="rId26" Type="http://schemas.openxmlformats.org/officeDocument/2006/relationships/header" Target="header6.xml"/><Relationship Id="rId27" Type="http://schemas.openxmlformats.org/officeDocument/2006/relationships/footer" Target="footer5.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image" Target="media/image3.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Number of Students Enrolling in Health Industry Courses</a:t>
            </a:r>
          </a:p>
        </c:rich>
      </c:tx>
      <c:layout/>
      <c:overlay val="0"/>
    </c:title>
    <c:autoTitleDeleted val="0"/>
    <c:plotArea>
      <c:layout/>
      <c:barChart>
        <c:barDir val="bar"/>
        <c:grouping val="stacked"/>
        <c:varyColors val="0"/>
        <c:ser>
          <c:idx val="0"/>
          <c:order val="0"/>
          <c:tx>
            <c:strRef>
              <c:f>Sheet1!$B$1</c:f>
              <c:strCache>
                <c:ptCount val="1"/>
                <c:pt idx="0">
                  <c:v># of Students</c:v>
                </c:pt>
              </c:strCache>
            </c:strRef>
          </c:tx>
          <c:invertIfNegative val="0"/>
          <c:cat>
            <c:strRef>
              <c:f>Sheet1!$A$2:$A$8</c:f>
              <c:strCache>
                <c:ptCount val="7"/>
                <c:pt idx="0">
                  <c:v>Health Technology</c:v>
                </c:pt>
                <c:pt idx="1">
                  <c:v>Nursing</c:v>
                </c:pt>
                <c:pt idx="2">
                  <c:v>Allied Health</c:v>
                </c:pt>
                <c:pt idx="3">
                  <c:v>Emergency Medical Jobs</c:v>
                </c:pt>
                <c:pt idx="4">
                  <c:v>Lab Technicians (Pharmacy, Radiology)</c:v>
                </c:pt>
                <c:pt idx="5">
                  <c:v>Vet Tech</c:v>
                </c:pt>
                <c:pt idx="6">
                  <c:v>Other health Specialties (Dental, Massage, Gerentology, etc.)</c:v>
                </c:pt>
              </c:strCache>
            </c:strRef>
          </c:cat>
          <c:val>
            <c:numRef>
              <c:f>Sheet1!$B$2:$B$8</c:f>
              <c:numCache>
                <c:formatCode>General</c:formatCode>
                <c:ptCount val="7"/>
                <c:pt idx="0">
                  <c:v>50.0</c:v>
                </c:pt>
                <c:pt idx="1">
                  <c:v>44.0</c:v>
                </c:pt>
                <c:pt idx="2">
                  <c:v>19.0</c:v>
                </c:pt>
                <c:pt idx="3">
                  <c:v>11.0</c:v>
                </c:pt>
                <c:pt idx="4">
                  <c:v>16.0</c:v>
                </c:pt>
                <c:pt idx="5">
                  <c:v>10.0</c:v>
                </c:pt>
                <c:pt idx="6">
                  <c:v>12.0</c:v>
                </c:pt>
              </c:numCache>
            </c:numRef>
          </c:val>
        </c:ser>
        <c:dLbls>
          <c:showLegendKey val="0"/>
          <c:showVal val="0"/>
          <c:showCatName val="0"/>
          <c:showSerName val="0"/>
          <c:showPercent val="0"/>
          <c:showBubbleSize val="0"/>
        </c:dLbls>
        <c:gapWidth val="150"/>
        <c:overlap val="100"/>
        <c:axId val="2087276776"/>
        <c:axId val="2087277128"/>
      </c:barChart>
      <c:catAx>
        <c:axId val="2087276776"/>
        <c:scaling>
          <c:orientation val="minMax"/>
        </c:scaling>
        <c:delete val="0"/>
        <c:axPos val="l"/>
        <c:majorTickMark val="out"/>
        <c:minorTickMark val="none"/>
        <c:tickLblPos val="nextTo"/>
        <c:crossAx val="2087277128"/>
        <c:crosses val="autoZero"/>
        <c:auto val="1"/>
        <c:lblAlgn val="ctr"/>
        <c:lblOffset val="100"/>
        <c:noMultiLvlLbl val="0"/>
      </c:catAx>
      <c:valAx>
        <c:axId val="2087277128"/>
        <c:scaling>
          <c:orientation val="minMax"/>
        </c:scaling>
        <c:delete val="0"/>
        <c:axPos val="b"/>
        <c:majorGridlines/>
        <c:numFmt formatCode="General" sourceLinked="1"/>
        <c:majorTickMark val="out"/>
        <c:minorTickMark val="none"/>
        <c:tickLblPos val="nextTo"/>
        <c:crossAx val="2087276776"/>
        <c:crosses val="autoZero"/>
        <c:crossBetween val="between"/>
      </c:valAx>
    </c:plotArea>
    <c:legend>
      <c:legendPos val="r"/>
      <c:layout>
        <c:manualLayout>
          <c:xMode val="edge"/>
          <c:yMode val="edge"/>
          <c:x val="0.125683289588801"/>
          <c:y val="0.89518584806648"/>
          <c:w val="0.202094488188976"/>
          <c:h val="0.086211261583287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6"/>
    </mc:Choice>
    <mc:Fallback>
      <c:style val="36"/>
    </mc:Fallback>
  </mc:AlternateContent>
  <c:chart>
    <c:title>
      <c:tx>
        <c:rich>
          <a:bodyPr/>
          <a:lstStyle/>
          <a:p>
            <a:pPr>
              <a:defRPr/>
            </a:pPr>
            <a:r>
              <a:rPr lang="en-US"/>
              <a:t>Percentage of AS Students who Transitioned into CC health programs</a:t>
            </a:r>
          </a:p>
        </c:rich>
      </c:tx>
      <c:layout>
        <c:manualLayout>
          <c:xMode val="edge"/>
          <c:yMode val="edge"/>
          <c:x val="0.10615813648294"/>
          <c:y val="0.0634920634920635"/>
        </c:manualLayout>
      </c:layout>
      <c:overlay val="0"/>
    </c:title>
    <c:autoTitleDeleted val="0"/>
    <c:plotArea>
      <c:layout/>
      <c:barChart>
        <c:barDir val="bar"/>
        <c:grouping val="clustered"/>
        <c:varyColors val="0"/>
        <c:ser>
          <c:idx val="0"/>
          <c:order val="0"/>
          <c:tx>
            <c:strRef>
              <c:f>Sheet1!$B$1</c:f>
              <c:strCache>
                <c:ptCount val="1"/>
                <c:pt idx="0">
                  <c:v>Percentage of Students</c:v>
                </c:pt>
              </c:strCache>
            </c:strRef>
          </c:tx>
          <c:invertIfNegative val="0"/>
          <c:cat>
            <c:strRef>
              <c:f>Sheet1!$A$2:$A$4</c:f>
              <c:strCache>
                <c:ptCount val="3"/>
                <c:pt idx="0">
                  <c:v>Palo Alto</c:v>
                </c:pt>
                <c:pt idx="1">
                  <c:v>Mt. View-Los Altos</c:v>
                </c:pt>
                <c:pt idx="2">
                  <c:v>FUHSD</c:v>
                </c:pt>
              </c:strCache>
            </c:strRef>
          </c:cat>
          <c:val>
            <c:numRef>
              <c:f>Sheet1!$B$2:$B$4</c:f>
              <c:numCache>
                <c:formatCode>General</c:formatCode>
                <c:ptCount val="3"/>
                <c:pt idx="0">
                  <c:v>10.0</c:v>
                </c:pt>
                <c:pt idx="1">
                  <c:v>80.0</c:v>
                </c:pt>
                <c:pt idx="2">
                  <c:v>14.0</c:v>
                </c:pt>
              </c:numCache>
            </c:numRef>
          </c:val>
        </c:ser>
        <c:dLbls>
          <c:showLegendKey val="0"/>
          <c:showVal val="0"/>
          <c:showCatName val="0"/>
          <c:showSerName val="0"/>
          <c:showPercent val="0"/>
          <c:showBubbleSize val="0"/>
        </c:dLbls>
        <c:gapWidth val="150"/>
        <c:axId val="2085753768"/>
        <c:axId val="2085756712"/>
      </c:barChart>
      <c:valAx>
        <c:axId val="2085756712"/>
        <c:scaling>
          <c:orientation val="minMax"/>
        </c:scaling>
        <c:delete val="0"/>
        <c:axPos val="b"/>
        <c:majorGridlines/>
        <c:numFmt formatCode="General" sourceLinked="1"/>
        <c:majorTickMark val="out"/>
        <c:minorTickMark val="none"/>
        <c:tickLblPos val="nextTo"/>
        <c:crossAx val="2085753768"/>
        <c:crosses val="autoZero"/>
        <c:crossBetween val="between"/>
      </c:valAx>
      <c:catAx>
        <c:axId val="2085753768"/>
        <c:scaling>
          <c:orientation val="minMax"/>
        </c:scaling>
        <c:delete val="0"/>
        <c:axPos val="l"/>
        <c:majorTickMark val="out"/>
        <c:minorTickMark val="none"/>
        <c:tickLblPos val="nextTo"/>
        <c:crossAx val="2085756712"/>
        <c:crosses val="autoZero"/>
        <c:auto val="1"/>
        <c:lblAlgn val="ctr"/>
        <c:lblOffset val="100"/>
        <c:noMultiLvlLbl val="0"/>
      </c:cat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Percent of students transitioning from AS to CC by Age</a:t>
            </a:r>
          </a:p>
        </c:rich>
      </c:tx>
      <c:layout/>
      <c:overlay val="0"/>
    </c:title>
    <c:autoTitleDeleted val="0"/>
    <c:plotArea>
      <c:layout/>
      <c:barChart>
        <c:barDir val="bar"/>
        <c:grouping val="clustered"/>
        <c:varyColors val="0"/>
        <c:ser>
          <c:idx val="0"/>
          <c:order val="0"/>
          <c:tx>
            <c:strRef>
              <c:f>Sheet1!$B$1</c:f>
              <c:strCache>
                <c:ptCount val="1"/>
                <c:pt idx="0">
                  <c:v>Percentage in This Age Range </c:v>
                </c:pt>
              </c:strCache>
            </c:strRef>
          </c:tx>
          <c:invertIfNegative val="0"/>
          <c:cat>
            <c:strRef>
              <c:f>Sheet1!$A$2:$A$9</c:f>
              <c:strCache>
                <c:ptCount val="8"/>
                <c:pt idx="0">
                  <c:v>&lt; 19</c:v>
                </c:pt>
                <c:pt idx="1">
                  <c:v>20-24</c:v>
                </c:pt>
                <c:pt idx="2">
                  <c:v>25-29</c:v>
                </c:pt>
                <c:pt idx="3">
                  <c:v>30-34</c:v>
                </c:pt>
                <c:pt idx="4">
                  <c:v>35-39</c:v>
                </c:pt>
                <c:pt idx="5">
                  <c:v>40-49</c:v>
                </c:pt>
                <c:pt idx="6">
                  <c:v>50-59</c:v>
                </c:pt>
                <c:pt idx="7">
                  <c:v>60+</c:v>
                </c:pt>
              </c:strCache>
            </c:strRef>
          </c:cat>
          <c:val>
            <c:numRef>
              <c:f>Sheet1!$B$2:$B$9</c:f>
              <c:numCache>
                <c:formatCode>General</c:formatCode>
                <c:ptCount val="8"/>
                <c:pt idx="0">
                  <c:v>16.2</c:v>
                </c:pt>
                <c:pt idx="1">
                  <c:v>19.8</c:v>
                </c:pt>
                <c:pt idx="2">
                  <c:v>14.3</c:v>
                </c:pt>
                <c:pt idx="3">
                  <c:v>10.9</c:v>
                </c:pt>
                <c:pt idx="4">
                  <c:v>9.5</c:v>
                </c:pt>
                <c:pt idx="5">
                  <c:v>16.5</c:v>
                </c:pt>
                <c:pt idx="6">
                  <c:v>7.1</c:v>
                </c:pt>
                <c:pt idx="7">
                  <c:v>5.6</c:v>
                </c:pt>
              </c:numCache>
            </c:numRef>
          </c:val>
        </c:ser>
        <c:dLbls>
          <c:showLegendKey val="0"/>
          <c:showVal val="0"/>
          <c:showCatName val="0"/>
          <c:showSerName val="0"/>
          <c:showPercent val="0"/>
          <c:showBubbleSize val="0"/>
        </c:dLbls>
        <c:gapWidth val="150"/>
        <c:axId val="2087339912"/>
        <c:axId val="2087342856"/>
      </c:barChart>
      <c:catAx>
        <c:axId val="2087339912"/>
        <c:scaling>
          <c:orientation val="minMax"/>
        </c:scaling>
        <c:delete val="0"/>
        <c:axPos val="l"/>
        <c:majorTickMark val="out"/>
        <c:minorTickMark val="none"/>
        <c:tickLblPos val="nextTo"/>
        <c:crossAx val="2087342856"/>
        <c:crosses val="autoZero"/>
        <c:auto val="1"/>
        <c:lblAlgn val="ctr"/>
        <c:lblOffset val="100"/>
        <c:noMultiLvlLbl val="0"/>
      </c:catAx>
      <c:valAx>
        <c:axId val="2087342856"/>
        <c:scaling>
          <c:orientation val="minMax"/>
        </c:scaling>
        <c:delete val="0"/>
        <c:axPos val="b"/>
        <c:majorGridlines/>
        <c:numFmt formatCode="General" sourceLinked="1"/>
        <c:majorTickMark val="out"/>
        <c:minorTickMark val="none"/>
        <c:tickLblPos val="nextTo"/>
        <c:crossAx val="20873399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14E7CC524621418951E798A26C1086" ma:contentTypeVersion="4" ma:contentTypeDescription="Create a new document." ma:contentTypeScope="" ma:versionID="11302d164f8a094ede8994c351fee6b7">
  <xsd:schema xmlns:xsd="http://www.w3.org/2001/XMLSchema" xmlns:xs="http://www.w3.org/2001/XMLSchema" xmlns:p="http://schemas.microsoft.com/office/2006/metadata/properties" xmlns:ns2="9682fde2-0d99-4585-8154-fdea48568b58" targetNamespace="http://schemas.microsoft.com/office/2006/metadata/properties" ma:root="true" ma:fieldsID="ca331e3078bcb268bab2cd542cff0ad4" ns2:_="">
    <xsd:import namespace="9682fde2-0d99-4585-8154-fdea48568b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2fde2-0d99-4585-8154-fdea4856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A78F-1419-432E-B285-94F58881B1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DA9CCF-B5BB-495D-9039-541A0FB6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2fde2-0d99-4585-8154-fdea48568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7414A-6A35-40EA-972F-A2AF091CB30F}">
  <ds:schemaRefs>
    <ds:schemaRef ds:uri="http://schemas.microsoft.com/sharepoint/v3/contenttype/forms"/>
  </ds:schemaRefs>
</ds:datastoreItem>
</file>

<file path=customXml/itemProps4.xml><?xml version="1.0" encoding="utf-8"?>
<ds:datastoreItem xmlns:ds="http://schemas.openxmlformats.org/officeDocument/2006/customXml" ds:itemID="{48198FE3-6CF6-3649-B4AD-564FA9248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29</Pages>
  <Words>8412</Words>
  <Characters>47951</Characters>
  <Application>Microsoft Macintosh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Hill Jr.</dc:creator>
  <cp:keywords/>
  <dc:description/>
  <cp:lastModifiedBy>Peggy  Raun-Linde</cp:lastModifiedBy>
  <cp:revision>18</cp:revision>
  <cp:lastPrinted>2019-05-31T04:14:00Z</cp:lastPrinted>
  <dcterms:created xsi:type="dcterms:W3CDTF">2019-05-17T01:57:00Z</dcterms:created>
  <dcterms:modified xsi:type="dcterms:W3CDTF">2019-06-04T17:54:00Z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0x010100D914E7CC524621418951E798A26C1086</vt:lpwstr>
  </property>
</Properties>
</file>