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BDE0" w14:textId="5E3659F1" w:rsidR="002A609A" w:rsidRPr="002A609A" w:rsidRDefault="7B591643" w:rsidP="7B591643">
      <w:pPr>
        <w:rPr>
          <w:rFonts w:asciiTheme="majorHAnsi" w:hAnsiTheme="majorHAnsi" w:cstheme="majorBidi"/>
          <w:b/>
          <w:bCs/>
        </w:rPr>
      </w:pPr>
      <w:r w:rsidRPr="7B591643">
        <w:rPr>
          <w:rFonts w:asciiTheme="majorHAnsi" w:hAnsiTheme="majorHAnsi" w:cstheme="majorBidi"/>
          <w:b/>
          <w:bCs/>
        </w:rPr>
        <w:t xml:space="preserve">7002 Essay Questions – 1000 words </w:t>
      </w:r>
    </w:p>
    <w:p w14:paraId="273A06E1" w14:textId="77777777" w:rsidR="002A609A" w:rsidRPr="002A609A" w:rsidRDefault="002A609A" w:rsidP="002A609A">
      <w:pPr>
        <w:rPr>
          <w:rFonts w:asciiTheme="majorHAnsi" w:hAnsiTheme="majorHAnsi" w:cstheme="majorHAnsi"/>
        </w:rPr>
      </w:pPr>
    </w:p>
    <w:p w14:paraId="535113B1" w14:textId="70DF6A41" w:rsidR="002A609A" w:rsidRPr="00DE612E" w:rsidRDefault="002A609A" w:rsidP="002A609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DE612E">
        <w:rPr>
          <w:rFonts w:asciiTheme="majorHAnsi" w:hAnsiTheme="majorHAnsi" w:cstheme="majorHAnsi"/>
          <w:sz w:val="22"/>
          <w:szCs w:val="22"/>
        </w:rPr>
        <w:t xml:space="preserve">Please use Harvard referencing where appropriate </w:t>
      </w:r>
      <w:r w:rsidRPr="00DE612E">
        <w:rPr>
          <w:rFonts w:asciiTheme="majorHAnsi" w:hAnsiTheme="majorHAnsi" w:cstheme="majorHAnsi"/>
          <w:sz w:val="20"/>
          <w:szCs w:val="20"/>
        </w:rPr>
        <w:t>(10% of your work can be direct quotes)</w:t>
      </w:r>
    </w:p>
    <w:p w14:paraId="43FB79FE" w14:textId="486037AD" w:rsidR="002A609A" w:rsidRPr="00DE612E" w:rsidRDefault="00000000" w:rsidP="002A609A">
      <w:pPr>
        <w:pStyle w:val="ListParagraph"/>
        <w:ind w:left="400"/>
        <w:rPr>
          <w:rFonts w:asciiTheme="majorHAnsi" w:hAnsiTheme="majorHAnsi" w:cstheme="majorHAnsi"/>
          <w:sz w:val="16"/>
          <w:szCs w:val="16"/>
        </w:rPr>
      </w:pPr>
      <w:hyperlink r:id="rId7" w:history="1">
        <w:r w:rsidR="002A609A" w:rsidRPr="00DE612E">
          <w:rPr>
            <w:rStyle w:val="Hyperlink"/>
            <w:rFonts w:asciiTheme="majorHAnsi" w:hAnsiTheme="majorHAnsi" w:cstheme="majorHAnsi"/>
            <w:sz w:val="16"/>
            <w:szCs w:val="16"/>
          </w:rPr>
          <w:t>https://youtu.be/iueqJ78iAwk</w:t>
        </w:r>
      </w:hyperlink>
      <w:r w:rsidR="002A609A" w:rsidRPr="00DE612E">
        <w:rPr>
          <w:rFonts w:asciiTheme="majorHAnsi" w:hAnsiTheme="majorHAnsi" w:cstheme="majorHAnsi"/>
          <w:sz w:val="16"/>
          <w:szCs w:val="16"/>
        </w:rPr>
        <w:t xml:space="preserve"> </w:t>
      </w:r>
      <w:r w:rsidR="002A609A" w:rsidRPr="00DE612E">
        <w:rPr>
          <w:rFonts w:asciiTheme="majorHAnsi" w:hAnsiTheme="majorHAnsi" w:cstheme="majorHAnsi"/>
          <w:sz w:val="18"/>
          <w:szCs w:val="18"/>
        </w:rPr>
        <w:t>(Good explainer video)</w:t>
      </w:r>
    </w:p>
    <w:p w14:paraId="58728B78" w14:textId="66D169A0" w:rsidR="002A609A" w:rsidRPr="00DE612E" w:rsidRDefault="002A609A" w:rsidP="002A609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DE612E">
        <w:rPr>
          <w:rFonts w:asciiTheme="majorHAnsi" w:hAnsiTheme="majorHAnsi" w:cstheme="majorHAnsi"/>
          <w:sz w:val="22"/>
          <w:szCs w:val="22"/>
        </w:rPr>
        <w:t xml:space="preserve">10% flexibility on word count </w:t>
      </w:r>
    </w:p>
    <w:p w14:paraId="6C5FD4A8" w14:textId="77777777" w:rsidR="002A609A" w:rsidRPr="00DE612E" w:rsidRDefault="002A609A" w:rsidP="002A609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DE612E">
        <w:rPr>
          <w:rFonts w:asciiTheme="majorHAnsi" w:hAnsiTheme="majorHAnsi" w:cstheme="majorHAnsi"/>
          <w:sz w:val="22"/>
          <w:szCs w:val="22"/>
        </w:rPr>
        <w:t xml:space="preserve">All responses are submitted through plagiarism software, ensure you cite and reference accordingly </w:t>
      </w:r>
    </w:p>
    <w:p w14:paraId="336E10DE" w14:textId="77777777" w:rsidR="002A609A" w:rsidRPr="002A609A" w:rsidRDefault="002A609A" w:rsidP="002A609A">
      <w:pPr>
        <w:rPr>
          <w:rFonts w:asciiTheme="majorHAnsi" w:hAnsiTheme="majorHAnsi" w:cstheme="majorHAnsi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390"/>
        <w:gridCol w:w="607"/>
        <w:gridCol w:w="4650"/>
        <w:gridCol w:w="1701"/>
      </w:tblGrid>
      <w:tr w:rsidR="002A609A" w:rsidRPr="002A609A" w14:paraId="735F8956" w14:textId="77777777" w:rsidTr="7B591643">
        <w:tc>
          <w:tcPr>
            <w:tcW w:w="3390" w:type="dxa"/>
          </w:tcPr>
          <w:p w14:paraId="2089D46A" w14:textId="77777777" w:rsidR="002A609A" w:rsidRPr="002A609A" w:rsidRDefault="002A609A" w:rsidP="001947D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A609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Question</w:t>
            </w:r>
          </w:p>
        </w:tc>
        <w:tc>
          <w:tcPr>
            <w:tcW w:w="607" w:type="dxa"/>
          </w:tcPr>
          <w:p w14:paraId="62A6B016" w14:textId="77777777" w:rsidR="002A609A" w:rsidRPr="002A609A" w:rsidRDefault="002A609A" w:rsidP="001947D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2A609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Wds</w:t>
            </w:r>
            <w:proofErr w:type="spellEnd"/>
            <w:r w:rsidRPr="002A609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50" w:type="dxa"/>
          </w:tcPr>
          <w:p w14:paraId="2FBE2412" w14:textId="77777777" w:rsidR="002A609A" w:rsidRPr="002A609A" w:rsidRDefault="002A609A" w:rsidP="001947D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A609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Advice</w:t>
            </w:r>
          </w:p>
        </w:tc>
        <w:tc>
          <w:tcPr>
            <w:tcW w:w="1701" w:type="dxa"/>
          </w:tcPr>
          <w:p w14:paraId="2C7A857B" w14:textId="77777777" w:rsidR="002A609A" w:rsidRPr="002A609A" w:rsidRDefault="002A609A" w:rsidP="001947D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A609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Suggested Resources</w:t>
            </w:r>
          </w:p>
        </w:tc>
      </w:tr>
      <w:tr w:rsidR="002A609A" w:rsidRPr="002A609A" w14:paraId="1C89511E" w14:textId="77777777" w:rsidTr="7B591643">
        <w:tc>
          <w:tcPr>
            <w:tcW w:w="3390" w:type="dxa"/>
          </w:tcPr>
          <w:p w14:paraId="33249749" w14:textId="7DE8D706" w:rsidR="002A609A" w:rsidRPr="002A609A" w:rsidRDefault="7B591643" w:rsidP="7B5916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 xml:space="preserve"> You are asked by a client if you can provide thought-leadership around DEI and their current approach.  How would you structure this conversation?</w:t>
            </w:r>
          </w:p>
        </w:tc>
        <w:tc>
          <w:tcPr>
            <w:tcW w:w="607" w:type="dxa"/>
          </w:tcPr>
          <w:p w14:paraId="1DCCACDB" w14:textId="056D4597" w:rsidR="002A609A" w:rsidRPr="002A609A" w:rsidRDefault="7B591643" w:rsidP="7B59164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200</w:t>
            </w:r>
          </w:p>
        </w:tc>
        <w:tc>
          <w:tcPr>
            <w:tcW w:w="4650" w:type="dxa"/>
          </w:tcPr>
          <w:p w14:paraId="6FA33250" w14:textId="415D56B7" w:rsidR="7B591643" w:rsidRDefault="7B591643" w:rsidP="7B591643">
            <w:pPr>
              <w:spacing w:line="259" w:lineRule="auto"/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Using the 6-stage DEI strategy, structure an answer following the stages</w:t>
            </w:r>
          </w:p>
          <w:p w14:paraId="2B3D7F36" w14:textId="7DFFF44E" w:rsidR="7B591643" w:rsidRDefault="7B591643" w:rsidP="7B591643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28D449A0" w14:textId="2701BA7A" w:rsidR="7B591643" w:rsidRDefault="7B591643" w:rsidP="7B591643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Describe what each stage is, and then go onto explain the reasoning behind the order of the stages</w:t>
            </w:r>
          </w:p>
          <w:p w14:paraId="16DC736E" w14:textId="38E48C77" w:rsidR="7B591643" w:rsidRDefault="7B591643" w:rsidP="7B591643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6DF55EEB" w14:textId="71F24C99" w:rsidR="7B591643" w:rsidRDefault="7B591643" w:rsidP="7B591643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Help the client understand why this order is important, and the need to break objectives into bite-sized, continuous projects</w:t>
            </w:r>
          </w:p>
          <w:p w14:paraId="5B4373B5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BABDD2" w14:textId="50B79BED" w:rsidR="002A609A" w:rsidRPr="002A609A" w:rsidRDefault="7B591643" w:rsidP="7B59164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7002 – Slide Deck</w:t>
            </w:r>
          </w:p>
          <w:p w14:paraId="2810FDAD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9383656" w14:textId="4A15E68C" w:rsidR="002A609A" w:rsidRPr="002A609A" w:rsidRDefault="7B591643" w:rsidP="7B591643">
            <w:pPr>
              <w:spacing w:line="259" w:lineRule="auto"/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6 Stage DEI Strategy diagram</w:t>
            </w:r>
          </w:p>
        </w:tc>
      </w:tr>
      <w:tr w:rsidR="002A609A" w:rsidRPr="002A609A" w14:paraId="52506185" w14:textId="77777777" w:rsidTr="7B591643">
        <w:trPr>
          <w:trHeight w:val="1905"/>
        </w:trPr>
        <w:tc>
          <w:tcPr>
            <w:tcW w:w="3390" w:type="dxa"/>
          </w:tcPr>
          <w:p w14:paraId="5AF9B780" w14:textId="7D68E496" w:rsidR="002A609A" w:rsidRPr="002A609A" w:rsidRDefault="7B591643" w:rsidP="7B591643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 xml:space="preserve">Describe the difference between Discrimination, </w:t>
            </w:r>
            <w:proofErr w:type="gramStart"/>
            <w:r w:rsidRPr="7B591643">
              <w:rPr>
                <w:rFonts w:asciiTheme="majorHAnsi" w:hAnsiTheme="majorHAnsi" w:cstheme="majorBidi"/>
                <w:sz w:val="18"/>
                <w:szCs w:val="18"/>
              </w:rPr>
              <w:t>Harassment</w:t>
            </w:r>
            <w:proofErr w:type="gramEnd"/>
            <w:r w:rsidRPr="7B591643">
              <w:rPr>
                <w:rFonts w:asciiTheme="majorHAnsi" w:hAnsiTheme="majorHAnsi" w:cstheme="majorBidi"/>
                <w:sz w:val="18"/>
                <w:szCs w:val="18"/>
              </w:rPr>
              <w:t xml:space="preserve"> and victimisation.</w:t>
            </w:r>
          </w:p>
        </w:tc>
        <w:tc>
          <w:tcPr>
            <w:tcW w:w="607" w:type="dxa"/>
          </w:tcPr>
          <w:p w14:paraId="39018DE8" w14:textId="1EAE0645" w:rsidR="002A609A" w:rsidRPr="002A609A" w:rsidRDefault="7B591643" w:rsidP="7B59164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300</w:t>
            </w:r>
          </w:p>
        </w:tc>
        <w:tc>
          <w:tcPr>
            <w:tcW w:w="4650" w:type="dxa"/>
          </w:tcPr>
          <w:p w14:paraId="0CC4E985" w14:textId="6C2433A6" w:rsidR="002A609A" w:rsidRPr="002A609A" w:rsidRDefault="7B591643" w:rsidP="7B59164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 xml:space="preserve">Begin by defining the terms and then draw an analysis of their differences.  </w:t>
            </w:r>
          </w:p>
          <w:p w14:paraId="5B816A90" w14:textId="618C0340" w:rsidR="002A609A" w:rsidRPr="002A609A" w:rsidRDefault="002A609A" w:rsidP="7B591643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353F9547" w14:textId="39EB186D" w:rsidR="002A609A" w:rsidRPr="002A609A" w:rsidRDefault="7B591643" w:rsidP="7B59164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Reference, bias, prejudice, stereotyping and how these differ.  Refer to the diagram (Emotional/Cognitive/Behavioural) and consider how this may be relevant</w:t>
            </w:r>
          </w:p>
          <w:p w14:paraId="76B0DD88" w14:textId="3E2E2F72" w:rsidR="002A609A" w:rsidRPr="002A609A" w:rsidRDefault="002A609A" w:rsidP="7B591643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BADC00C" w14:textId="62479F1B" w:rsidR="002A609A" w:rsidRPr="002A609A" w:rsidRDefault="7B591643" w:rsidP="7B59164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What makes them different (concise) and examples to support your answer</w:t>
            </w:r>
          </w:p>
        </w:tc>
        <w:tc>
          <w:tcPr>
            <w:tcW w:w="1701" w:type="dxa"/>
          </w:tcPr>
          <w:p w14:paraId="23AD39C5" w14:textId="212DD834" w:rsidR="002A609A" w:rsidRPr="002A609A" w:rsidRDefault="7B591643" w:rsidP="7B59164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7002 – Slide Deck</w:t>
            </w:r>
          </w:p>
          <w:p w14:paraId="478DF0E4" w14:textId="2139C497" w:rsid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AB4A5A" w14:textId="75D02624" w:rsidR="002A609A" w:rsidRPr="002A609A" w:rsidRDefault="00000000" w:rsidP="7B591643">
            <w:pPr>
              <w:rPr>
                <w:rFonts w:ascii="Corbel" w:eastAsia="Corbel" w:hAnsi="Corbel" w:cs="Corbel"/>
                <w:color w:val="000000" w:themeColor="text1"/>
                <w:sz w:val="18"/>
                <w:szCs w:val="18"/>
              </w:rPr>
            </w:pPr>
            <w:hyperlink r:id="rId8">
              <w:r w:rsidR="7B591643" w:rsidRPr="7B591643">
                <w:rPr>
                  <w:rStyle w:val="Hyperlink"/>
                  <w:rFonts w:ascii="Corbel" w:eastAsia="Corbel" w:hAnsi="Corbel" w:cs="Corbel"/>
                  <w:i/>
                  <w:iCs/>
                  <w:sz w:val="18"/>
                  <w:szCs w:val="18"/>
                  <w:lang w:val="en-US"/>
                </w:rPr>
                <w:t>https://www.gov.uk/discrimination-your-rights</w:t>
              </w:r>
            </w:hyperlink>
          </w:p>
        </w:tc>
      </w:tr>
      <w:tr w:rsidR="002A609A" w:rsidRPr="002A609A" w14:paraId="561CD7A0" w14:textId="77777777" w:rsidTr="7B591643">
        <w:tc>
          <w:tcPr>
            <w:tcW w:w="3390" w:type="dxa"/>
          </w:tcPr>
          <w:p w14:paraId="70BA0AD9" w14:textId="0E7B0468" w:rsidR="002A609A" w:rsidRPr="002A609A" w:rsidRDefault="7B591643" w:rsidP="7B591643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Explain the concept of ‘Positive Action’.  Including an overview of when this can be used, why it is used and what are the exceptions to its use</w:t>
            </w:r>
          </w:p>
        </w:tc>
        <w:tc>
          <w:tcPr>
            <w:tcW w:w="607" w:type="dxa"/>
          </w:tcPr>
          <w:p w14:paraId="2C3F1760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A609A">
              <w:rPr>
                <w:rFonts w:asciiTheme="majorHAnsi" w:hAnsiTheme="majorHAnsi" w:cstheme="majorHAnsi"/>
                <w:sz w:val="18"/>
                <w:szCs w:val="18"/>
              </w:rPr>
              <w:t>250</w:t>
            </w:r>
          </w:p>
        </w:tc>
        <w:tc>
          <w:tcPr>
            <w:tcW w:w="4650" w:type="dxa"/>
          </w:tcPr>
          <w:p w14:paraId="36789096" w14:textId="3C5CE469" w:rsidR="7B591643" w:rsidRDefault="7B591643" w:rsidP="7B591643">
            <w:pPr>
              <w:spacing w:line="259" w:lineRule="auto"/>
            </w:pPr>
            <w:proofErr w:type="gramStart"/>
            <w:r w:rsidRPr="7B591643">
              <w:rPr>
                <w:rFonts w:asciiTheme="majorHAnsi" w:hAnsiTheme="majorHAnsi" w:cstheme="majorBidi"/>
                <w:sz w:val="18"/>
                <w:szCs w:val="18"/>
              </w:rPr>
              <w:t>3 part</w:t>
            </w:r>
            <w:proofErr w:type="gramEnd"/>
            <w:r w:rsidRPr="7B591643">
              <w:rPr>
                <w:rFonts w:asciiTheme="majorHAnsi" w:hAnsiTheme="majorHAnsi" w:cstheme="majorBidi"/>
                <w:sz w:val="18"/>
                <w:szCs w:val="18"/>
              </w:rPr>
              <w:t xml:space="preserve"> question – what is it / why does it exist / when can-can't it be used</w:t>
            </w:r>
          </w:p>
          <w:p w14:paraId="787C2488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D92602E" w14:textId="402D5C59" w:rsidR="002A609A" w:rsidRPr="002A609A" w:rsidRDefault="7B591643" w:rsidP="7B59164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Include your personal thoughts / opinions – have you changed your position regarding this concept, how do you think/feel now?</w:t>
            </w:r>
          </w:p>
        </w:tc>
        <w:tc>
          <w:tcPr>
            <w:tcW w:w="1701" w:type="dxa"/>
          </w:tcPr>
          <w:p w14:paraId="03809869" w14:textId="70EADBDD" w:rsidR="002A609A" w:rsidRPr="002A609A" w:rsidRDefault="7B591643" w:rsidP="7B59164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7002 – Slide Deck</w:t>
            </w:r>
          </w:p>
          <w:p w14:paraId="7763A37F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A7D4B9" w14:textId="729D9AA2" w:rsidR="7B591643" w:rsidRDefault="00000000" w:rsidP="7B591643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hyperlink r:id="rId9">
              <w:r w:rsidR="7B591643" w:rsidRPr="7B591643">
                <w:rPr>
                  <w:rStyle w:val="Hyperlink"/>
                  <w:rFonts w:ascii="Corbel" w:eastAsia="Corbel" w:hAnsi="Corbel" w:cs="Corbel"/>
                  <w:sz w:val="16"/>
                  <w:szCs w:val="16"/>
                  <w:lang w:val="en-US"/>
                </w:rPr>
                <w:t>https://assets.publishing.service.gov.uk/government/uploads/system/uploads/attachment_data/file/85026/vcs-positive-action.pdf</w:t>
              </w:r>
            </w:hyperlink>
          </w:p>
          <w:p w14:paraId="03C9F282" w14:textId="1266EB1B" w:rsidR="7B591643" w:rsidRDefault="7B591643" w:rsidP="7B591643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  <w:lang w:val="en-US"/>
              </w:rPr>
            </w:pPr>
          </w:p>
          <w:p w14:paraId="17070E4C" w14:textId="1788F252" w:rsidR="7B591643" w:rsidRDefault="00000000" w:rsidP="7B591643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  <w:lang w:val="en-US"/>
              </w:rPr>
            </w:pPr>
            <w:hyperlink r:id="rId10">
              <w:r w:rsidR="7B591643" w:rsidRPr="7B591643">
                <w:rPr>
                  <w:rStyle w:val="Hyperlink"/>
                  <w:rFonts w:ascii="Corbel" w:eastAsia="Corbel" w:hAnsi="Corbel" w:cs="Corbel"/>
                  <w:sz w:val="16"/>
                  <w:szCs w:val="16"/>
                  <w:lang w:val="en-US"/>
                </w:rPr>
                <w:t>https://www.legislation.gov.uk/ukpga/2010/15/section/159</w:t>
              </w:r>
            </w:hyperlink>
          </w:p>
          <w:p w14:paraId="5E39451A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A609A" w:rsidRPr="002A609A" w14:paraId="7DBD3E82" w14:textId="77777777" w:rsidTr="7B591643">
        <w:tc>
          <w:tcPr>
            <w:tcW w:w="3390" w:type="dxa"/>
          </w:tcPr>
          <w:p w14:paraId="2B890585" w14:textId="77B13BF8" w:rsidR="002A609A" w:rsidRPr="002A609A" w:rsidRDefault="7B591643" w:rsidP="7B591643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 xml:space="preserve">Explain the model PERMA and articulate how this model drives inclusion within the workplace </w:t>
            </w:r>
          </w:p>
        </w:tc>
        <w:tc>
          <w:tcPr>
            <w:tcW w:w="607" w:type="dxa"/>
          </w:tcPr>
          <w:p w14:paraId="42A5847A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A609A">
              <w:rPr>
                <w:rFonts w:asciiTheme="majorHAnsi" w:hAnsiTheme="majorHAnsi" w:cstheme="majorHAnsi"/>
                <w:sz w:val="18"/>
                <w:szCs w:val="18"/>
              </w:rPr>
              <w:t>150</w:t>
            </w:r>
          </w:p>
        </w:tc>
        <w:tc>
          <w:tcPr>
            <w:tcW w:w="4650" w:type="dxa"/>
          </w:tcPr>
          <w:p w14:paraId="62D808E5" w14:textId="4C45EDD3" w:rsidR="002A609A" w:rsidRPr="002A609A" w:rsidRDefault="7B591643" w:rsidP="7B591643">
            <w:pPr>
              <w:spacing w:line="259" w:lineRule="auto"/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 xml:space="preserve">Define PERMA and in your own words explain why these elements are </w:t>
            </w:r>
            <w:proofErr w:type="gramStart"/>
            <w:r w:rsidRPr="7B591643">
              <w:rPr>
                <w:rFonts w:asciiTheme="majorHAnsi" w:hAnsiTheme="majorHAnsi" w:cstheme="majorBidi"/>
                <w:sz w:val="18"/>
                <w:szCs w:val="18"/>
              </w:rPr>
              <w:t>critical, if</w:t>
            </w:r>
            <w:proofErr w:type="gramEnd"/>
            <w:r w:rsidRPr="7B591643">
              <w:rPr>
                <w:rFonts w:asciiTheme="majorHAnsi" w:hAnsiTheme="majorHAnsi" w:cstheme="majorBidi"/>
                <w:sz w:val="18"/>
                <w:szCs w:val="18"/>
              </w:rPr>
              <w:t xml:space="preserve"> we wish to create inclusive working environments.  Give examples of where this is and </w:t>
            </w:r>
            <w:proofErr w:type="spellStart"/>
            <w:r w:rsidRPr="7B591643">
              <w:rPr>
                <w:rFonts w:asciiTheme="majorHAnsi" w:hAnsiTheme="majorHAnsi" w:cstheme="majorBidi"/>
                <w:sz w:val="18"/>
                <w:szCs w:val="18"/>
              </w:rPr>
              <w:t>isnt</w:t>
            </w:r>
            <w:proofErr w:type="spellEnd"/>
            <w:r w:rsidRPr="7B591643">
              <w:rPr>
                <w:rFonts w:asciiTheme="majorHAnsi" w:hAnsiTheme="majorHAnsi" w:cstheme="majorBidi"/>
                <w:sz w:val="18"/>
                <w:szCs w:val="18"/>
              </w:rPr>
              <w:t xml:space="preserve"> currently working, within your own organisation</w:t>
            </w:r>
          </w:p>
        </w:tc>
        <w:tc>
          <w:tcPr>
            <w:tcW w:w="1701" w:type="dxa"/>
          </w:tcPr>
          <w:p w14:paraId="14DA2B76" w14:textId="77777777" w:rsidR="002A609A" w:rsidRPr="002A609A" w:rsidRDefault="7B591643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7001 – Slide Deck</w:t>
            </w:r>
          </w:p>
          <w:p w14:paraId="46BCB641" w14:textId="11717100" w:rsidR="7B591643" w:rsidRDefault="7B591643" w:rsidP="7B59164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7002 – Slide Deck</w:t>
            </w:r>
          </w:p>
          <w:p w14:paraId="468F154F" w14:textId="356432CF" w:rsidR="7B591643" w:rsidRDefault="7B591643" w:rsidP="7B591643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0C2016C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A609A" w:rsidRPr="002A609A" w14:paraId="0FA3F0DB" w14:textId="77777777" w:rsidTr="7B591643">
        <w:tc>
          <w:tcPr>
            <w:tcW w:w="3390" w:type="dxa"/>
          </w:tcPr>
          <w:p w14:paraId="6013FCDB" w14:textId="384D030C" w:rsidR="002A609A" w:rsidRPr="002A609A" w:rsidRDefault="7B591643" w:rsidP="7B591643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Define non-binary identity, what this means and why recognising it is important</w:t>
            </w:r>
            <w:r w:rsidR="00431CB2">
              <w:rPr>
                <w:rFonts w:asciiTheme="majorHAnsi" w:hAnsiTheme="majorHAnsi" w:cstheme="majorBidi"/>
                <w:sz w:val="18"/>
                <w:szCs w:val="18"/>
              </w:rPr>
              <w:t xml:space="preserve"> in the workplace</w:t>
            </w:r>
          </w:p>
        </w:tc>
        <w:tc>
          <w:tcPr>
            <w:tcW w:w="607" w:type="dxa"/>
          </w:tcPr>
          <w:p w14:paraId="79D852AB" w14:textId="5BD42780" w:rsidR="002A609A" w:rsidRPr="002A609A" w:rsidRDefault="7B591643" w:rsidP="7B59164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100</w:t>
            </w:r>
          </w:p>
        </w:tc>
        <w:tc>
          <w:tcPr>
            <w:tcW w:w="4650" w:type="dxa"/>
          </w:tcPr>
          <w:p w14:paraId="73B6E0DD" w14:textId="77777777" w:rsidR="00431CB2" w:rsidRDefault="00431CB2" w:rsidP="7B591643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3-part</w:t>
            </w:r>
            <w:r w:rsidR="7B591643" w:rsidRPr="7B591643">
              <w:rPr>
                <w:rFonts w:asciiTheme="majorHAnsi" w:hAnsiTheme="majorHAnsi" w:cstheme="majorBidi"/>
                <w:sz w:val="18"/>
                <w:szCs w:val="18"/>
              </w:rPr>
              <w:t xml:space="preserve"> question – what </w:t>
            </w:r>
            <w:proofErr w:type="gramStart"/>
            <w:r w:rsidR="7B591643" w:rsidRPr="7B591643">
              <w:rPr>
                <w:rFonts w:asciiTheme="majorHAnsi" w:hAnsiTheme="majorHAnsi" w:cstheme="majorBidi"/>
                <w:sz w:val="18"/>
                <w:szCs w:val="18"/>
              </w:rPr>
              <w:t>is it</w:t>
            </w:r>
            <w:proofErr w:type="gramEnd"/>
            <w:r w:rsidR="7B591643" w:rsidRPr="7B591643">
              <w:rPr>
                <w:rFonts w:asciiTheme="majorHAnsi" w:hAnsiTheme="majorHAnsi" w:cstheme="majorBidi"/>
                <w:sz w:val="18"/>
                <w:szCs w:val="18"/>
              </w:rPr>
              <w:t xml:space="preserve"> / why does it exist /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why should it be recognised.</w:t>
            </w:r>
          </w:p>
          <w:p w14:paraId="509AFB1F" w14:textId="77777777" w:rsidR="00431CB2" w:rsidRDefault="00431CB2" w:rsidP="7B591643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A499C3F" w14:textId="2681B1EB" w:rsidR="00431CB2" w:rsidRPr="00431CB2" w:rsidRDefault="00431CB2" w:rsidP="7B591643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Short concise answer</w:t>
            </w:r>
          </w:p>
        </w:tc>
        <w:tc>
          <w:tcPr>
            <w:tcW w:w="1701" w:type="dxa"/>
          </w:tcPr>
          <w:p w14:paraId="4D65EA23" w14:textId="71EA1658" w:rsidR="7B591643" w:rsidRDefault="7B591643" w:rsidP="7B591643">
            <w:pPr>
              <w:spacing w:line="259" w:lineRule="auto"/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Gender &amp; Identity module (Before you start Section) within the Inclusion Academy</w:t>
            </w:r>
          </w:p>
          <w:p w14:paraId="6F2270ED" w14:textId="61142364" w:rsidR="7B591643" w:rsidRDefault="7B591643" w:rsidP="7B591643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F7A099C" w14:textId="3CE34378" w:rsidR="7B591643" w:rsidRDefault="7B591643" w:rsidP="7B591643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B591643">
              <w:rPr>
                <w:rFonts w:asciiTheme="majorHAnsi" w:hAnsiTheme="majorHAnsi" w:cstheme="majorBidi"/>
                <w:sz w:val="18"/>
                <w:szCs w:val="18"/>
              </w:rPr>
              <w:t>https://youtu.be/kVe8wpmH_lU</w:t>
            </w:r>
          </w:p>
          <w:p w14:paraId="45309526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D6B9D4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170BCD8" w14:textId="5C6F3703" w:rsidR="00DE612E" w:rsidRDefault="00DE612E" w:rsidP="002A609A">
      <w:pPr>
        <w:rPr>
          <w:rFonts w:asciiTheme="majorHAnsi" w:hAnsiTheme="majorHAnsi" w:cstheme="majorHAnsi"/>
        </w:rPr>
      </w:pPr>
    </w:p>
    <w:p w14:paraId="319E5F75" w14:textId="23C0DE87" w:rsidR="004F69EB" w:rsidRDefault="004F69EB" w:rsidP="002A609A">
      <w:pPr>
        <w:rPr>
          <w:rFonts w:asciiTheme="majorHAnsi" w:hAnsiTheme="majorHAnsi" w:cstheme="majorHAnsi"/>
        </w:rPr>
      </w:pPr>
    </w:p>
    <w:p w14:paraId="39259E69" w14:textId="733AF2EA" w:rsidR="004F69EB" w:rsidRDefault="004F69EB" w:rsidP="002A609A">
      <w:pPr>
        <w:rPr>
          <w:rFonts w:asciiTheme="majorHAnsi" w:hAnsiTheme="majorHAnsi" w:cstheme="majorHAnsi"/>
        </w:rPr>
      </w:pPr>
    </w:p>
    <w:p w14:paraId="3785F3DE" w14:textId="28E9650A" w:rsidR="004F69EB" w:rsidRDefault="004F69EB" w:rsidP="002A609A">
      <w:pPr>
        <w:rPr>
          <w:rFonts w:asciiTheme="majorHAnsi" w:hAnsiTheme="majorHAnsi" w:cstheme="majorHAnsi"/>
        </w:rPr>
      </w:pPr>
    </w:p>
    <w:p w14:paraId="1CD5FEDC" w14:textId="589F09AC" w:rsidR="004F69EB" w:rsidRDefault="004F69EB" w:rsidP="002A609A">
      <w:pPr>
        <w:rPr>
          <w:rFonts w:asciiTheme="majorHAnsi" w:hAnsiTheme="majorHAnsi" w:cstheme="majorHAnsi"/>
        </w:rPr>
      </w:pPr>
    </w:p>
    <w:p w14:paraId="6842FDD3" w14:textId="6D106888" w:rsidR="004F69EB" w:rsidRDefault="004F69EB" w:rsidP="002A609A">
      <w:pPr>
        <w:rPr>
          <w:rFonts w:asciiTheme="majorHAnsi" w:hAnsiTheme="majorHAnsi" w:cstheme="majorHAnsi"/>
        </w:rPr>
      </w:pPr>
    </w:p>
    <w:p w14:paraId="2987244A" w14:textId="1E721A12" w:rsidR="004F69EB" w:rsidRDefault="004F69EB" w:rsidP="002A60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Useful Resources</w:t>
      </w:r>
    </w:p>
    <w:p w14:paraId="3C89061F" w14:textId="0F86F95C" w:rsidR="004F69EB" w:rsidRDefault="004F69EB" w:rsidP="002A609A">
      <w:pPr>
        <w:rPr>
          <w:rFonts w:asciiTheme="majorHAnsi" w:hAnsiTheme="majorHAnsi" w:cstheme="majorHAnsi"/>
        </w:rPr>
      </w:pPr>
    </w:p>
    <w:p w14:paraId="4818F019" w14:textId="56EC3E18" w:rsidR="004F69EB" w:rsidRDefault="004F69EB" w:rsidP="002A60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Legal: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6"/>
      </w:tblGrid>
      <w:tr w:rsidR="00DE612E" w:rsidRPr="004F69EB" w14:paraId="6E0E465B" w14:textId="77777777" w:rsidTr="004F69EB">
        <w:tc>
          <w:tcPr>
            <w:tcW w:w="1980" w:type="dxa"/>
          </w:tcPr>
          <w:p w14:paraId="5EFB599E" w14:textId="14AFED25" w:rsidR="00DE612E" w:rsidRPr="004F69EB" w:rsidRDefault="00DE612E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F69EB">
              <w:rPr>
                <w:rFonts w:asciiTheme="majorHAnsi" w:hAnsiTheme="majorHAnsi" w:cstheme="majorHAnsi"/>
                <w:sz w:val="20"/>
                <w:szCs w:val="20"/>
              </w:rPr>
              <w:t>Equality Act 2010</w:t>
            </w:r>
          </w:p>
        </w:tc>
        <w:tc>
          <w:tcPr>
            <w:tcW w:w="7036" w:type="dxa"/>
          </w:tcPr>
          <w:p w14:paraId="6BA9D99D" w14:textId="3256BF01" w:rsidR="004F69EB" w:rsidRPr="005523B5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1" w:history="1">
              <w:r w:rsidR="004F69EB" w:rsidRPr="005523B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https://www.legislation.gov.uk/ukpga/2010/15/contents</w:t>
              </w:r>
            </w:hyperlink>
          </w:p>
        </w:tc>
      </w:tr>
      <w:tr w:rsidR="00DE612E" w:rsidRPr="004F69EB" w14:paraId="42097F58" w14:textId="77777777" w:rsidTr="004F69EB">
        <w:tc>
          <w:tcPr>
            <w:tcW w:w="1980" w:type="dxa"/>
          </w:tcPr>
          <w:p w14:paraId="34AE07AC" w14:textId="0C1482F2" w:rsidR="00DE612E" w:rsidRPr="004F69EB" w:rsidRDefault="004F69EB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F69EB">
              <w:rPr>
                <w:rFonts w:asciiTheme="majorHAnsi" w:hAnsiTheme="majorHAnsi" w:cstheme="majorHAnsi"/>
                <w:sz w:val="20"/>
                <w:szCs w:val="20"/>
              </w:rPr>
              <w:t>Civil Rights Act 1964</w:t>
            </w:r>
          </w:p>
        </w:tc>
        <w:tc>
          <w:tcPr>
            <w:tcW w:w="7036" w:type="dxa"/>
          </w:tcPr>
          <w:p w14:paraId="136919A5" w14:textId="19688E81" w:rsidR="004F69EB" w:rsidRPr="005523B5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2" w:anchor=":~:text=In%201964%2C%20Congress%20passed%20Public,hiring%2C%20promoting%2C%20and%20firing" w:history="1">
              <w:r w:rsidR="004F69EB" w:rsidRPr="005523B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https://www.dol.gov/agencies/oasam/civil-rights-center/statutes/civil-rights-act-of-1964#:~:text=In%201964%2C%20Congress%20passed%20Public,hiring%2C%20promoting%2C%20and%20firing</w:t>
              </w:r>
            </w:hyperlink>
            <w:r w:rsidR="004F69EB" w:rsidRPr="005523B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4F69EB" w:rsidRPr="004F69EB" w14:paraId="4DA71E93" w14:textId="77777777" w:rsidTr="004F69EB">
        <w:tc>
          <w:tcPr>
            <w:tcW w:w="1980" w:type="dxa"/>
          </w:tcPr>
          <w:p w14:paraId="644C6CD1" w14:textId="233B3420" w:rsidR="004F69EB" w:rsidRPr="004F69EB" w:rsidRDefault="004F69EB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EU Charter of Fundamental Rights</w:t>
            </w:r>
          </w:p>
        </w:tc>
        <w:tc>
          <w:tcPr>
            <w:tcW w:w="7036" w:type="dxa"/>
          </w:tcPr>
          <w:p w14:paraId="40558C85" w14:textId="58B2C896" w:rsidR="004F69EB" w:rsidRPr="005523B5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3" w:history="1">
              <w:r w:rsidR="004F69EB" w:rsidRPr="005523B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https://eur-lex.europa.eu/legal-content/EN/TXT/?uri=CELEX:12012P/TXT</w:t>
              </w:r>
            </w:hyperlink>
          </w:p>
          <w:p w14:paraId="62F78B47" w14:textId="5DC60DA3" w:rsidR="004F69EB" w:rsidRPr="005523B5" w:rsidRDefault="004F69EB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F69EB" w:rsidRPr="004F69EB" w14:paraId="3A7E6EB3" w14:textId="77777777" w:rsidTr="004F69EB">
        <w:tc>
          <w:tcPr>
            <w:tcW w:w="1980" w:type="dxa"/>
          </w:tcPr>
          <w:p w14:paraId="202ED9A2" w14:textId="52065A77" w:rsidR="004F69EB" w:rsidRDefault="005523B5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ACAS</w:t>
            </w:r>
          </w:p>
        </w:tc>
        <w:tc>
          <w:tcPr>
            <w:tcW w:w="7036" w:type="dxa"/>
          </w:tcPr>
          <w:p w14:paraId="405FE91A" w14:textId="26DC01A6" w:rsidR="005523B5" w:rsidRPr="005523B5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4" w:history="1">
              <w:r w:rsidR="005523B5" w:rsidRPr="005523B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https://www.acas.org.uk/improving-equality-diversity-and-inclusion</w:t>
              </w:r>
            </w:hyperlink>
          </w:p>
        </w:tc>
      </w:tr>
    </w:tbl>
    <w:p w14:paraId="2E5EC083" w14:textId="6137F9B2" w:rsidR="00DE612E" w:rsidRDefault="00DE612E" w:rsidP="002A609A">
      <w:pPr>
        <w:rPr>
          <w:rFonts w:asciiTheme="majorHAnsi" w:hAnsiTheme="majorHAnsi" w:cstheme="majorHAnsi"/>
        </w:rPr>
      </w:pPr>
    </w:p>
    <w:p w14:paraId="3B730AF0" w14:textId="0FDB4824" w:rsidR="005523B5" w:rsidRDefault="005523B5" w:rsidP="002A60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Important Reports:</w:t>
      </w:r>
    </w:p>
    <w:p w14:paraId="6A6B4E1D" w14:textId="31A0A1DA" w:rsidR="005523B5" w:rsidRPr="002F2D8B" w:rsidRDefault="005523B5" w:rsidP="002A609A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753"/>
      </w:tblGrid>
      <w:tr w:rsidR="002F2D8B" w:rsidRPr="002F2D8B" w14:paraId="4809E9CD" w14:textId="77777777" w:rsidTr="002F2D8B">
        <w:tc>
          <w:tcPr>
            <w:tcW w:w="2263" w:type="dxa"/>
          </w:tcPr>
          <w:p w14:paraId="44E32E67" w14:textId="185A233C" w:rsidR="005523B5" w:rsidRPr="002F2D8B" w:rsidRDefault="005523B5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D8B">
              <w:rPr>
                <w:rFonts w:asciiTheme="majorHAnsi" w:hAnsiTheme="majorHAnsi" w:cstheme="majorHAnsi"/>
                <w:sz w:val="20"/>
                <w:szCs w:val="20"/>
              </w:rPr>
              <w:t>UK Government: Employment, Fairness at work and Enterprise</w:t>
            </w:r>
          </w:p>
        </w:tc>
        <w:tc>
          <w:tcPr>
            <w:tcW w:w="6753" w:type="dxa"/>
          </w:tcPr>
          <w:p w14:paraId="5A77FBF6" w14:textId="7F2F717A" w:rsidR="005523B5" w:rsidRPr="002F2D8B" w:rsidRDefault="00000000" w:rsidP="002A609A">
            <w:pPr>
              <w:rPr>
                <w:rFonts w:asciiTheme="majorHAnsi" w:hAnsiTheme="majorHAnsi" w:cstheme="majorHAnsi"/>
              </w:rPr>
            </w:pPr>
            <w:hyperlink r:id="rId15" w:history="1">
              <w:r w:rsidR="005523B5" w:rsidRPr="002F2D8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https://www.gov.uk/government/publications/the-report-of-the-commission-on-race-and-ethnic-disparities/employment-fairness-at-work-and-enterprise</w:t>
              </w:r>
            </w:hyperlink>
          </w:p>
        </w:tc>
      </w:tr>
      <w:tr w:rsidR="002F2D8B" w:rsidRPr="002F2D8B" w14:paraId="52362C5E" w14:textId="77777777" w:rsidTr="002F2D8B">
        <w:tc>
          <w:tcPr>
            <w:tcW w:w="2263" w:type="dxa"/>
          </w:tcPr>
          <w:p w14:paraId="3F5B4AB8" w14:textId="786EA111" w:rsidR="005523B5" w:rsidRPr="002F2D8B" w:rsidRDefault="005523B5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D8B">
              <w:rPr>
                <w:rFonts w:asciiTheme="majorHAnsi" w:hAnsiTheme="majorHAnsi" w:cstheme="majorHAnsi"/>
                <w:sz w:val="20"/>
                <w:szCs w:val="20"/>
              </w:rPr>
              <w:t xml:space="preserve">Race in the </w:t>
            </w:r>
            <w:proofErr w:type="gramStart"/>
            <w:r w:rsidRPr="002F2D8B">
              <w:rPr>
                <w:rFonts w:asciiTheme="majorHAnsi" w:hAnsiTheme="majorHAnsi" w:cstheme="majorHAnsi"/>
                <w:sz w:val="20"/>
                <w:szCs w:val="20"/>
              </w:rPr>
              <w:t>workplace  -</w:t>
            </w:r>
            <w:proofErr w:type="gramEnd"/>
            <w:r w:rsidRPr="002F2D8B">
              <w:rPr>
                <w:rFonts w:asciiTheme="majorHAnsi" w:hAnsiTheme="majorHAnsi" w:cstheme="majorHAnsi"/>
                <w:sz w:val="20"/>
                <w:szCs w:val="20"/>
              </w:rPr>
              <w:t xml:space="preserve"> McGregor-Smith Review</w:t>
            </w:r>
          </w:p>
        </w:tc>
        <w:tc>
          <w:tcPr>
            <w:tcW w:w="6753" w:type="dxa"/>
          </w:tcPr>
          <w:p w14:paraId="2C4E483E" w14:textId="3C4C95E5" w:rsidR="005523B5" w:rsidRPr="002F2D8B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6" w:history="1">
              <w:r w:rsidR="002F2D8B" w:rsidRPr="002F2D8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https://assets.publishing.service.gov.uk/government/uploads/system/uploads/attachment_data/file/594336/race-in-workplace-mcgregor-smith-review.pdf</w:t>
              </w:r>
            </w:hyperlink>
          </w:p>
        </w:tc>
      </w:tr>
      <w:tr w:rsidR="002F2D8B" w:rsidRPr="002F2D8B" w14:paraId="3D288549" w14:textId="77777777" w:rsidTr="002F2D8B">
        <w:tc>
          <w:tcPr>
            <w:tcW w:w="2263" w:type="dxa"/>
          </w:tcPr>
          <w:p w14:paraId="00A272C6" w14:textId="5809DB79" w:rsidR="002F2D8B" w:rsidRPr="002F2D8B" w:rsidRDefault="002F2D8B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D8B">
              <w:rPr>
                <w:rFonts w:asciiTheme="majorHAnsi" w:hAnsiTheme="majorHAnsi" w:cstheme="majorHAnsi"/>
                <w:sz w:val="20"/>
                <w:szCs w:val="20"/>
              </w:rPr>
              <w:t>CIPD</w:t>
            </w:r>
          </w:p>
        </w:tc>
        <w:tc>
          <w:tcPr>
            <w:tcW w:w="6753" w:type="dxa"/>
          </w:tcPr>
          <w:p w14:paraId="7319BB04" w14:textId="41C2D69F" w:rsidR="002F2D8B" w:rsidRPr="002F2D8B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7" w:anchor="gref" w:history="1">
              <w:r w:rsidR="002F2D8B" w:rsidRPr="002F2D8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https://www.cipd.co.uk/news-views/viewpoint/race-inclusion-workplace#gref</w:t>
              </w:r>
            </w:hyperlink>
          </w:p>
        </w:tc>
      </w:tr>
      <w:tr w:rsidR="002F2D8B" w:rsidRPr="002F2D8B" w14:paraId="33D1FD57" w14:textId="77777777" w:rsidTr="002F2D8B">
        <w:tc>
          <w:tcPr>
            <w:tcW w:w="2263" w:type="dxa"/>
          </w:tcPr>
          <w:p w14:paraId="7A2A8B0E" w14:textId="1536089F" w:rsidR="002F2D8B" w:rsidRPr="002F2D8B" w:rsidRDefault="002F2D8B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D8B">
              <w:rPr>
                <w:rFonts w:asciiTheme="majorHAnsi" w:hAnsiTheme="majorHAnsi" w:cstheme="majorHAnsi"/>
                <w:sz w:val="20"/>
                <w:szCs w:val="20"/>
              </w:rPr>
              <w:t>McKinsey</w:t>
            </w:r>
          </w:p>
        </w:tc>
        <w:tc>
          <w:tcPr>
            <w:tcW w:w="6753" w:type="dxa"/>
          </w:tcPr>
          <w:p w14:paraId="4D2587A7" w14:textId="3E55A620" w:rsidR="002F2D8B" w:rsidRPr="002F2D8B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8" w:history="1">
              <w:r w:rsidR="002F2D8B" w:rsidRPr="002F2D8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https://www.mckinsey.com/featured-insights/diversity-and-inclusion/diversity-wins-how-inclusion-matters</w:t>
              </w:r>
            </w:hyperlink>
          </w:p>
        </w:tc>
      </w:tr>
    </w:tbl>
    <w:p w14:paraId="7A6DF093" w14:textId="77777777" w:rsidR="005523B5" w:rsidRPr="002A609A" w:rsidRDefault="005523B5" w:rsidP="002A609A">
      <w:pPr>
        <w:rPr>
          <w:rFonts w:asciiTheme="majorHAnsi" w:hAnsiTheme="majorHAnsi" w:cstheme="majorHAnsi"/>
        </w:rPr>
      </w:pPr>
    </w:p>
    <w:p w14:paraId="46B2EFA6" w14:textId="13746931" w:rsidR="00311F15" w:rsidRDefault="00000000">
      <w:pPr>
        <w:rPr>
          <w:sz w:val="18"/>
          <w:szCs w:val="18"/>
        </w:rPr>
      </w:pPr>
    </w:p>
    <w:p w14:paraId="73F44973" w14:textId="221B23D4" w:rsidR="002F2D8B" w:rsidRPr="004E08AF" w:rsidRDefault="002F2D8B">
      <w:pPr>
        <w:rPr>
          <w:rFonts w:asciiTheme="majorHAnsi" w:hAnsiTheme="majorHAnsi" w:cstheme="majorHAnsi"/>
          <w:sz w:val="18"/>
          <w:szCs w:val="18"/>
        </w:rPr>
      </w:pPr>
      <w:r w:rsidRPr="004E08AF">
        <w:rPr>
          <w:rFonts w:asciiTheme="majorHAnsi" w:hAnsiTheme="majorHAnsi" w:cstheme="majorHAnsi"/>
          <w:sz w:val="18"/>
          <w:szCs w:val="18"/>
        </w:rPr>
        <w:t>TED Talks</w:t>
      </w:r>
    </w:p>
    <w:p w14:paraId="063A3989" w14:textId="02BDF51F" w:rsidR="002F2D8B" w:rsidRPr="004E08AF" w:rsidRDefault="002F2D8B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2F2D8B" w:rsidRPr="004E08AF" w14:paraId="7D16A6AF" w14:textId="77777777" w:rsidTr="004E08AF">
        <w:tc>
          <w:tcPr>
            <w:tcW w:w="1980" w:type="dxa"/>
          </w:tcPr>
          <w:p w14:paraId="0AB7F26B" w14:textId="0FCF7213" w:rsidR="002F2D8B" w:rsidRPr="004E08AF" w:rsidRDefault="002F2D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E08AF">
              <w:rPr>
                <w:rFonts w:asciiTheme="majorHAnsi" w:hAnsiTheme="majorHAnsi" w:cstheme="majorHAnsi"/>
                <w:sz w:val="18"/>
                <w:szCs w:val="18"/>
              </w:rPr>
              <w:t>Janet Stovall</w:t>
            </w:r>
          </w:p>
        </w:tc>
        <w:tc>
          <w:tcPr>
            <w:tcW w:w="2693" w:type="dxa"/>
          </w:tcPr>
          <w:p w14:paraId="4DDB9CAE" w14:textId="0FA00F95" w:rsidR="002F2D8B" w:rsidRPr="004E08AF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9" w:history="1">
              <w:r w:rsidR="002F2D8B" w:rsidRPr="004E08A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https://youtu.be/kvdHqS3ryw0</w:t>
              </w:r>
            </w:hyperlink>
          </w:p>
        </w:tc>
      </w:tr>
      <w:tr w:rsidR="002F2D8B" w:rsidRPr="004E08AF" w14:paraId="092865C3" w14:textId="77777777" w:rsidTr="004E08AF">
        <w:tc>
          <w:tcPr>
            <w:tcW w:w="1980" w:type="dxa"/>
          </w:tcPr>
          <w:p w14:paraId="690581DB" w14:textId="11872995" w:rsidR="002F2D8B" w:rsidRPr="004E08AF" w:rsidRDefault="004E08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E08AF">
              <w:rPr>
                <w:rFonts w:asciiTheme="majorHAnsi" w:hAnsiTheme="majorHAnsi" w:cstheme="majorHAnsi"/>
                <w:sz w:val="18"/>
                <w:szCs w:val="18"/>
              </w:rPr>
              <w:t>Paloma Medina</w:t>
            </w:r>
          </w:p>
        </w:tc>
        <w:tc>
          <w:tcPr>
            <w:tcW w:w="2693" w:type="dxa"/>
          </w:tcPr>
          <w:p w14:paraId="1353992F" w14:textId="3EA8454B" w:rsidR="002F2D8B" w:rsidRPr="004E08AF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0" w:history="1">
              <w:r w:rsidR="004E08AF" w:rsidRPr="004E08A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https://youtu.be/deYUUfak08Y</w:t>
              </w:r>
            </w:hyperlink>
          </w:p>
        </w:tc>
      </w:tr>
      <w:tr w:rsidR="004E08AF" w:rsidRPr="004E08AF" w14:paraId="19667595" w14:textId="77777777" w:rsidTr="004E08AF">
        <w:tc>
          <w:tcPr>
            <w:tcW w:w="1980" w:type="dxa"/>
          </w:tcPr>
          <w:p w14:paraId="6B0C4B1E" w14:textId="2F66E741" w:rsidR="004E08AF" w:rsidRPr="004E08AF" w:rsidRDefault="004E08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E08AF">
              <w:rPr>
                <w:rFonts w:asciiTheme="majorHAnsi" w:hAnsiTheme="majorHAnsi" w:cstheme="majorHAnsi"/>
                <w:sz w:val="18"/>
                <w:szCs w:val="18"/>
              </w:rPr>
              <w:t>Julliette</w:t>
            </w:r>
            <w:proofErr w:type="spellEnd"/>
            <w:r w:rsidRPr="004E08AF">
              <w:rPr>
                <w:rFonts w:asciiTheme="majorHAnsi" w:hAnsiTheme="majorHAnsi" w:cstheme="majorHAnsi"/>
                <w:sz w:val="18"/>
                <w:szCs w:val="18"/>
              </w:rPr>
              <w:t xml:space="preserve"> Powell</w:t>
            </w:r>
          </w:p>
        </w:tc>
        <w:tc>
          <w:tcPr>
            <w:tcW w:w="2693" w:type="dxa"/>
          </w:tcPr>
          <w:p w14:paraId="51AA9D6E" w14:textId="3587E0E4" w:rsidR="004E08AF" w:rsidRPr="004E08AF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1" w:history="1">
              <w:r w:rsidR="004E08AF" w:rsidRPr="004E08A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https://youtu.be/thkmVv54e6M</w:t>
              </w:r>
            </w:hyperlink>
          </w:p>
        </w:tc>
      </w:tr>
      <w:tr w:rsidR="004E08AF" w:rsidRPr="004E08AF" w14:paraId="148C15FF" w14:textId="77777777" w:rsidTr="004E08AF">
        <w:tc>
          <w:tcPr>
            <w:tcW w:w="1980" w:type="dxa"/>
          </w:tcPr>
          <w:p w14:paraId="44EAD631" w14:textId="727A081B" w:rsidR="004E08AF" w:rsidRPr="004E08AF" w:rsidRDefault="004E08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E08AF">
              <w:rPr>
                <w:rFonts w:asciiTheme="majorHAnsi" w:hAnsiTheme="majorHAnsi" w:cstheme="majorHAnsi"/>
                <w:sz w:val="18"/>
                <w:szCs w:val="18"/>
              </w:rPr>
              <w:t xml:space="preserve">Mile </w:t>
            </w:r>
            <w:proofErr w:type="spellStart"/>
            <w:r w:rsidRPr="004E08AF">
              <w:rPr>
                <w:rFonts w:asciiTheme="majorHAnsi" w:hAnsiTheme="majorHAnsi" w:cstheme="majorHAnsi"/>
                <w:sz w:val="18"/>
                <w:szCs w:val="18"/>
              </w:rPr>
              <w:t>Hartmanm</w:t>
            </w:r>
            <w:proofErr w:type="spellEnd"/>
          </w:p>
        </w:tc>
        <w:tc>
          <w:tcPr>
            <w:tcW w:w="2693" w:type="dxa"/>
          </w:tcPr>
          <w:p w14:paraId="0027DE69" w14:textId="1C418699" w:rsidR="004E08AF" w:rsidRPr="004E08AF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2" w:history="1">
              <w:r w:rsidR="004E08AF" w:rsidRPr="004E08A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https://youtu.be/dU7Mhne4CzU</w:t>
              </w:r>
            </w:hyperlink>
          </w:p>
        </w:tc>
      </w:tr>
    </w:tbl>
    <w:p w14:paraId="4C714A27" w14:textId="77777777" w:rsidR="002F2D8B" w:rsidRPr="004E08AF" w:rsidRDefault="002F2D8B">
      <w:pPr>
        <w:rPr>
          <w:rFonts w:asciiTheme="majorHAnsi" w:hAnsiTheme="majorHAnsi" w:cstheme="majorHAnsi"/>
          <w:sz w:val="18"/>
          <w:szCs w:val="18"/>
        </w:rPr>
      </w:pPr>
    </w:p>
    <w:sectPr w:rsidR="002F2D8B" w:rsidRPr="004E08AF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C3F5" w14:textId="77777777" w:rsidR="005A20B4" w:rsidRDefault="005A20B4" w:rsidP="002A609A">
      <w:r>
        <w:separator/>
      </w:r>
    </w:p>
  </w:endnote>
  <w:endnote w:type="continuationSeparator" w:id="0">
    <w:p w14:paraId="6CAC7D06" w14:textId="77777777" w:rsidR="005A20B4" w:rsidRDefault="005A20B4" w:rsidP="002A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95B2" w14:textId="6A2AADBD" w:rsidR="003D1B34" w:rsidRPr="003D1B34" w:rsidRDefault="00000000" w:rsidP="003D1B34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© 2022 </w:t>
    </w:r>
    <w:r w:rsidRPr="00415BE0">
      <w:rPr>
        <w:rFonts w:ascii="Calibri" w:hAnsi="Calibri" w:cs="Calibri"/>
        <w:sz w:val="18"/>
        <w:szCs w:val="18"/>
      </w:rPr>
      <w:t xml:space="preserve">Inclusion Crowd </w:t>
    </w:r>
    <w:proofErr w:type="spellStart"/>
    <w:r w:rsidRPr="00415BE0">
      <w:rPr>
        <w:rFonts w:ascii="Calibri" w:hAnsi="Calibri" w:cs="Calibri"/>
        <w:sz w:val="18"/>
        <w:szCs w:val="18"/>
      </w:rPr>
      <w:t>Ltd</w:t>
    </w:r>
    <w:r>
      <w:rPr>
        <w:rFonts w:ascii="Calibri" w:hAnsi="Calibri" w:cs="Calibri"/>
        <w:sz w:val="18"/>
        <w:szCs w:val="18"/>
      </w:rPr>
      <w:t>_Licence</w:t>
    </w:r>
    <w:proofErr w:type="spellEnd"/>
    <w:r>
      <w:rPr>
        <w:rFonts w:ascii="Calibri" w:hAnsi="Calibri" w:cs="Calibri"/>
        <w:sz w:val="18"/>
        <w:szCs w:val="18"/>
      </w:rPr>
      <w:t xml:space="preserve"> to </w:t>
    </w:r>
    <w:proofErr w:type="spellStart"/>
    <w:r>
      <w:rPr>
        <w:rFonts w:ascii="Calibri" w:hAnsi="Calibri" w:cs="Calibri"/>
        <w:sz w:val="18"/>
        <w:szCs w:val="18"/>
      </w:rPr>
      <w:t>Recruit_Certification</w:t>
    </w:r>
    <w:proofErr w:type="spellEnd"/>
    <w:r>
      <w:rPr>
        <w:rFonts w:ascii="Calibri" w:hAnsi="Calibri" w:cs="Calibri"/>
        <w:sz w:val="18"/>
        <w:szCs w:val="18"/>
      </w:rPr>
      <w:t xml:space="preserve"> Mark_ (700</w:t>
    </w:r>
    <w:r w:rsidR="00431CB2">
      <w:rPr>
        <w:rFonts w:ascii="Calibri" w:hAnsi="Calibri" w:cs="Calibri"/>
        <w:sz w:val="18"/>
        <w:szCs w:val="18"/>
      </w:rPr>
      <w:t>2</w:t>
    </w:r>
    <w:r>
      <w:rPr>
        <w:rFonts w:ascii="Calibri" w:hAnsi="Calibri" w:cs="Calibri"/>
        <w:sz w:val="18"/>
        <w:szCs w:val="18"/>
      </w:rPr>
      <w:t>)</w:t>
    </w:r>
    <w:r w:rsidRPr="003D1B34">
      <w:rPr>
        <w:rFonts w:ascii="Calibri" w:hAnsi="Calibri" w:cs="Calibri"/>
        <w:sz w:val="18"/>
        <w:szCs w:val="18"/>
      </w:rPr>
      <w:fldChar w:fldCharType="begin"/>
    </w:r>
    <w:r w:rsidRPr="003D1B34">
      <w:rPr>
        <w:rFonts w:ascii="Calibri" w:hAnsi="Calibri" w:cs="Calibri"/>
        <w:sz w:val="18"/>
        <w:szCs w:val="18"/>
      </w:rPr>
      <w:instrText xml:space="preserve"> INCLUDEPICTURE "https://www.lifewire.com/thmb/0keMNYRgoK3UtHrWlzovASAupjo=/1071x768/filters:fill(auto,1)/001_2688246-5b916f32c9e77c0025c0cc9c.jpg" \* MERGEFORMATINET </w:instrText>
    </w:r>
    <w:r>
      <w:rPr>
        <w:rFonts w:ascii="Calibri" w:hAnsi="Calibri" w:cs="Calibri"/>
        <w:sz w:val="18"/>
        <w:szCs w:val="18"/>
      </w:rPr>
      <w:fldChar w:fldCharType="separate"/>
    </w:r>
    <w:r w:rsidRPr="003D1B34">
      <w:rPr>
        <w:rFonts w:ascii="Calibri" w:hAnsi="Calibri" w:cs="Calibri"/>
        <w:sz w:val="18"/>
        <w:szCs w:val="18"/>
      </w:rPr>
      <w:fldChar w:fldCharType="end"/>
    </w:r>
  </w:p>
  <w:p w14:paraId="414EBE48" w14:textId="77777777" w:rsidR="00E64838" w:rsidRDefault="00000000" w:rsidP="00CB5AA4">
    <w:pPr>
      <w:pStyle w:val="Footer"/>
      <w:tabs>
        <w:tab w:val="clear" w:pos="4513"/>
        <w:tab w:val="clear" w:pos="9026"/>
        <w:tab w:val="left" w:pos="700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E8FB630" wp14:editId="2A4D36FD">
          <wp:simplePos x="0" y="0"/>
          <wp:positionH relativeFrom="column">
            <wp:posOffset>5597382</wp:posOffset>
          </wp:positionH>
          <wp:positionV relativeFrom="paragraph">
            <wp:posOffset>100174</wp:posOffset>
          </wp:positionV>
          <wp:extent cx="683260" cy="192405"/>
          <wp:effectExtent l="0" t="0" r="2540" b="0"/>
          <wp:wrapTight wrapText="bothSides">
            <wp:wrapPolygon edited="0">
              <wp:start x="0" y="0"/>
              <wp:lineTo x="0" y="8554"/>
              <wp:lineTo x="4818" y="18535"/>
              <wp:lineTo x="8833" y="19960"/>
              <wp:lineTo x="21279" y="19960"/>
              <wp:lineTo x="21279" y="11406"/>
              <wp:lineTo x="18468" y="0"/>
              <wp:lineTo x="0" y="0"/>
            </wp:wrapPolygon>
          </wp:wrapTight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59" b="33574"/>
                  <a:stretch/>
                </pic:blipFill>
                <pic:spPr bwMode="auto">
                  <a:xfrm>
                    <a:off x="0" y="0"/>
                    <a:ext cx="683260" cy="192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38FF" w14:textId="77777777" w:rsidR="005A20B4" w:rsidRDefault="005A20B4" w:rsidP="002A609A">
      <w:r>
        <w:separator/>
      </w:r>
    </w:p>
  </w:footnote>
  <w:footnote w:type="continuationSeparator" w:id="0">
    <w:p w14:paraId="1C824482" w14:textId="77777777" w:rsidR="005A20B4" w:rsidRDefault="005A20B4" w:rsidP="002A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6641" w14:textId="77777777" w:rsidR="00583D7D" w:rsidRDefault="00000000" w:rsidP="007C02FE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1D0CEC" wp14:editId="017371B0">
          <wp:simplePos x="0" y="0"/>
          <wp:positionH relativeFrom="column">
            <wp:posOffset>5653586</wp:posOffset>
          </wp:positionH>
          <wp:positionV relativeFrom="paragraph">
            <wp:posOffset>-367665</wp:posOffset>
          </wp:positionV>
          <wp:extent cx="864235" cy="306705"/>
          <wp:effectExtent l="0" t="0" r="0" b="0"/>
          <wp:wrapTight wrapText="bothSides">
            <wp:wrapPolygon edited="0">
              <wp:start x="0" y="0"/>
              <wp:lineTo x="0" y="8944"/>
              <wp:lineTo x="4444" y="16099"/>
              <wp:lineTo x="9205" y="18783"/>
              <wp:lineTo x="20632" y="18783"/>
              <wp:lineTo x="21267" y="16099"/>
              <wp:lineTo x="21267" y="11627"/>
              <wp:lineTo x="18410" y="0"/>
              <wp:lineTo x="0" y="0"/>
            </wp:wrapPolygon>
          </wp:wrapTight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01" b="27272"/>
                  <a:stretch/>
                </pic:blipFill>
                <pic:spPr bwMode="auto">
                  <a:xfrm>
                    <a:off x="0" y="0"/>
                    <a:ext cx="864235" cy="306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Licence to Recruit: Certification </w:t>
    </w:r>
    <w:proofErr w:type="spellStart"/>
    <w:r>
      <w:t>Mark_Module</w:t>
    </w:r>
    <w:proofErr w:type="spellEnd"/>
    <w:r>
      <w:t xml:space="preserve"> 7001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31F"/>
    <w:multiLevelType w:val="hybridMultilevel"/>
    <w:tmpl w:val="1818CAAC"/>
    <w:lvl w:ilvl="0" w:tplc="8132BC98">
      <w:start w:val="10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A105C"/>
    <w:multiLevelType w:val="hybridMultilevel"/>
    <w:tmpl w:val="6A906D38"/>
    <w:lvl w:ilvl="0" w:tplc="2C24EF3C">
      <w:start w:val="70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3645A"/>
    <w:multiLevelType w:val="hybridMultilevel"/>
    <w:tmpl w:val="89169F16"/>
    <w:lvl w:ilvl="0" w:tplc="7C6A5134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6598194">
    <w:abstractNumId w:val="2"/>
  </w:num>
  <w:num w:numId="2" w16cid:durableId="654337607">
    <w:abstractNumId w:val="0"/>
  </w:num>
  <w:num w:numId="3" w16cid:durableId="91666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9A"/>
    <w:rsid w:val="001F1EFA"/>
    <w:rsid w:val="002A609A"/>
    <w:rsid w:val="002F2D8B"/>
    <w:rsid w:val="004125D5"/>
    <w:rsid w:val="00431CB2"/>
    <w:rsid w:val="004E08AF"/>
    <w:rsid w:val="004F69EB"/>
    <w:rsid w:val="005523B5"/>
    <w:rsid w:val="005A20B4"/>
    <w:rsid w:val="008C437F"/>
    <w:rsid w:val="00C17586"/>
    <w:rsid w:val="00D45A49"/>
    <w:rsid w:val="00D66221"/>
    <w:rsid w:val="00DE612E"/>
    <w:rsid w:val="7B5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1BF8D"/>
  <w15:chartTrackingRefBased/>
  <w15:docId w15:val="{4FF7473B-FCE5-F244-A052-DBC96DD7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9A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E08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09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A609A"/>
  </w:style>
  <w:style w:type="paragraph" w:styleId="Footer">
    <w:name w:val="footer"/>
    <w:basedOn w:val="Normal"/>
    <w:link w:val="FooterChar"/>
    <w:uiPriority w:val="99"/>
    <w:unhideWhenUsed/>
    <w:rsid w:val="002A609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609A"/>
  </w:style>
  <w:style w:type="table" w:styleId="TableGrid">
    <w:name w:val="Table Grid"/>
    <w:basedOn w:val="TableNormal"/>
    <w:uiPriority w:val="39"/>
    <w:rsid w:val="002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09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2A60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60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09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08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discrimination-your-rights" TargetMode="External"/><Relationship Id="rId13" Type="http://schemas.openxmlformats.org/officeDocument/2006/relationships/hyperlink" Target="https://eur-lex.europa.eu/legal-content/EN/TXT/?uri=CELEX:12012P/TXT" TargetMode="External"/><Relationship Id="rId18" Type="http://schemas.openxmlformats.org/officeDocument/2006/relationships/hyperlink" Target="https://www.mckinsey.com/featured-insights/diversity-and-inclusion/diversity-wins-how-inclusion-matter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thkmVv54e6M" TargetMode="External"/><Relationship Id="rId7" Type="http://schemas.openxmlformats.org/officeDocument/2006/relationships/hyperlink" Target="https://youtu.be/iueqJ78iAwk" TargetMode="External"/><Relationship Id="rId12" Type="http://schemas.openxmlformats.org/officeDocument/2006/relationships/hyperlink" Target="https://www.dol.gov/agencies/oasam/civil-rights-center/statutes/civil-rights-act-of-1964" TargetMode="External"/><Relationship Id="rId17" Type="http://schemas.openxmlformats.org/officeDocument/2006/relationships/hyperlink" Target="https://www.cipd.co.uk/news-views/viewpoint/race-inclusion-workplac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ssets.publishing.service.gov.uk/government/uploads/system/uploads/attachment_data/file/594336/race-in-workplace-mcgregor-smith-review.pdf" TargetMode="External"/><Relationship Id="rId20" Type="http://schemas.openxmlformats.org/officeDocument/2006/relationships/hyperlink" Target="https://youtu.be/deYUUfak08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uk/ukpga/2010/15/content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the-report-of-the-commission-on-race-and-ethnic-disparities/employment-fairness-at-work-and-enterpris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legislation.gov.uk/ukpga/2010/15/section/159" TargetMode="External"/><Relationship Id="rId19" Type="http://schemas.openxmlformats.org/officeDocument/2006/relationships/hyperlink" Target="https://youtu.be/kvdHqS3ryw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5026/vcs-positive-action.pdf" TargetMode="External"/><Relationship Id="rId14" Type="http://schemas.openxmlformats.org/officeDocument/2006/relationships/hyperlink" Target="https://www.acas.org.uk/improving-equality-diversity-and-inclusion" TargetMode="External"/><Relationship Id="rId22" Type="http://schemas.openxmlformats.org/officeDocument/2006/relationships/hyperlink" Target="https://youtu.be/dU7Mhne4Cz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Jervis</dc:creator>
  <cp:keywords/>
  <dc:description/>
  <cp:lastModifiedBy>Ed Jervis</cp:lastModifiedBy>
  <cp:revision>2</cp:revision>
  <dcterms:created xsi:type="dcterms:W3CDTF">2022-09-08T13:34:00Z</dcterms:created>
  <dcterms:modified xsi:type="dcterms:W3CDTF">2022-09-08T13:34:00Z</dcterms:modified>
</cp:coreProperties>
</file>